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Frequencies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07-AUG-2025 10:54:47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C:\Users\gangigua\OneDrive - Automatic Data Processing Inc\Desktop\School Bag_Survey_1.sav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FREQUENCIES VARIABLES=Purchase_Frequency Child_Age Purchase_platform</w:t>
              <w:br/>
              <w:t>WIllingness_to_buy_new_localbrand BagType Willingness_to_spend</w:t>
              <w:br/>
              <w:t>/STATISTICS=MEAN</w:t>
              <w:br/>
              <w:t>/PIECHART PERCENT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00:00:00.57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969"/>
        <w:gridCol w:w="1666"/>
        <w:gridCol w:w="132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Frequency_of_Purchase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Child_Age?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Place_of_Purchase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WIllingness_to_purchase_NewBrand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Current_BagType?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969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usually spent on Bags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Frequency Table</w:t>
        <w:cr/>
      </w:r>
    </w:p>
    <w:p>
      <w:r/>
    </w:p>
    <w:tbl>
      <w:tblPr>
        <w:tblW w:w="0" w:type="auto"/>
        <w:jc w:val=""/>
        <w:tblLayout w:type="fixed"/>
      </w:tblPr>
      <w:tblGrid>
        <w:gridCol w:w="833"/>
        <w:gridCol w:w="2550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Frequency_of_Purchase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During school reopening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Every 6 months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Once a year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Only when damaged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343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Child_Age?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10-12 years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13+ years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4-6 years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7-9 years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2295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Place_of_Purchase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Branded Stores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Local Shops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Online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86.0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Stores/ Super Markets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411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WIllingness_to_purchase_NewBrand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Very Unlikely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Very Likely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513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Current_BagType?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Back pack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Others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Shoulder Bag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Trolley Bag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700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Amount usually spent on Bags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₹1000–₹1500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₹500–₹1000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Above ₹1500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Less than ₹500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Pie Chart</w:t>
        <w:cr/>
      </w:r>
    </w:p>
    <w:p>
      <w:r/>
    </w:p>
    <w:p>
      <w:pPr>
        <w:jc w:val="left"/>
      </w:pPr>
      <w:r>
        <w:drawing>
          <wp:inline distT="0" distR="0" distB="0" distL="0">
            <wp:extent cx="5943600" cy="3496235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6235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6235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6235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6235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6235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Relationship Id="rId6" Target="media/image5.emf" Type="http://schemas.openxmlformats.org/officeDocument/2006/relationships/image"/><Relationship Id="rId7" Target="media/image6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2025-08-07T05:25:42Z</dcterms:created>
  <dc:creator>IBM SPSS Statistics</dc:creator>
</cp:coreProperties>
</file>