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E5AAC"/>
          <w:sz w:val="30"/>
        </w:rPr>
        <w:t>Financial Health Intelligence Platform™</w:t>
      </w:r>
    </w:p>
    <w:p>
      <w:pPr>
        <w:jc w:val="center"/>
      </w:pPr>
      <w:r>
        <w:rPr>
          <w:b/>
          <w:color w:val="0B1F3A"/>
          <w:sz w:val="54"/>
        </w:rPr>
        <w:t>R0-A — Resources Content Master</w:t>
      </w:r>
    </w:p>
    <w:p>
      <w:pPr>
        <w:jc w:val="center"/>
      </w:pPr>
      <w:r>
        <w:rPr>
          <w:b/>
          <w:color w:val="666666"/>
          <w:sz w:val="30"/>
        </w:rPr>
        <w:t>Complete Initial 218-Record Content Library &amp; CMS Seed Specification</w:t>
      </w:r>
    </w:p>
    <w:p>
      <w:pPr>
        <w:spacing w:after="400"/>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Mar>
              <w:top w:w="90" w:type="dxa"/>
              <w:start w:w="110" w:type="dxa"/>
              <w:bottom w:w="90" w:type="dxa"/>
              <w:end w:w="110" w:type="dxa"/>
            </w:tcMar>
          </w:tcPr>
          <w:p>
            <w:pPr>
              <w:spacing w:after="0"/>
            </w:pPr>
            <w:r/>
            <w:r>
              <w:rPr>
                <w:rFonts w:ascii="Aptos" w:hAnsi="Aptos"/>
                <w:b/>
                <w:color w:val="0B1F3A"/>
                <w:sz w:val="20"/>
              </w:rPr>
              <w:t>Module</w:t>
            </w:r>
          </w:p>
        </w:tc>
        <w:tc>
          <w:tcPr>
            <w:tcW w:type="dxa" w:w="5112"/>
            <w:vAlign w:val="center"/>
            <w:tcMar>
              <w:top w:w="90" w:type="dxa"/>
              <w:start w:w="110" w:type="dxa"/>
              <w:bottom w:w="90" w:type="dxa"/>
              <w:end w:w="110" w:type="dxa"/>
            </w:tcMar>
          </w:tcPr>
          <w:p>
            <w:pPr>
              <w:spacing w:after="0"/>
            </w:pPr>
            <w:r/>
            <w:r>
              <w:rPr>
                <w:rFonts w:ascii="Aptos" w:hAnsi="Aptos"/>
                <w:b w:val="0"/>
                <w:sz w:val="20"/>
              </w:rPr>
              <w:t>Resources / Financial Knowledge &amp; Insights</w:t>
            </w:r>
          </w:p>
        </w:tc>
      </w:tr>
      <w:tr>
        <w:tc>
          <w:tcPr>
            <w:tcW w:type="dxa" w:w="5112"/>
            <w:vAlign w:val="center"/>
            <w:shd w:fill="DCE6F1"/>
            <w:tcMar>
              <w:top w:w="90" w:type="dxa"/>
              <w:start w:w="110" w:type="dxa"/>
              <w:bottom w:w="90" w:type="dxa"/>
              <w:end w:w="110" w:type="dxa"/>
            </w:tcMar>
          </w:tcPr>
          <w:p>
            <w:pPr>
              <w:spacing w:after="0"/>
            </w:pPr>
            <w:r/>
            <w:r>
              <w:rPr>
                <w:rFonts w:ascii="Aptos" w:hAnsi="Aptos"/>
                <w:b/>
                <w:color w:val="0B1F3A"/>
                <w:sz w:val="20"/>
              </w:rPr>
              <w:t>Phase</w:t>
            </w:r>
          </w:p>
        </w:tc>
        <w:tc>
          <w:tcPr>
            <w:tcW w:type="dxa" w:w="5112"/>
            <w:vAlign w:val="center"/>
            <w:tcMar>
              <w:top w:w="90" w:type="dxa"/>
              <w:start w:w="110" w:type="dxa"/>
              <w:bottom w:w="90" w:type="dxa"/>
              <w:end w:w="110" w:type="dxa"/>
            </w:tcMar>
          </w:tcPr>
          <w:p>
            <w:pPr>
              <w:spacing w:after="0"/>
            </w:pPr>
            <w:r/>
            <w:r>
              <w:rPr>
                <w:rFonts w:ascii="Aptos" w:hAnsi="Aptos"/>
                <w:b w:val="0"/>
                <w:sz w:val="20"/>
              </w:rPr>
              <w:t>R0-A</w:t>
            </w:r>
          </w:p>
        </w:tc>
      </w:tr>
      <w:tr>
        <w:tc>
          <w:tcPr>
            <w:tcW w:type="dxa" w:w="5112"/>
            <w:vAlign w:val="center"/>
            <w:shd w:fill="DCE6F1"/>
            <w:tcMar>
              <w:top w:w="90" w:type="dxa"/>
              <w:start w:w="110" w:type="dxa"/>
              <w:bottom w:w="90" w:type="dxa"/>
              <w:end w:w="110" w:type="dxa"/>
            </w:tcMar>
          </w:tcPr>
          <w:p>
            <w:pPr>
              <w:spacing w:after="0"/>
            </w:pPr>
            <w:r/>
            <w:r>
              <w:rPr>
                <w:rFonts w:ascii="Aptos" w:hAnsi="Aptos"/>
                <w:b/>
                <w:color w:val="0B1F3A"/>
                <w:sz w:val="20"/>
              </w:rPr>
              <w:t>Version</w:t>
            </w:r>
          </w:p>
        </w:tc>
        <w:tc>
          <w:tcPr>
            <w:tcW w:type="dxa" w:w="5112"/>
            <w:vAlign w:val="center"/>
            <w:tcMar>
              <w:top w:w="90" w:type="dxa"/>
              <w:start w:w="110" w:type="dxa"/>
              <w:bottom w:w="90" w:type="dxa"/>
              <w:end w:w="110" w:type="dxa"/>
            </w:tcMar>
          </w:tcPr>
          <w:p>
            <w:pPr>
              <w:spacing w:after="0"/>
            </w:pPr>
            <w:r/>
            <w:r>
              <w:rPr>
                <w:rFonts w:ascii="Aptos" w:hAnsi="Aptos"/>
                <w:b w:val="0"/>
                <w:sz w:val="20"/>
              </w:rPr>
              <w:t>1.0</w:t>
            </w:r>
          </w:p>
        </w:tc>
      </w:tr>
      <w:tr>
        <w:tc>
          <w:tcPr>
            <w:tcW w:type="dxa" w:w="5112"/>
            <w:vAlign w:val="center"/>
            <w:shd w:fill="DCE6F1"/>
            <w:tcMar>
              <w:top w:w="90" w:type="dxa"/>
              <w:start w:w="110" w:type="dxa"/>
              <w:bottom w:w="90" w:type="dxa"/>
              <w:end w:w="110" w:type="dxa"/>
            </w:tcMar>
          </w:tcPr>
          <w:p>
            <w:pPr>
              <w:spacing w:after="0"/>
            </w:pPr>
            <w:r/>
            <w:r>
              <w:rPr>
                <w:rFonts w:ascii="Aptos" w:hAnsi="Aptos"/>
                <w:b/>
                <w:color w:val="0B1F3A"/>
                <w:sz w:val="20"/>
              </w:rPr>
              <w:t>Date</w:t>
            </w:r>
          </w:p>
        </w:tc>
        <w:tc>
          <w:tcPr>
            <w:tcW w:type="dxa" w:w="5112"/>
            <w:vAlign w:val="center"/>
            <w:tcMar>
              <w:top w:w="90" w:type="dxa"/>
              <w:start w:w="110" w:type="dxa"/>
              <w:bottom w:w="90" w:type="dxa"/>
              <w:end w:w="110" w:type="dxa"/>
            </w:tcMar>
          </w:tcPr>
          <w:p>
            <w:pPr>
              <w:spacing w:after="0"/>
            </w:pPr>
            <w:r/>
            <w:r>
              <w:rPr>
                <w:rFonts w:ascii="Aptos" w:hAnsi="Aptos"/>
                <w:b w:val="0"/>
                <w:sz w:val="20"/>
              </w:rPr>
              <w:t>15 August 2026</w:t>
            </w:r>
          </w:p>
        </w:tc>
      </w:tr>
      <w:tr>
        <w:tc>
          <w:tcPr>
            <w:tcW w:type="dxa" w:w="5112"/>
            <w:vAlign w:val="center"/>
            <w:shd w:fill="DCE6F1"/>
            <w:tcMar>
              <w:top w:w="90" w:type="dxa"/>
              <w:start w:w="110" w:type="dxa"/>
              <w:bottom w:w="90" w:type="dxa"/>
              <w:end w:w="110" w:type="dxa"/>
            </w:tcMar>
          </w:tcPr>
          <w:p>
            <w:pPr>
              <w:spacing w:after="0"/>
            </w:pPr>
            <w:r/>
            <w:r>
              <w:rPr>
                <w:rFonts w:ascii="Aptos" w:hAnsi="Aptos"/>
                <w:b/>
                <w:color w:val="0B1F3A"/>
                <w:sz w:val="20"/>
              </w:rPr>
              <w:t>Status</w:t>
            </w:r>
          </w:p>
        </w:tc>
        <w:tc>
          <w:tcPr>
            <w:tcW w:type="dxa" w:w="5112"/>
            <w:vAlign w:val="center"/>
            <w:tcMar>
              <w:top w:w="90" w:type="dxa"/>
              <w:start w:w="110" w:type="dxa"/>
              <w:bottom w:w="90" w:type="dxa"/>
              <w:end w:w="110" w:type="dxa"/>
            </w:tcMar>
          </w:tcPr>
          <w:p>
            <w:pPr>
              <w:spacing w:after="0"/>
            </w:pPr>
            <w:r/>
            <w:r>
              <w:rPr>
                <w:rFonts w:ascii="Aptos" w:hAnsi="Aptos"/>
                <w:b w:val="0"/>
                <w:sz w:val="20"/>
              </w:rPr>
              <w:t>Draft for Product Owner Review</w:t>
            </w:r>
          </w:p>
        </w:tc>
      </w:tr>
      <w:tr>
        <w:tc>
          <w:tcPr>
            <w:tcW w:type="dxa" w:w="5112"/>
            <w:vAlign w:val="center"/>
            <w:shd w:fill="DCE6F1"/>
            <w:tcMar>
              <w:top w:w="90" w:type="dxa"/>
              <w:start w:w="110" w:type="dxa"/>
              <w:bottom w:w="90" w:type="dxa"/>
              <w:end w:w="110" w:type="dxa"/>
            </w:tcMar>
          </w:tcPr>
          <w:p>
            <w:pPr>
              <w:spacing w:after="0"/>
            </w:pPr>
            <w:r/>
            <w:r>
              <w:rPr>
                <w:rFonts w:ascii="Aptos" w:hAnsi="Aptos"/>
                <w:b/>
                <w:color w:val="0B1F3A"/>
                <w:sz w:val="20"/>
              </w:rPr>
              <w:t>Video Channel</w:t>
            </w:r>
          </w:p>
        </w:tc>
        <w:tc>
          <w:tcPr>
            <w:tcW w:type="dxa" w:w="5112"/>
            <w:vAlign w:val="center"/>
            <w:tcMar>
              <w:top w:w="90" w:type="dxa"/>
              <w:start w:w="110" w:type="dxa"/>
              <w:bottom w:w="90" w:type="dxa"/>
              <w:end w:w="110" w:type="dxa"/>
            </w:tcMar>
          </w:tcPr>
          <w:p>
            <w:pPr>
              <w:spacing w:after="0"/>
            </w:pPr>
            <w:r/>
            <w:r>
              <w:rPr>
                <w:rFonts w:ascii="Aptos" w:hAnsi="Aptos"/>
                <w:b w:val="0"/>
                <w:sz w:val="20"/>
              </w:rPr>
              <w:t>@GKTC — Growth, Knowledge &amp; Treasury</w:t>
            </w:r>
          </w:p>
        </w:tc>
      </w:tr>
    </w:tbl>
    <w:p/>
    <w:tbl>
      <w:tblPr>
        <w:tblW w:type="auto" w:w="0"/>
        <w:jc w:val="center"/>
        <w:tblLayout w:type="fixed"/>
        <w:tblLook w:firstColumn="1" w:firstRow="1" w:lastColumn="0" w:lastRow="0" w:noHBand="0" w:noVBand="1" w:val="04A0"/>
      </w:tblPr>
      <w:tblGrid>
        <w:gridCol w:w="10224"/>
      </w:tblGrid>
      <w:tr>
        <w:tc>
          <w:tcPr>
            <w:tcW w:type="dxa" w:w="10224"/>
            <w:shd w:fill="FFF2CC"/>
            <w:tcMar>
              <w:top w:w="110" w:type="dxa"/>
              <w:start w:w="140" w:type="dxa"/>
              <w:bottom w:w="110" w:type="dxa"/>
              <w:end w:w="140" w:type="dxa"/>
            </w:tcMar>
          </w:tcPr>
          <w:p>
            <w:pPr>
              <w:spacing w:after="40"/>
            </w:pPr>
            <w:r>
              <w:rPr>
                <w:b/>
                <w:color w:val="0B1F3A"/>
                <w:sz w:val="21"/>
              </w:rPr>
              <w:t>Core decision</w:t>
            </w:r>
          </w:p>
          <w:p>
            <w:pPr>
              <w:spacing w:after="0"/>
            </w:pPr>
            <w:r>
              <w:rPr>
                <w:color w:val="333333"/>
                <w:sz w:val="19"/>
              </w:rPr>
              <w:t>This R0-A package defines 218 initial content records. The Excel Content Master is the authoritative operational master and future CMS/database seed source. The Word document explains the strategy, field definitions, launch sequencing and the complete record inventory. @GKTC remains the source of truth for video files.</w:t>
            </w:r>
          </w:p>
        </w:tc>
      </w:tr>
    </w:tbl>
    <w:p>
      <w:pPr>
        <w:spacing w:after="0"/>
      </w:pPr>
    </w:p>
    <w:p>
      <w:r>
        <w:br w:type="page"/>
      </w:r>
    </w:p>
    <w:p>
      <w:pPr>
        <w:pStyle w:val="Heading1"/>
      </w:pPr>
      <w:r>
        <w:t>1. Executive Summary</w:t>
      </w:r>
    </w:p>
    <w:p>
      <w:r>
        <w:t>R0-A converts the previously approved Resources strategy into an operational content master that can be reviewed by the Product Owner, used by the editorial team, and later converted into Supabase seed data for the FHIP Resources CMS.</w:t>
      </w:r>
    </w:p>
    <w:tbl>
      <w:tblPr>
        <w:tblW w:type="auto" w:w="0"/>
        <w:jc w:val="center"/>
        <w:tblLayout w:type="fixed"/>
        <w:tblLook w:firstColumn="1" w:firstRow="1" w:lastColumn="0" w:lastRow="0" w:noHBand="0" w:noVBand="1" w:val="04A0"/>
      </w:tblPr>
      <w:tblGrid>
        <w:gridCol w:w="10224"/>
      </w:tblGrid>
      <w:tr>
        <w:tc>
          <w:tcPr>
            <w:tcW w:type="dxa" w:w="10224"/>
            <w:shd w:fill="DCE6F1"/>
            <w:tcMar>
              <w:top w:w="110" w:type="dxa"/>
              <w:start w:w="140" w:type="dxa"/>
              <w:bottom w:w="110" w:type="dxa"/>
              <w:end w:w="140" w:type="dxa"/>
            </w:tcMar>
          </w:tcPr>
          <w:p>
            <w:pPr>
              <w:spacing w:after="40"/>
            </w:pPr>
            <w:r>
              <w:rPr>
                <w:b/>
                <w:color w:val="0B1F3A"/>
                <w:sz w:val="21"/>
              </w:rPr>
              <w:t>R0-A output</w:t>
            </w:r>
          </w:p>
          <w:p>
            <w:pPr>
              <w:spacing w:after="0"/>
            </w:pPr>
            <w:r>
              <w:rPr>
                <w:color w:val="333333"/>
                <w:sz w:val="19"/>
              </w:rPr>
              <w:t>The initial master contains 218 records: 86 articles, 24 guides, 26 FHIP explainers, 20 @GKTC video records, 50 glossary definitions and 12 recurring Money Update templates.</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0B1F3A"/>
            <w:tcMar>
              <w:top w:w="70" w:type="dxa"/>
              <w:start w:w="70" w:type="dxa"/>
              <w:bottom w:w="70" w:type="dxa"/>
              <w:end w:w="70" w:type="dxa"/>
            </w:tcMar>
          </w:tcPr>
          <w:p>
            <w:pPr>
              <w:spacing w:after="0"/>
            </w:pPr>
            <w:r/>
            <w:r>
              <w:rPr>
                <w:rFonts w:ascii="Aptos" w:hAnsi="Aptos"/>
                <w:b/>
                <w:color w:val="FFFFFF"/>
                <w:sz w:val="18"/>
              </w:rPr>
              <w:t>Measure</w:t>
            </w:r>
          </w:p>
        </w:tc>
        <w:tc>
          <w:tcPr>
            <w:tcW w:type="dxa" w:w="1440"/>
            <w:vAlign w:val="center"/>
            <w:shd w:fill="0B1F3A"/>
            <w:tcMar>
              <w:top w:w="70" w:type="dxa"/>
              <w:start w:w="70" w:type="dxa"/>
              <w:bottom w:w="70" w:type="dxa"/>
              <w:end w:w="70" w:type="dxa"/>
            </w:tcMar>
          </w:tcPr>
          <w:p>
            <w:pPr>
              <w:spacing w:after="0"/>
            </w:pPr>
            <w:r/>
            <w:r>
              <w:rPr>
                <w:rFonts w:ascii="Aptos" w:hAnsi="Aptos"/>
                <w:b/>
                <w:color w:val="FFFFFF"/>
                <w:sz w:val="18"/>
              </w:rPr>
              <w:t>Count</w:t>
            </w:r>
          </w:p>
        </w:tc>
        <w:tc>
          <w:tcPr>
            <w:tcW w:type="dxa" w:w="6912"/>
            <w:vAlign w:val="center"/>
            <w:shd w:fill="0B1F3A"/>
            <w:tcMar>
              <w:top w:w="70" w:type="dxa"/>
              <w:start w:w="70" w:type="dxa"/>
              <w:bottom w:w="70" w:type="dxa"/>
              <w:end w:w="70" w:type="dxa"/>
            </w:tcMar>
          </w:tcPr>
          <w:p>
            <w:pPr>
              <w:spacing w:after="0"/>
            </w:pPr>
            <w:r/>
            <w:r>
              <w:rPr>
                <w:rFonts w:ascii="Aptos" w:hAnsi="Aptos"/>
                <w:b/>
                <w:color w:val="FFFFFF"/>
                <w:sz w:val="18"/>
              </w:rPr>
              <w:t>Meaning</w:t>
            </w:r>
          </w:p>
        </w:tc>
      </w:tr>
      <w:tr>
        <w:tc>
          <w:tcPr>
            <w:tcW w:type="dxa" w:w="2160"/>
            <w:vAlign w:val="center"/>
            <w:tcMar>
              <w:top w:w="55" w:type="dxa"/>
              <w:start w:w="65" w:type="dxa"/>
              <w:bottom w:w="55" w:type="dxa"/>
              <w:end w:w="65" w:type="dxa"/>
            </w:tcMar>
          </w:tcPr>
          <w:p>
            <w:pPr>
              <w:spacing w:after="0"/>
            </w:pPr>
            <w:r/>
            <w:r>
              <w:rPr>
                <w:rFonts w:ascii="Aptos" w:hAnsi="Aptos"/>
                <w:b w:val="0"/>
                <w:sz w:val="18"/>
              </w:rPr>
              <w:t>P0 - Launch</w:t>
            </w:r>
          </w:p>
        </w:tc>
        <w:tc>
          <w:tcPr>
            <w:tcW w:type="dxa" w:w="1440"/>
            <w:vAlign w:val="center"/>
            <w:tcMar>
              <w:top w:w="55" w:type="dxa"/>
              <w:start w:w="65" w:type="dxa"/>
              <w:bottom w:w="55" w:type="dxa"/>
              <w:end w:w="65" w:type="dxa"/>
            </w:tcMar>
          </w:tcPr>
          <w:p>
            <w:pPr>
              <w:spacing w:after="0"/>
            </w:pPr>
            <w:r/>
            <w:r>
              <w:rPr>
                <w:rFonts w:ascii="Aptos" w:hAnsi="Aptos"/>
                <w:b w:val="0"/>
                <w:sz w:val="18"/>
              </w:rPr>
              <w:t>84</w:t>
            </w:r>
          </w:p>
        </w:tc>
        <w:tc>
          <w:tcPr>
            <w:tcW w:type="dxa" w:w="6912"/>
            <w:vAlign w:val="center"/>
            <w:tcMar>
              <w:top w:w="55" w:type="dxa"/>
              <w:start w:w="65" w:type="dxa"/>
              <w:bottom w:w="55" w:type="dxa"/>
              <w:end w:w="65" w:type="dxa"/>
            </w:tcMar>
          </w:tcPr>
          <w:p>
            <w:pPr>
              <w:spacing w:after="0"/>
            </w:pPr>
            <w:r/>
            <w:r>
              <w:rPr>
                <w:rFonts w:ascii="Aptos" w:hAnsi="Aptos"/>
                <w:b w:val="0"/>
                <w:sz w:val="18"/>
              </w:rPr>
              <w:t>Minimum credible public library before Resources go-live</w:t>
            </w:r>
          </w:p>
        </w:tc>
      </w:tr>
      <w:tr>
        <w:tc>
          <w:tcPr>
            <w:tcW w:type="dxa" w:w="2160"/>
            <w:vAlign w:val="center"/>
            <w:tcMar>
              <w:top w:w="55" w:type="dxa"/>
              <w:start w:w="65" w:type="dxa"/>
              <w:bottom w:w="55" w:type="dxa"/>
              <w:end w:w="65" w:type="dxa"/>
            </w:tcMar>
            <w:shd w:fill="F4F7FB"/>
          </w:tcPr>
          <w:p>
            <w:pPr>
              <w:spacing w:after="0"/>
            </w:pPr>
            <w:r/>
            <w:r>
              <w:rPr>
                <w:rFonts w:ascii="Aptos" w:hAnsi="Aptos"/>
                <w:b w:val="0"/>
                <w:sz w:val="18"/>
              </w:rPr>
              <w:t>P1 - First 90 Days</w:t>
            </w:r>
          </w:p>
        </w:tc>
        <w:tc>
          <w:tcPr>
            <w:tcW w:type="dxa" w:w="1440"/>
            <w:vAlign w:val="center"/>
            <w:tcMar>
              <w:top w:w="55" w:type="dxa"/>
              <w:start w:w="65" w:type="dxa"/>
              <w:bottom w:w="55" w:type="dxa"/>
              <w:end w:w="65" w:type="dxa"/>
            </w:tcMar>
            <w:shd w:fill="F4F7FB"/>
          </w:tcPr>
          <w:p>
            <w:pPr>
              <w:spacing w:after="0"/>
            </w:pPr>
            <w:r/>
            <w:r>
              <w:rPr>
                <w:rFonts w:ascii="Aptos" w:hAnsi="Aptos"/>
                <w:b w:val="0"/>
                <w:sz w:val="18"/>
              </w:rPr>
              <w:t>118</w:t>
            </w:r>
          </w:p>
        </w:tc>
        <w:tc>
          <w:tcPr>
            <w:tcW w:type="dxa" w:w="6912"/>
            <w:vAlign w:val="center"/>
            <w:tcMar>
              <w:top w:w="55" w:type="dxa"/>
              <w:start w:w="65" w:type="dxa"/>
              <w:bottom w:w="55" w:type="dxa"/>
              <w:end w:w="65" w:type="dxa"/>
            </w:tcMar>
            <w:shd w:fill="F4F7FB"/>
          </w:tcPr>
          <w:p>
            <w:pPr>
              <w:spacing w:after="0"/>
            </w:pPr>
            <w:r/>
            <w:r>
              <w:rPr>
                <w:rFonts w:ascii="Aptos" w:hAnsi="Aptos"/>
                <w:b w:val="0"/>
                <w:sz w:val="18"/>
              </w:rPr>
              <w:t>Progressive depth and breadth after launch</w:t>
            </w:r>
          </w:p>
        </w:tc>
      </w:tr>
      <w:tr>
        <w:tc>
          <w:tcPr>
            <w:tcW w:type="dxa" w:w="2160"/>
            <w:vAlign w:val="center"/>
            <w:tcMar>
              <w:top w:w="55" w:type="dxa"/>
              <w:start w:w="65" w:type="dxa"/>
              <w:bottom w:w="55" w:type="dxa"/>
              <w:end w:w="65" w:type="dxa"/>
            </w:tcMar>
          </w:tcPr>
          <w:p>
            <w:pPr>
              <w:spacing w:after="0"/>
            </w:pPr>
            <w:r/>
            <w:r>
              <w:rPr>
                <w:rFonts w:ascii="Aptos" w:hAnsi="Aptos"/>
                <w:b w:val="0"/>
                <w:sz w:val="18"/>
              </w:rPr>
              <w:t>P2 - Expansion</w:t>
            </w:r>
          </w:p>
        </w:tc>
        <w:tc>
          <w:tcPr>
            <w:tcW w:type="dxa" w:w="1440"/>
            <w:vAlign w:val="center"/>
            <w:tcMar>
              <w:top w:w="55" w:type="dxa"/>
              <w:start w:w="65" w:type="dxa"/>
              <w:bottom w:w="55" w:type="dxa"/>
              <w:end w:w="65" w:type="dxa"/>
            </w:tcMar>
          </w:tcPr>
          <w:p>
            <w:pPr>
              <w:spacing w:after="0"/>
            </w:pPr>
            <w:r/>
            <w:r>
              <w:rPr>
                <w:rFonts w:ascii="Aptos" w:hAnsi="Aptos"/>
                <w:b w:val="0"/>
                <w:sz w:val="18"/>
              </w:rPr>
              <w:t>4</w:t>
            </w:r>
          </w:p>
        </w:tc>
        <w:tc>
          <w:tcPr>
            <w:tcW w:type="dxa" w:w="6912"/>
            <w:vAlign w:val="center"/>
            <w:tcMar>
              <w:top w:w="55" w:type="dxa"/>
              <w:start w:w="65" w:type="dxa"/>
              <w:bottom w:w="55" w:type="dxa"/>
              <w:end w:w="65" w:type="dxa"/>
            </w:tcMar>
          </w:tcPr>
          <w:p>
            <w:pPr>
              <w:spacing w:after="0"/>
            </w:pPr>
            <w:r/>
            <w:r>
              <w:rPr>
                <w:rFonts w:ascii="Aptos" w:hAnsi="Aptos"/>
                <w:b w:val="0"/>
                <w:sz w:val="18"/>
              </w:rPr>
              <w:t>Specialist/deeper content after the core library stabilises</w:t>
            </w:r>
          </w:p>
        </w:tc>
      </w:tr>
      <w:tr>
        <w:tc>
          <w:tcPr>
            <w:tcW w:type="dxa" w:w="2160"/>
            <w:vAlign w:val="center"/>
            <w:tcMar>
              <w:top w:w="55" w:type="dxa"/>
              <w:start w:w="65" w:type="dxa"/>
              <w:bottom w:w="55" w:type="dxa"/>
              <w:end w:w="65" w:type="dxa"/>
            </w:tcMar>
            <w:shd w:fill="F4F7FB"/>
          </w:tcPr>
          <w:p>
            <w:pPr>
              <w:spacing w:after="0"/>
            </w:pPr>
            <w:r/>
            <w:r>
              <w:rPr>
                <w:rFonts w:ascii="Aptos" w:hAnsi="Aptos"/>
                <w:b w:val="0"/>
                <w:sz w:val="18"/>
              </w:rPr>
              <w:t>Ongoing / Triggered</w:t>
            </w:r>
          </w:p>
        </w:tc>
        <w:tc>
          <w:tcPr>
            <w:tcW w:type="dxa" w:w="1440"/>
            <w:vAlign w:val="center"/>
            <w:tcMar>
              <w:top w:w="55" w:type="dxa"/>
              <w:start w:w="65" w:type="dxa"/>
              <w:bottom w:w="55" w:type="dxa"/>
              <w:end w:w="65" w:type="dxa"/>
            </w:tcMar>
            <w:shd w:fill="F4F7FB"/>
          </w:tcPr>
          <w:p>
            <w:pPr>
              <w:spacing w:after="0"/>
            </w:pPr>
            <w:r/>
            <w:r>
              <w:rPr>
                <w:rFonts w:ascii="Aptos" w:hAnsi="Aptos"/>
                <w:b w:val="0"/>
                <w:sz w:val="18"/>
              </w:rPr>
              <w:t>12</w:t>
            </w:r>
          </w:p>
        </w:tc>
        <w:tc>
          <w:tcPr>
            <w:tcW w:type="dxa" w:w="6912"/>
            <w:vAlign w:val="center"/>
            <w:tcMar>
              <w:top w:w="55" w:type="dxa"/>
              <w:start w:w="65" w:type="dxa"/>
              <w:bottom w:w="55" w:type="dxa"/>
              <w:end w:w="65" w:type="dxa"/>
            </w:tcMar>
            <w:shd w:fill="F4F7FB"/>
          </w:tcPr>
          <w:p>
            <w:pPr>
              <w:spacing w:after="0"/>
            </w:pPr>
            <w:r/>
            <w:r>
              <w:rPr>
                <w:rFonts w:ascii="Aptos" w:hAnsi="Aptos"/>
                <w:b w:val="0"/>
                <w:sz w:val="18"/>
              </w:rPr>
              <w:t>Current-affairs templates published only when a material official event occurs</w:t>
            </w:r>
          </w:p>
        </w:tc>
      </w:tr>
    </w:tbl>
    <w:p>
      <w:pPr>
        <w:spacing w:after="0"/>
      </w:pPr>
    </w:p>
    <w:p>
      <w:pPr>
        <w:pStyle w:val="ListBullet"/>
        <w:spacing w:after="40"/>
      </w:pPr>
      <w:r>
        <w:rPr>
          <w:rFonts w:ascii="Aptos" w:hAnsi="Aptos"/>
          <w:sz w:val="20"/>
        </w:rPr>
        <w:t>The library is deliberately larger than the initial 150+ target so FHIP does not launch with a thin or generic blog.</w:t>
      </w:r>
    </w:p>
    <w:p>
      <w:pPr>
        <w:pStyle w:val="ListBullet"/>
        <w:spacing w:after="40"/>
      </w:pPr>
      <w:r>
        <w:rPr>
          <w:rFonts w:ascii="Aptos" w:hAnsi="Aptos"/>
          <w:sz w:val="20"/>
        </w:rPr>
        <w:t>Each record includes a user question/search intent, editorial brief, minimum points to cover, FHIP module link, CTA, @GKTC relationship, compliance risk class, freshness rule, review cycle, priority, source hierarchy, SEO pillar and proposed URL.</w:t>
      </w:r>
    </w:p>
    <w:p>
      <w:pPr>
        <w:pStyle w:val="ListBullet"/>
        <w:spacing w:after="40"/>
      </w:pPr>
      <w:r>
        <w:rPr>
          <w:rFonts w:ascii="Aptos" w:hAnsi="Aptos"/>
          <w:sz w:val="20"/>
        </w:rPr>
        <w:t>The content master is designed to support both public acquisition and in-app contextual education such as “What does this mean?” links from Scores, Resilience, Forecasting, Goals and Reports.</w:t>
      </w:r>
    </w:p>
    <w:p>
      <w:pPr>
        <w:pStyle w:val="ListBullet"/>
        <w:spacing w:after="40"/>
      </w:pPr>
      <w:r>
        <w:rPr>
          <w:rFonts w:ascii="Aptos" w:hAnsi="Aptos"/>
          <w:sz w:val="20"/>
        </w:rPr>
        <w:t>The initial content remains primarily educational. Time-sensitive and regulated topics are classified for additional review rather than being treated as ordinary evergreen posts.</w:t>
      </w:r>
    </w:p>
    <w:p>
      <w:pPr>
        <w:pStyle w:val="Heading1"/>
      </w:pPr>
      <w:r>
        <w:t>2. R0-A Deliverables</w:t>
      </w:r>
    </w:p>
    <w:p>
      <w:pPr>
        <w:pStyle w:val="ListNumber"/>
        <w:spacing w:after="40"/>
      </w:pPr>
      <w:r>
        <w:rPr>
          <w:rFonts w:ascii="Aptos" w:hAnsi="Aptos"/>
          <w:sz w:val="20"/>
        </w:rPr>
        <w:t>Authoritative Excel Content Master containing all 218 records and 31 operational metadata fields.</w:t>
      </w:r>
    </w:p>
    <w:p>
      <w:pPr>
        <w:pStyle w:val="ListNumber"/>
        <w:spacing w:after="40"/>
      </w:pPr>
      <w:r>
        <w:rPr>
          <w:rFonts w:ascii="Aptos" w:hAnsi="Aptos"/>
          <w:sz w:val="20"/>
        </w:rPr>
        <w:t>Content taxonomy aligned to FHIP modules and consumer-facing knowledge pillars.</w:t>
      </w:r>
    </w:p>
    <w:p>
      <w:pPr>
        <w:pStyle w:val="ListNumber"/>
        <w:spacing w:after="40"/>
      </w:pPr>
      <w:r>
        <w:rPr>
          <w:rFonts w:ascii="Aptos" w:hAnsi="Aptos"/>
          <w:sz w:val="20"/>
        </w:rPr>
        <w:t>Field dictionary to guide CMS development and future database seeding.</w:t>
      </w:r>
    </w:p>
    <w:p>
      <w:pPr>
        <w:pStyle w:val="ListNumber"/>
        <w:spacing w:after="40"/>
      </w:pPr>
      <w:r>
        <w:rPr>
          <w:rFonts w:ascii="Aptos" w:hAnsi="Aptos"/>
          <w:sz w:val="20"/>
        </w:rPr>
        <w:t>@GKTC video plan with 20 initial videos and two-way FHIP/YouTube linkage.</w:t>
      </w:r>
    </w:p>
    <w:p>
      <w:pPr>
        <w:pStyle w:val="ListNumber"/>
        <w:spacing w:after="40"/>
      </w:pPr>
      <w:r>
        <w:rPr>
          <w:rFonts w:ascii="Aptos" w:hAnsi="Aptos"/>
          <w:sz w:val="20"/>
        </w:rPr>
        <w:t>Launch sequencing: P0, P1, P2 and recurring/triggered content.</w:t>
      </w:r>
    </w:p>
    <w:p>
      <w:pPr>
        <w:pStyle w:val="ListNumber"/>
        <w:spacing w:after="40"/>
      </w:pPr>
      <w:r>
        <w:rPr>
          <w:rFonts w:ascii="Aptos" w:hAnsi="Aptos"/>
          <w:sz w:val="20"/>
        </w:rPr>
        <w:t>CTA library mapping knowledge content to relevant FHIP product journeys.</w:t>
      </w:r>
    </w:p>
    <w:p>
      <w:pPr>
        <w:pStyle w:val="ListNumber"/>
        <w:spacing w:after="40"/>
      </w:pPr>
      <w:r>
        <w:rPr>
          <w:rFonts w:ascii="Aptos" w:hAnsi="Aptos"/>
          <w:sz w:val="20"/>
        </w:rPr>
        <w:t>Source hierarchy for Australia, India, Global and Australia-India cross-border content.</w:t>
      </w:r>
    </w:p>
    <w:p>
      <w:pPr>
        <w:pStyle w:val="ListNumber"/>
        <w:spacing w:after="40"/>
      </w:pPr>
      <w:r>
        <w:rPr>
          <w:rFonts w:ascii="Aptos" w:hAnsi="Aptos"/>
          <w:sz w:val="20"/>
        </w:rPr>
        <w:t>12 recurring Money Update templates for current-affairs publishing.</w:t>
      </w:r>
    </w:p>
    <w:p>
      <w:pPr>
        <w:pStyle w:val="ListNumber"/>
        <w:spacing w:after="40"/>
      </w:pPr>
      <w:r>
        <w:rPr>
          <w:rFonts w:ascii="Aptos" w:hAnsi="Aptos"/>
          <w:sz w:val="20"/>
        </w:rPr>
        <w:t>Complete inventory appendix for Product Owner review.</w:t>
      </w:r>
    </w:p>
    <w:p>
      <w:pPr>
        <w:pStyle w:val="Heading1"/>
      </w:pPr>
      <w:r>
        <w:t>3. Initial Content Library Composition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912"/>
            <w:vAlign w:val="center"/>
            <w:shd w:fill="0B1F3A"/>
            <w:tcMar>
              <w:top w:w="70" w:type="dxa"/>
              <w:start w:w="70" w:type="dxa"/>
              <w:bottom w:w="70" w:type="dxa"/>
              <w:end w:w="70" w:type="dxa"/>
            </w:tcMar>
          </w:tcPr>
          <w:p>
            <w:pPr>
              <w:spacing w:after="0"/>
            </w:pPr>
            <w:r/>
            <w:r>
              <w:rPr>
                <w:rFonts w:ascii="Aptos" w:hAnsi="Aptos"/>
                <w:b/>
                <w:color w:val="FFFFFF"/>
                <w:sz w:val="18"/>
              </w:rPr>
              <w:t>Content Type</w:t>
            </w:r>
          </w:p>
        </w:tc>
        <w:tc>
          <w:tcPr>
            <w:tcW w:type="dxa" w:w="1728"/>
            <w:vAlign w:val="center"/>
            <w:shd w:fill="0B1F3A"/>
            <w:tcMar>
              <w:top w:w="70" w:type="dxa"/>
              <w:start w:w="70" w:type="dxa"/>
              <w:bottom w:w="70" w:type="dxa"/>
              <w:end w:w="70" w:type="dxa"/>
            </w:tcMar>
          </w:tcPr>
          <w:p>
            <w:pPr>
              <w:spacing w:after="0"/>
            </w:pPr>
            <w:r/>
            <w:r>
              <w:rPr>
                <w:rFonts w:ascii="Aptos" w:hAnsi="Aptos"/>
                <w:b/>
                <w:color w:val="FFFFFF"/>
                <w:sz w:val="18"/>
              </w:rPr>
              <w:t>Records</w:t>
            </w:r>
          </w:p>
        </w:tc>
      </w:tr>
      <w:tr>
        <w:tc>
          <w:tcPr>
            <w:tcW w:type="dxa" w:w="6912"/>
            <w:vAlign w:val="center"/>
            <w:tcMar>
              <w:top w:w="55" w:type="dxa"/>
              <w:start w:w="65" w:type="dxa"/>
              <w:bottom w:w="55" w:type="dxa"/>
              <w:end w:w="65" w:type="dxa"/>
            </w:tcMar>
          </w:tcPr>
          <w:p>
            <w:pPr>
              <w:spacing w:after="0"/>
            </w:pPr>
            <w:r/>
            <w:r>
              <w:rPr>
                <w:rFonts w:ascii="Aptos" w:hAnsi="Aptos"/>
                <w:b w:val="0"/>
                <w:sz w:val="18"/>
              </w:rPr>
              <w:t>Article</w:t>
            </w:r>
          </w:p>
        </w:tc>
        <w:tc>
          <w:tcPr>
            <w:tcW w:type="dxa" w:w="1728"/>
            <w:vAlign w:val="center"/>
            <w:tcMar>
              <w:top w:w="55" w:type="dxa"/>
              <w:start w:w="65" w:type="dxa"/>
              <w:bottom w:w="55" w:type="dxa"/>
              <w:end w:w="65" w:type="dxa"/>
            </w:tcMar>
          </w:tcPr>
          <w:p>
            <w:pPr>
              <w:spacing w:after="0"/>
            </w:pPr>
            <w:r/>
            <w:r>
              <w:rPr>
                <w:rFonts w:ascii="Aptos" w:hAnsi="Aptos"/>
                <w:b w:val="0"/>
                <w:sz w:val="18"/>
              </w:rPr>
              <w:t>86</w:t>
            </w:r>
          </w:p>
        </w:tc>
      </w:tr>
      <w:tr>
        <w:tc>
          <w:tcPr>
            <w:tcW w:type="dxa" w:w="6912"/>
            <w:vAlign w:val="center"/>
            <w:tcMar>
              <w:top w:w="55" w:type="dxa"/>
              <w:start w:w="65" w:type="dxa"/>
              <w:bottom w:w="55" w:type="dxa"/>
              <w:end w:w="65" w:type="dxa"/>
            </w:tcMar>
            <w:shd w:fill="F4F7FB"/>
          </w:tcPr>
          <w:p>
            <w:pPr>
              <w:spacing w:after="0"/>
            </w:pPr>
            <w:r/>
            <w:r>
              <w:rPr>
                <w:rFonts w:ascii="Aptos" w:hAnsi="Aptos"/>
                <w:b w:val="0"/>
                <w:sz w:val="18"/>
              </w:rPr>
              <w:t>Guide</w:t>
            </w:r>
          </w:p>
        </w:tc>
        <w:tc>
          <w:tcPr>
            <w:tcW w:type="dxa" w:w="1728"/>
            <w:vAlign w:val="center"/>
            <w:tcMar>
              <w:top w:w="55" w:type="dxa"/>
              <w:start w:w="65" w:type="dxa"/>
              <w:bottom w:w="55" w:type="dxa"/>
              <w:end w:w="65" w:type="dxa"/>
            </w:tcMar>
            <w:shd w:fill="F4F7FB"/>
          </w:tcPr>
          <w:p>
            <w:pPr>
              <w:spacing w:after="0"/>
            </w:pPr>
            <w:r/>
            <w:r>
              <w:rPr>
                <w:rFonts w:ascii="Aptos" w:hAnsi="Aptos"/>
                <w:b w:val="0"/>
                <w:sz w:val="18"/>
              </w:rPr>
              <w:t>24</w:t>
            </w:r>
          </w:p>
        </w:tc>
      </w:tr>
      <w:tr>
        <w:tc>
          <w:tcPr>
            <w:tcW w:type="dxa" w:w="6912"/>
            <w:vAlign w:val="center"/>
            <w:tcMar>
              <w:top w:w="55" w:type="dxa"/>
              <w:start w:w="65" w:type="dxa"/>
              <w:bottom w:w="55" w:type="dxa"/>
              <w:end w:w="65" w:type="dxa"/>
            </w:tcMar>
          </w:tcPr>
          <w:p>
            <w:pPr>
              <w:spacing w:after="0"/>
            </w:pPr>
            <w:r/>
            <w:r>
              <w:rPr>
                <w:rFonts w:ascii="Aptos" w:hAnsi="Aptos"/>
                <w:b w:val="0"/>
                <w:sz w:val="18"/>
              </w:rPr>
              <w:t>FHIP Explainer</w:t>
            </w:r>
          </w:p>
        </w:tc>
        <w:tc>
          <w:tcPr>
            <w:tcW w:type="dxa" w:w="1728"/>
            <w:vAlign w:val="center"/>
            <w:tcMar>
              <w:top w:w="55" w:type="dxa"/>
              <w:start w:w="65" w:type="dxa"/>
              <w:bottom w:w="55" w:type="dxa"/>
              <w:end w:w="65" w:type="dxa"/>
            </w:tcMar>
          </w:tcPr>
          <w:p>
            <w:pPr>
              <w:spacing w:after="0"/>
            </w:pPr>
            <w:r/>
            <w:r>
              <w:rPr>
                <w:rFonts w:ascii="Aptos" w:hAnsi="Aptos"/>
                <w:b w:val="0"/>
                <w:sz w:val="18"/>
              </w:rPr>
              <w:t>26</w:t>
            </w:r>
          </w:p>
        </w:tc>
      </w:tr>
      <w:tr>
        <w:tc>
          <w:tcPr>
            <w:tcW w:type="dxa" w:w="6912"/>
            <w:vAlign w:val="center"/>
            <w:tcMar>
              <w:top w:w="55" w:type="dxa"/>
              <w:start w:w="65" w:type="dxa"/>
              <w:bottom w:w="55" w:type="dxa"/>
              <w:end w:w="65" w:type="dxa"/>
            </w:tcMar>
            <w:shd w:fill="F4F7FB"/>
          </w:tcPr>
          <w:p>
            <w:pPr>
              <w:spacing w:after="0"/>
            </w:pPr>
            <w:r/>
            <w:r>
              <w:rPr>
                <w:rFonts w:ascii="Aptos" w:hAnsi="Aptos"/>
                <w:b w:val="0"/>
                <w:sz w:val="18"/>
              </w:rPr>
              <w:t>Video</w:t>
            </w:r>
          </w:p>
        </w:tc>
        <w:tc>
          <w:tcPr>
            <w:tcW w:type="dxa" w:w="1728"/>
            <w:vAlign w:val="center"/>
            <w:tcMar>
              <w:top w:w="55" w:type="dxa"/>
              <w:start w:w="65" w:type="dxa"/>
              <w:bottom w:w="55" w:type="dxa"/>
              <w:end w:w="65" w:type="dxa"/>
            </w:tcMar>
            <w:shd w:fill="F4F7FB"/>
          </w:tcPr>
          <w:p>
            <w:pPr>
              <w:spacing w:after="0"/>
            </w:pPr>
            <w:r/>
            <w:r>
              <w:rPr>
                <w:rFonts w:ascii="Aptos" w:hAnsi="Aptos"/>
                <w:b w:val="0"/>
                <w:sz w:val="18"/>
              </w:rPr>
              <w:t>20</w:t>
            </w:r>
          </w:p>
        </w:tc>
      </w:tr>
      <w:tr>
        <w:tc>
          <w:tcPr>
            <w:tcW w:type="dxa" w:w="6912"/>
            <w:vAlign w:val="center"/>
            <w:tcMar>
              <w:top w:w="55" w:type="dxa"/>
              <w:start w:w="65" w:type="dxa"/>
              <w:bottom w:w="55" w:type="dxa"/>
              <w:end w:w="65" w:type="dxa"/>
            </w:tcMar>
          </w:tcPr>
          <w:p>
            <w:pPr>
              <w:spacing w:after="0"/>
            </w:pPr>
            <w:r/>
            <w:r>
              <w:rPr>
                <w:rFonts w:ascii="Aptos" w:hAnsi="Aptos"/>
                <w:b w:val="0"/>
                <w:sz w:val="18"/>
              </w:rPr>
              <w:t>Glossary</w:t>
            </w:r>
          </w:p>
        </w:tc>
        <w:tc>
          <w:tcPr>
            <w:tcW w:type="dxa" w:w="1728"/>
            <w:vAlign w:val="center"/>
            <w:tcMar>
              <w:top w:w="55" w:type="dxa"/>
              <w:start w:w="65" w:type="dxa"/>
              <w:bottom w:w="55" w:type="dxa"/>
              <w:end w:w="65" w:type="dxa"/>
            </w:tcMar>
          </w:tcPr>
          <w:p>
            <w:pPr>
              <w:spacing w:after="0"/>
            </w:pPr>
            <w:r/>
            <w:r>
              <w:rPr>
                <w:rFonts w:ascii="Aptos" w:hAnsi="Aptos"/>
                <w:b w:val="0"/>
                <w:sz w:val="18"/>
              </w:rPr>
              <w:t>50</w:t>
            </w:r>
          </w:p>
        </w:tc>
      </w:tr>
      <w:tr>
        <w:tc>
          <w:tcPr>
            <w:tcW w:type="dxa" w:w="6912"/>
            <w:vAlign w:val="center"/>
            <w:tcMar>
              <w:top w:w="55" w:type="dxa"/>
              <w:start w:w="65" w:type="dxa"/>
              <w:bottom w:w="55" w:type="dxa"/>
              <w:end w:w="65" w:type="dxa"/>
            </w:tcMar>
            <w:shd w:fill="F4F7FB"/>
          </w:tcPr>
          <w:p>
            <w:pPr>
              <w:spacing w:after="0"/>
            </w:pPr>
            <w:r/>
            <w:r>
              <w:rPr>
                <w:rFonts w:ascii="Aptos" w:hAnsi="Aptos"/>
                <w:b w:val="0"/>
                <w:sz w:val="18"/>
              </w:rPr>
              <w:t>Money Update Template</w:t>
            </w:r>
          </w:p>
        </w:tc>
        <w:tc>
          <w:tcPr>
            <w:tcW w:type="dxa" w:w="1728"/>
            <w:vAlign w:val="center"/>
            <w:tcMar>
              <w:top w:w="55" w:type="dxa"/>
              <w:start w:w="65" w:type="dxa"/>
              <w:bottom w:w="55" w:type="dxa"/>
              <w:end w:w="65" w:type="dxa"/>
            </w:tcMar>
            <w:shd w:fill="F4F7FB"/>
          </w:tcPr>
          <w:p>
            <w:pPr>
              <w:spacing w:after="0"/>
            </w:pPr>
            <w:r/>
            <w:r>
              <w:rPr>
                <w:rFonts w:ascii="Aptos" w:hAnsi="Aptos"/>
                <w:b w:val="0"/>
                <w:sz w:val="18"/>
              </w:rPr>
              <w:t>12</w:t>
            </w:r>
          </w:p>
        </w:tc>
      </w:tr>
    </w:tbl>
    <w:p>
      <w:pPr>
        <w:spacing w:after="0"/>
      </w:pPr>
    </w:p>
    <w:p>
      <w:pPr>
        <w:pStyle w:val="Heading2"/>
      </w:pPr>
      <w:r>
        <w:t>3.1 Jurisdiction Coverage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912"/>
            <w:vAlign w:val="center"/>
            <w:shd w:fill="0B1F3A"/>
            <w:tcMar>
              <w:top w:w="70" w:type="dxa"/>
              <w:start w:w="70" w:type="dxa"/>
              <w:bottom w:w="70" w:type="dxa"/>
              <w:end w:w="70" w:type="dxa"/>
            </w:tcMar>
          </w:tcPr>
          <w:p>
            <w:pPr>
              <w:spacing w:after="0"/>
            </w:pPr>
            <w:r/>
            <w:r>
              <w:rPr>
                <w:rFonts w:ascii="Aptos" w:hAnsi="Aptos"/>
                <w:b/>
                <w:color w:val="FFFFFF"/>
                <w:sz w:val="18"/>
              </w:rPr>
              <w:t>Jurisdiction</w:t>
            </w:r>
          </w:p>
        </w:tc>
        <w:tc>
          <w:tcPr>
            <w:tcW w:type="dxa" w:w="1728"/>
            <w:vAlign w:val="center"/>
            <w:shd w:fill="0B1F3A"/>
            <w:tcMar>
              <w:top w:w="70" w:type="dxa"/>
              <w:start w:w="70" w:type="dxa"/>
              <w:bottom w:w="70" w:type="dxa"/>
              <w:end w:w="70" w:type="dxa"/>
            </w:tcMar>
          </w:tcPr>
          <w:p>
            <w:pPr>
              <w:spacing w:after="0"/>
            </w:pPr>
            <w:r/>
            <w:r>
              <w:rPr>
                <w:rFonts w:ascii="Aptos" w:hAnsi="Aptos"/>
                <w:b/>
                <w:color w:val="FFFFFF"/>
                <w:sz w:val="18"/>
              </w:rPr>
              <w:t>Records</w:t>
            </w:r>
          </w:p>
        </w:tc>
      </w:tr>
      <w:tr>
        <w:tc>
          <w:tcPr>
            <w:tcW w:type="dxa" w:w="6912"/>
            <w:vAlign w:val="center"/>
            <w:tcMar>
              <w:top w:w="55" w:type="dxa"/>
              <w:start w:w="65" w:type="dxa"/>
              <w:bottom w:w="55" w:type="dxa"/>
              <w:end w:w="65" w:type="dxa"/>
            </w:tcMar>
          </w:tcPr>
          <w:p>
            <w:pPr>
              <w:spacing w:after="0"/>
            </w:pPr>
            <w:r/>
            <w:r>
              <w:rPr>
                <w:rFonts w:ascii="Aptos" w:hAnsi="Aptos"/>
                <w:b w:val="0"/>
                <w:sz w:val="18"/>
              </w:rPr>
              <w:t>Global</w:t>
            </w:r>
          </w:p>
        </w:tc>
        <w:tc>
          <w:tcPr>
            <w:tcW w:type="dxa" w:w="1728"/>
            <w:vAlign w:val="center"/>
            <w:tcMar>
              <w:top w:w="55" w:type="dxa"/>
              <w:start w:w="65" w:type="dxa"/>
              <w:bottom w:w="55" w:type="dxa"/>
              <w:end w:w="65" w:type="dxa"/>
            </w:tcMar>
          </w:tcPr>
          <w:p>
            <w:pPr>
              <w:spacing w:after="0"/>
            </w:pPr>
            <w:r/>
            <w:r>
              <w:rPr>
                <w:rFonts w:ascii="Aptos" w:hAnsi="Aptos"/>
                <w:b w:val="0"/>
                <w:sz w:val="18"/>
              </w:rPr>
              <w:t>174</w:t>
            </w:r>
          </w:p>
        </w:tc>
      </w:tr>
      <w:tr>
        <w:tc>
          <w:tcPr>
            <w:tcW w:type="dxa" w:w="6912"/>
            <w:vAlign w:val="center"/>
            <w:tcMar>
              <w:top w:w="55" w:type="dxa"/>
              <w:start w:w="65" w:type="dxa"/>
              <w:bottom w:w="55" w:type="dxa"/>
              <w:end w:w="65" w:type="dxa"/>
            </w:tcMar>
            <w:shd w:fill="F4F7FB"/>
          </w:tcPr>
          <w:p>
            <w:pPr>
              <w:spacing w:after="0"/>
            </w:pPr>
            <w:r/>
            <w:r>
              <w:rPr>
                <w:rFonts w:ascii="Aptos" w:hAnsi="Aptos"/>
                <w:b w:val="0"/>
                <w:sz w:val="18"/>
              </w:rPr>
              <w:t>Australia</w:t>
            </w:r>
          </w:p>
        </w:tc>
        <w:tc>
          <w:tcPr>
            <w:tcW w:type="dxa" w:w="1728"/>
            <w:vAlign w:val="center"/>
            <w:tcMar>
              <w:top w:w="55" w:type="dxa"/>
              <w:start w:w="65" w:type="dxa"/>
              <w:bottom w:w="55" w:type="dxa"/>
              <w:end w:w="65" w:type="dxa"/>
            </w:tcMar>
            <w:shd w:fill="F4F7FB"/>
          </w:tcPr>
          <w:p>
            <w:pPr>
              <w:spacing w:after="0"/>
            </w:pPr>
            <w:r/>
            <w:r>
              <w:rPr>
                <w:rFonts w:ascii="Aptos" w:hAnsi="Aptos"/>
                <w:b w:val="0"/>
                <w:sz w:val="18"/>
              </w:rPr>
              <w:t>15</w:t>
            </w:r>
          </w:p>
        </w:tc>
      </w:tr>
      <w:tr>
        <w:tc>
          <w:tcPr>
            <w:tcW w:type="dxa" w:w="6912"/>
            <w:vAlign w:val="center"/>
            <w:tcMar>
              <w:top w:w="55" w:type="dxa"/>
              <w:start w:w="65" w:type="dxa"/>
              <w:bottom w:w="55" w:type="dxa"/>
              <w:end w:w="65" w:type="dxa"/>
            </w:tcMar>
          </w:tcPr>
          <w:p>
            <w:pPr>
              <w:spacing w:after="0"/>
            </w:pPr>
            <w:r/>
            <w:r>
              <w:rPr>
                <w:rFonts w:ascii="Aptos" w:hAnsi="Aptos"/>
                <w:b w:val="0"/>
                <w:sz w:val="18"/>
              </w:rPr>
              <w:t>India</w:t>
            </w:r>
          </w:p>
        </w:tc>
        <w:tc>
          <w:tcPr>
            <w:tcW w:type="dxa" w:w="1728"/>
            <w:vAlign w:val="center"/>
            <w:tcMar>
              <w:top w:w="55" w:type="dxa"/>
              <w:start w:w="65" w:type="dxa"/>
              <w:bottom w:w="55" w:type="dxa"/>
              <w:end w:w="65" w:type="dxa"/>
            </w:tcMar>
          </w:tcPr>
          <w:p>
            <w:pPr>
              <w:spacing w:after="0"/>
            </w:pPr>
            <w:r/>
            <w:r>
              <w:rPr>
                <w:rFonts w:ascii="Aptos" w:hAnsi="Aptos"/>
                <w:b w:val="0"/>
                <w:sz w:val="18"/>
              </w:rPr>
              <w:t>17</w:t>
            </w:r>
          </w:p>
        </w:tc>
      </w:tr>
      <w:tr>
        <w:tc>
          <w:tcPr>
            <w:tcW w:type="dxa" w:w="6912"/>
            <w:vAlign w:val="center"/>
            <w:tcMar>
              <w:top w:w="55" w:type="dxa"/>
              <w:start w:w="65" w:type="dxa"/>
              <w:bottom w:w="55" w:type="dxa"/>
              <w:end w:w="65" w:type="dxa"/>
            </w:tcMar>
            <w:shd w:fill="F4F7FB"/>
          </w:tcPr>
          <w:p>
            <w:pPr>
              <w:spacing w:after="0"/>
            </w:pPr>
            <w:r/>
            <w:r>
              <w:rPr>
                <w:rFonts w:ascii="Aptos" w:hAnsi="Aptos"/>
                <w:b w:val="0"/>
                <w:sz w:val="18"/>
              </w:rPr>
              <w:t>Australia-India Cross-Border</w:t>
            </w:r>
          </w:p>
        </w:tc>
        <w:tc>
          <w:tcPr>
            <w:tcW w:type="dxa" w:w="1728"/>
            <w:vAlign w:val="center"/>
            <w:tcMar>
              <w:top w:w="55" w:type="dxa"/>
              <w:start w:w="65" w:type="dxa"/>
              <w:bottom w:w="55" w:type="dxa"/>
              <w:end w:w="65" w:type="dxa"/>
            </w:tcMar>
            <w:shd w:fill="F4F7FB"/>
          </w:tcPr>
          <w:p>
            <w:pPr>
              <w:spacing w:after="0"/>
            </w:pPr>
            <w:r/>
            <w:r>
              <w:rPr>
                <w:rFonts w:ascii="Aptos" w:hAnsi="Aptos"/>
                <w:b w:val="0"/>
                <w:sz w:val="18"/>
              </w:rPr>
              <w:t>12</w:t>
            </w:r>
          </w:p>
        </w:tc>
      </w:tr>
    </w:tbl>
    <w:p>
      <w:pPr>
        <w:spacing w:after="0"/>
      </w:pPr>
    </w:p>
    <w:p>
      <w:r>
        <w:t>Most initial resources are intentionally Global because concepts such as cash flow, net worth, emergency funds, diversification, goal planning and forecasting are universal. Country-specific content is concentrated where rules and institutional structures materially differ, especially retirement, tax/regulation-triggered updates and Australia-India cross-border topics.</w:t>
      </w:r>
    </w:p>
    <w:p>
      <w:pPr>
        <w:pStyle w:val="Heading1"/>
      </w:pPr>
      <w:r>
        <w:t>4. Launch Sequencing</w:t>
      </w:r>
    </w:p>
    <w:p>
      <w:pPr>
        <w:pStyle w:val="Heading2"/>
      </w:pPr>
      <w:r>
        <w:t>4.1 P0 — Launch Library</w:t>
      </w:r>
    </w:p>
    <w:p>
      <w:r>
        <w:t>P0 contains 84 records. This is the recommended minimum credible library before the Resources area is actively promoted to the public. It gives the landing page enough depth to support search, category browsing, contextual help and the first GKTC video integrations.</w:t>
      </w:r>
    </w:p>
    <w:p>
      <w:pPr>
        <w:pStyle w:val="ListBullet"/>
        <w:spacing w:after="40"/>
      </w:pPr>
      <w:r>
        <w:rPr>
          <w:rFonts w:ascii="Aptos" w:hAnsi="Aptos"/>
          <w:sz w:val="20"/>
        </w:rPr>
        <w:t>Prioritise Financial Health, Cash Flow, Emergency/Resilience, Debt, Net Worth, Goals, core Investing concepts, first retirement explainers, Scores and key FHIP methodology pages.</w:t>
      </w:r>
    </w:p>
    <w:p>
      <w:pPr>
        <w:pStyle w:val="ListBullet"/>
        <w:spacing w:after="40"/>
      </w:pPr>
      <w:r>
        <w:rPr>
          <w:rFonts w:ascii="Aptos" w:hAnsi="Aptos"/>
          <w:sz w:val="20"/>
        </w:rPr>
        <w:t>Produce the first eight @GKTC videos before or close to Resources launch so “Watch &amp; Learn” does not appear empty.</w:t>
      </w:r>
    </w:p>
    <w:p>
      <w:pPr>
        <w:pStyle w:val="ListBullet"/>
        <w:spacing w:after="40"/>
      </w:pPr>
      <w:r>
        <w:rPr>
          <w:rFonts w:ascii="Aptos" w:hAnsi="Aptos"/>
          <w:sz w:val="20"/>
        </w:rPr>
        <w:t>Publish the first 15 glossary terms and expand rapidly after launch; contextual tooltips can reuse the same approved definitions.</w:t>
      </w:r>
    </w:p>
    <w:p>
      <w:pPr>
        <w:pStyle w:val="Heading2"/>
      </w:pPr>
      <w:r>
        <w:t>4.2 P1 — First 90 Days</w:t>
      </w:r>
    </w:p>
    <w:p>
      <w:r>
        <w:t>P1 contains 118 records. These should be released progressively rather than all on one day. This creates an ongoing publishing rhythm, supports SEO discovery and allows performance data to influence which subtopics deserve deeper development.</w:t>
      </w:r>
    </w:p>
    <w:p>
      <w:pPr>
        <w:pStyle w:val="Heading2"/>
      </w:pPr>
      <w:r>
        <w:t>4.3 P2 — Specialist Expansion</w:t>
      </w:r>
    </w:p>
    <w:p>
      <w:r>
        <w:t>P2 is intentionally small in this first master. It contains deeper cross-border topics that are strategically valuable but require more careful source and compliance review.</w:t>
      </w:r>
    </w:p>
    <w:p>
      <w:pPr>
        <w:pStyle w:val="Heading2"/>
      </w:pPr>
      <w:r>
        <w:t>4.4 Ongoing / Triggered</w:t>
      </w:r>
    </w:p>
    <w:p>
      <w:r>
        <w:t>The 12 Money Update records are templates, not evergreen articles that should be pre-published. They are activated only when a material official event occurs, such as a central-bank decision, tax change, retirement-rule change or major cross-border regulatory development.</w:t>
      </w:r>
    </w:p>
    <w:p>
      <w:pPr>
        <w:pStyle w:val="Heading1"/>
      </w:pPr>
      <w:r>
        <w:t>5. Content Master Field Dictionary</w:t>
      </w:r>
    </w:p>
    <w:p>
      <w:r>
        <w:t>The Excel master contains 31 fields. These fields are intentionally broader than the minimum public article metadata because the master is also intended to guide the Admin CMS and future database seed structure.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0B1F3A"/>
            <w:tcMar>
              <w:top w:w="70" w:type="dxa"/>
              <w:start w:w="70" w:type="dxa"/>
              <w:bottom w:w="70" w:type="dxa"/>
              <w:end w:w="70" w:type="dxa"/>
            </w:tcMar>
          </w:tcPr>
          <w:p>
            <w:pPr>
              <w:spacing w:after="0"/>
            </w:pPr>
            <w:r/>
            <w:r>
              <w:rPr>
                <w:rFonts w:ascii="Aptos" w:hAnsi="Aptos"/>
                <w:b/>
                <w:color w:val="FFFFFF"/>
                <w:sz w:val="16"/>
              </w:rPr>
              <w:t>Field</w:t>
            </w:r>
          </w:p>
        </w:tc>
        <w:tc>
          <w:tcPr>
            <w:tcW w:type="dxa" w:w="7920"/>
            <w:vAlign w:val="center"/>
            <w:shd w:fill="0B1F3A"/>
            <w:tcMar>
              <w:top w:w="70" w:type="dxa"/>
              <w:start w:w="70" w:type="dxa"/>
              <w:bottom w:w="70" w:type="dxa"/>
              <w:end w:w="70" w:type="dxa"/>
            </w:tcMar>
          </w:tcPr>
          <w:p>
            <w:pPr>
              <w:spacing w:after="0"/>
            </w:pPr>
            <w:r/>
            <w:r>
              <w:rPr>
                <w:rFonts w:ascii="Aptos" w:hAnsi="Aptos"/>
                <w:b/>
                <w:color w:val="FFFFFF"/>
                <w:sz w:val="16"/>
              </w:rPr>
              <w:t>Definition / Use</w:t>
            </w:r>
          </w:p>
        </w:tc>
      </w:tr>
      <w:tr>
        <w:tc>
          <w:tcPr>
            <w:tcW w:type="dxa" w:w="2880"/>
            <w:vAlign w:val="center"/>
            <w:tcMar>
              <w:top w:w="55" w:type="dxa"/>
              <w:start w:w="65" w:type="dxa"/>
              <w:bottom w:w="55" w:type="dxa"/>
              <w:end w:w="65" w:type="dxa"/>
            </w:tcMar>
          </w:tcPr>
          <w:p>
            <w:pPr>
              <w:spacing w:after="0"/>
            </w:pPr>
            <w:r/>
            <w:r>
              <w:rPr>
                <w:rFonts w:ascii="Aptos" w:hAnsi="Aptos"/>
                <w:b w:val="0"/>
                <w:sz w:val="16"/>
              </w:rPr>
              <w:t>Content_ID</w:t>
            </w:r>
          </w:p>
        </w:tc>
        <w:tc>
          <w:tcPr>
            <w:tcW w:type="dxa" w:w="7920"/>
            <w:vAlign w:val="center"/>
            <w:tcMar>
              <w:top w:w="55" w:type="dxa"/>
              <w:start w:w="65" w:type="dxa"/>
              <w:bottom w:w="55" w:type="dxa"/>
              <w:end w:w="65" w:type="dxa"/>
            </w:tcMar>
          </w:tcPr>
          <w:p>
            <w:pPr>
              <w:spacing w:after="0"/>
            </w:pPr>
            <w:r/>
            <w:r>
              <w:rPr>
                <w:rFonts w:ascii="Aptos" w:hAnsi="Aptos"/>
                <w:b w:val="0"/>
                <w:sz w:val="16"/>
              </w:rPr>
              <w:t>Unique stable ID used by CMS seed, editorial workflow and cross-linking.</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Title</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Working/public title. Final SEO title can differ in CMS.</w:t>
            </w:r>
          </w:p>
        </w:tc>
      </w:tr>
      <w:tr>
        <w:tc>
          <w:tcPr>
            <w:tcW w:type="dxa" w:w="2880"/>
            <w:vAlign w:val="center"/>
            <w:tcMar>
              <w:top w:w="55" w:type="dxa"/>
              <w:start w:w="65" w:type="dxa"/>
              <w:bottom w:w="55" w:type="dxa"/>
              <w:end w:w="65" w:type="dxa"/>
            </w:tcMar>
          </w:tcPr>
          <w:p>
            <w:pPr>
              <w:spacing w:after="0"/>
            </w:pPr>
            <w:r/>
            <w:r>
              <w:rPr>
                <w:rFonts w:ascii="Aptos" w:hAnsi="Aptos"/>
                <w:b w:val="0"/>
                <w:sz w:val="16"/>
              </w:rPr>
              <w:t>Content_Type</w:t>
            </w:r>
          </w:p>
        </w:tc>
        <w:tc>
          <w:tcPr>
            <w:tcW w:type="dxa" w:w="7920"/>
            <w:vAlign w:val="center"/>
            <w:tcMar>
              <w:top w:w="55" w:type="dxa"/>
              <w:start w:w="65" w:type="dxa"/>
              <w:bottom w:w="55" w:type="dxa"/>
              <w:end w:w="65" w:type="dxa"/>
            </w:tcMar>
          </w:tcPr>
          <w:p>
            <w:pPr>
              <w:spacing w:after="0"/>
            </w:pPr>
            <w:r/>
            <w:r>
              <w:rPr>
                <w:rFonts w:ascii="Aptos" w:hAnsi="Aptos"/>
                <w:b w:val="0"/>
                <w:sz w:val="16"/>
              </w:rPr>
              <w:t>Article, Guide, FHIP Explainer, Video, Glossary or Money Update Template.</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Primary_Category</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Top-level content hub used for navigation and analytics.</w:t>
            </w:r>
          </w:p>
        </w:tc>
      </w:tr>
      <w:tr>
        <w:tc>
          <w:tcPr>
            <w:tcW w:type="dxa" w:w="2880"/>
            <w:vAlign w:val="center"/>
            <w:tcMar>
              <w:top w:w="55" w:type="dxa"/>
              <w:start w:w="65" w:type="dxa"/>
              <w:bottom w:w="55" w:type="dxa"/>
              <w:end w:w="65" w:type="dxa"/>
            </w:tcMar>
          </w:tcPr>
          <w:p>
            <w:pPr>
              <w:spacing w:after="0"/>
            </w:pPr>
            <w:r/>
            <w:r>
              <w:rPr>
                <w:rFonts w:ascii="Aptos" w:hAnsi="Aptos"/>
                <w:b w:val="0"/>
                <w:sz w:val="16"/>
              </w:rPr>
              <w:t>Subcategory</w:t>
            </w:r>
          </w:p>
        </w:tc>
        <w:tc>
          <w:tcPr>
            <w:tcW w:type="dxa" w:w="7920"/>
            <w:vAlign w:val="center"/>
            <w:tcMar>
              <w:top w:w="55" w:type="dxa"/>
              <w:start w:w="65" w:type="dxa"/>
              <w:bottom w:w="55" w:type="dxa"/>
              <w:end w:w="65" w:type="dxa"/>
            </w:tcMar>
          </w:tcPr>
          <w:p>
            <w:pPr>
              <w:spacing w:after="0"/>
            </w:pPr>
            <w:r/>
            <w:r>
              <w:rPr>
                <w:rFonts w:ascii="Aptos" w:hAnsi="Aptos"/>
                <w:b w:val="0"/>
                <w:sz w:val="16"/>
              </w:rPr>
              <w:t>Secondary grouping or specific knowledge cluster.</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Jurisdiction</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Global, Australia, India or Australia-India Cross-Border.</w:t>
            </w:r>
          </w:p>
        </w:tc>
      </w:tr>
      <w:tr>
        <w:tc>
          <w:tcPr>
            <w:tcW w:type="dxa" w:w="2880"/>
            <w:vAlign w:val="center"/>
            <w:tcMar>
              <w:top w:w="55" w:type="dxa"/>
              <w:start w:w="65" w:type="dxa"/>
              <w:bottom w:w="55" w:type="dxa"/>
              <w:end w:w="65" w:type="dxa"/>
            </w:tcMar>
          </w:tcPr>
          <w:p>
            <w:pPr>
              <w:spacing w:after="0"/>
            </w:pPr>
            <w:r/>
            <w:r>
              <w:rPr>
                <w:rFonts w:ascii="Aptos" w:hAnsi="Aptos"/>
                <w:b w:val="0"/>
                <w:sz w:val="16"/>
              </w:rPr>
              <w:t>Audience_Level</w:t>
            </w:r>
          </w:p>
        </w:tc>
        <w:tc>
          <w:tcPr>
            <w:tcW w:type="dxa" w:w="7920"/>
            <w:vAlign w:val="center"/>
            <w:tcMar>
              <w:top w:w="55" w:type="dxa"/>
              <w:start w:w="65" w:type="dxa"/>
              <w:bottom w:w="55" w:type="dxa"/>
              <w:end w:w="65" w:type="dxa"/>
            </w:tcMar>
          </w:tcPr>
          <w:p>
            <w:pPr>
              <w:spacing w:after="0"/>
            </w:pPr>
            <w:r/>
            <w:r>
              <w:rPr>
                <w:rFonts w:ascii="Aptos" w:hAnsi="Aptos"/>
                <w:b w:val="0"/>
                <w:sz w:val="16"/>
              </w:rPr>
              <w:t>Primary reading level / sophistication.</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User_Question_Search_Intent</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Plain-language question or search problem the content should answer.</w:t>
            </w:r>
          </w:p>
        </w:tc>
      </w:tr>
      <w:tr>
        <w:tc>
          <w:tcPr>
            <w:tcW w:type="dxa" w:w="2880"/>
            <w:vAlign w:val="center"/>
            <w:tcMar>
              <w:top w:w="55" w:type="dxa"/>
              <w:start w:w="65" w:type="dxa"/>
              <w:bottom w:w="55" w:type="dxa"/>
              <w:end w:w="65" w:type="dxa"/>
            </w:tcMar>
          </w:tcPr>
          <w:p>
            <w:pPr>
              <w:spacing w:after="0"/>
            </w:pPr>
            <w:r/>
            <w:r>
              <w:rPr>
                <w:rFonts w:ascii="Aptos" w:hAnsi="Aptos"/>
                <w:b w:val="0"/>
                <w:sz w:val="16"/>
              </w:rPr>
              <w:t>Primary_Keyword_Theme</w:t>
            </w:r>
          </w:p>
        </w:tc>
        <w:tc>
          <w:tcPr>
            <w:tcW w:type="dxa" w:w="7920"/>
            <w:vAlign w:val="center"/>
            <w:tcMar>
              <w:top w:w="55" w:type="dxa"/>
              <w:start w:w="65" w:type="dxa"/>
              <w:bottom w:w="55" w:type="dxa"/>
              <w:end w:w="65" w:type="dxa"/>
            </w:tcMar>
          </w:tcPr>
          <w:p>
            <w:pPr>
              <w:spacing w:after="0"/>
            </w:pPr>
            <w:r/>
            <w:r>
              <w:rPr>
                <w:rFonts w:ascii="Aptos" w:hAnsi="Aptos"/>
                <w:b w:val="0"/>
                <w:sz w:val="16"/>
              </w:rPr>
              <w:t>Initial SEO theme; keyword research can refine before publish.</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Editorial_Brief</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What the content should accomplish and how it should connect to FHIP.</w:t>
            </w:r>
          </w:p>
        </w:tc>
      </w:tr>
      <w:tr>
        <w:tc>
          <w:tcPr>
            <w:tcW w:type="dxa" w:w="2880"/>
            <w:vAlign w:val="center"/>
            <w:tcMar>
              <w:top w:w="55" w:type="dxa"/>
              <w:start w:w="65" w:type="dxa"/>
              <w:bottom w:w="55" w:type="dxa"/>
              <w:end w:w="65" w:type="dxa"/>
            </w:tcMar>
          </w:tcPr>
          <w:p>
            <w:pPr>
              <w:spacing w:after="0"/>
            </w:pPr>
            <w:r/>
            <w:r>
              <w:rPr>
                <w:rFonts w:ascii="Aptos" w:hAnsi="Aptos"/>
                <w:b w:val="0"/>
                <w:sz w:val="16"/>
              </w:rPr>
              <w:t>Key_Points_to_Cover</w:t>
            </w:r>
          </w:p>
        </w:tc>
        <w:tc>
          <w:tcPr>
            <w:tcW w:type="dxa" w:w="7920"/>
            <w:vAlign w:val="center"/>
            <w:tcMar>
              <w:top w:w="55" w:type="dxa"/>
              <w:start w:w="65" w:type="dxa"/>
              <w:bottom w:w="55" w:type="dxa"/>
              <w:end w:w="65" w:type="dxa"/>
            </w:tcMar>
          </w:tcPr>
          <w:p>
            <w:pPr>
              <w:spacing w:after="0"/>
            </w:pPr>
            <w:r/>
            <w:r>
              <w:rPr>
                <w:rFonts w:ascii="Aptos" w:hAnsi="Aptos"/>
                <w:b w:val="0"/>
                <w:sz w:val="16"/>
              </w:rPr>
              <w:t>Minimum sections/topics to cover in first draft.</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Primary_FHIP_Module</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Main product module associated with the content.</w:t>
            </w:r>
          </w:p>
        </w:tc>
      </w:tr>
      <w:tr>
        <w:tc>
          <w:tcPr>
            <w:tcW w:type="dxa" w:w="2880"/>
            <w:vAlign w:val="center"/>
            <w:tcMar>
              <w:top w:w="55" w:type="dxa"/>
              <w:start w:w="65" w:type="dxa"/>
              <w:bottom w:w="55" w:type="dxa"/>
              <w:end w:w="65" w:type="dxa"/>
            </w:tcMar>
          </w:tcPr>
          <w:p>
            <w:pPr>
              <w:spacing w:after="0"/>
            </w:pPr>
            <w:r/>
            <w:r>
              <w:rPr>
                <w:rFonts w:ascii="Aptos" w:hAnsi="Aptos"/>
                <w:b w:val="0"/>
                <w:sz w:val="16"/>
              </w:rPr>
              <w:t>Secondary_FHIP_Module</w:t>
            </w:r>
          </w:p>
        </w:tc>
        <w:tc>
          <w:tcPr>
            <w:tcW w:type="dxa" w:w="7920"/>
            <w:vAlign w:val="center"/>
            <w:tcMar>
              <w:top w:w="55" w:type="dxa"/>
              <w:start w:w="65" w:type="dxa"/>
              <w:bottom w:w="55" w:type="dxa"/>
              <w:end w:w="65" w:type="dxa"/>
            </w:tcMar>
          </w:tcPr>
          <w:p>
            <w:pPr>
              <w:spacing w:after="0"/>
            </w:pPr>
            <w:r/>
            <w:r>
              <w:rPr>
                <w:rFonts w:ascii="Aptos" w:hAnsi="Aptos"/>
                <w:b w:val="0"/>
                <w:sz w:val="16"/>
              </w:rPr>
              <w:t>Secondary product connection.</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Primary_CTA</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Primary in-product action to propose after education.</w:t>
            </w:r>
          </w:p>
        </w:tc>
      </w:tr>
      <w:tr>
        <w:tc>
          <w:tcPr>
            <w:tcW w:type="dxa" w:w="2880"/>
            <w:vAlign w:val="center"/>
            <w:tcMar>
              <w:top w:w="55" w:type="dxa"/>
              <w:start w:w="65" w:type="dxa"/>
              <w:bottom w:w="55" w:type="dxa"/>
              <w:end w:w="65" w:type="dxa"/>
            </w:tcMar>
          </w:tcPr>
          <w:p>
            <w:pPr>
              <w:spacing w:after="0"/>
            </w:pPr>
            <w:r/>
            <w:r>
              <w:rPr>
                <w:rFonts w:ascii="Aptos" w:hAnsi="Aptos"/>
                <w:b w:val="0"/>
                <w:sz w:val="16"/>
              </w:rPr>
              <w:t>GKTC_Video_Linkage</w:t>
            </w:r>
          </w:p>
        </w:tc>
        <w:tc>
          <w:tcPr>
            <w:tcW w:type="dxa" w:w="7920"/>
            <w:vAlign w:val="center"/>
            <w:tcMar>
              <w:top w:w="55" w:type="dxa"/>
              <w:start w:w="65" w:type="dxa"/>
              <w:bottom w:w="55" w:type="dxa"/>
              <w:end w:w="65" w:type="dxa"/>
            </w:tcMar>
          </w:tcPr>
          <w:p>
            <w:pPr>
              <w:spacing w:after="0"/>
            </w:pPr>
            <w:r/>
            <w:r>
              <w:rPr>
                <w:rFonts w:ascii="Aptos" w:hAnsi="Aptos"/>
                <w:b w:val="0"/>
                <w:sz w:val="16"/>
              </w:rPr>
              <w:t>Planned/related @GKTC video ID. Blank if none planned initially.</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YouTube_Channel</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@GKTC for video-related records.</w:t>
            </w:r>
          </w:p>
        </w:tc>
      </w:tr>
      <w:tr>
        <w:tc>
          <w:tcPr>
            <w:tcW w:type="dxa" w:w="2880"/>
            <w:vAlign w:val="center"/>
            <w:tcMar>
              <w:top w:w="55" w:type="dxa"/>
              <w:start w:w="65" w:type="dxa"/>
              <w:bottom w:w="55" w:type="dxa"/>
              <w:end w:w="65" w:type="dxa"/>
            </w:tcMar>
          </w:tcPr>
          <w:p>
            <w:pPr>
              <w:spacing w:after="0"/>
            </w:pPr>
            <w:r/>
            <w:r>
              <w:rPr>
                <w:rFonts w:ascii="Aptos" w:hAnsi="Aptos"/>
                <w:b w:val="0"/>
                <w:sz w:val="16"/>
              </w:rPr>
              <w:t>Risk_Class</w:t>
            </w:r>
          </w:p>
        </w:tc>
        <w:tc>
          <w:tcPr>
            <w:tcW w:type="dxa" w:w="7920"/>
            <w:vAlign w:val="center"/>
            <w:tcMar>
              <w:top w:w="55" w:type="dxa"/>
              <w:start w:w="65" w:type="dxa"/>
              <w:bottom w:w="55" w:type="dxa"/>
              <w:end w:w="65" w:type="dxa"/>
            </w:tcMar>
          </w:tcPr>
          <w:p>
            <w:pPr>
              <w:spacing w:after="0"/>
            </w:pPr>
            <w:r/>
            <w:r>
              <w:rPr>
                <w:rFonts w:ascii="Aptos" w:hAnsi="Aptos"/>
                <w:b w:val="0"/>
                <w:sz w:val="16"/>
              </w:rPr>
              <w:t>GREEN general education, AMBER time-sensitive/regulated-topic review, RED restricted recommendation content.</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Freshness_Type</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Evergreen, product-dependent or time-sensitive.</w:t>
            </w:r>
          </w:p>
        </w:tc>
      </w:tr>
      <w:tr>
        <w:tc>
          <w:tcPr>
            <w:tcW w:type="dxa" w:w="2880"/>
            <w:vAlign w:val="center"/>
            <w:tcMar>
              <w:top w:w="55" w:type="dxa"/>
              <w:start w:w="65" w:type="dxa"/>
              <w:bottom w:w="55" w:type="dxa"/>
              <w:end w:w="65" w:type="dxa"/>
            </w:tcMar>
          </w:tcPr>
          <w:p>
            <w:pPr>
              <w:spacing w:after="0"/>
            </w:pPr>
            <w:r/>
            <w:r>
              <w:rPr>
                <w:rFonts w:ascii="Aptos" w:hAnsi="Aptos"/>
                <w:b w:val="0"/>
                <w:sz w:val="16"/>
              </w:rPr>
              <w:t>Review_Cycle_Months</w:t>
            </w:r>
          </w:p>
        </w:tc>
        <w:tc>
          <w:tcPr>
            <w:tcW w:type="dxa" w:w="7920"/>
            <w:vAlign w:val="center"/>
            <w:tcMar>
              <w:top w:w="55" w:type="dxa"/>
              <w:start w:w="65" w:type="dxa"/>
              <w:bottom w:w="55" w:type="dxa"/>
              <w:end w:w="65" w:type="dxa"/>
            </w:tcMar>
          </w:tcPr>
          <w:p>
            <w:pPr>
              <w:spacing w:after="0"/>
            </w:pPr>
            <w:r/>
            <w:r>
              <w:rPr>
                <w:rFonts w:ascii="Aptos" w:hAnsi="Aptos"/>
                <w:b w:val="0"/>
                <w:sz w:val="16"/>
              </w:rPr>
              <w:t>Default content review interval; earlier review if law/product logic changes.</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Launch_Priority</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P0 launch, P1 first 90 days, P2 expansion, Ongoing triggered.</w:t>
            </w:r>
          </w:p>
        </w:tc>
      </w:tr>
      <w:tr>
        <w:tc>
          <w:tcPr>
            <w:tcW w:type="dxa" w:w="2880"/>
            <w:vAlign w:val="center"/>
            <w:tcMar>
              <w:top w:w="55" w:type="dxa"/>
              <w:start w:w="65" w:type="dxa"/>
              <w:bottom w:w="55" w:type="dxa"/>
              <w:end w:w="65" w:type="dxa"/>
            </w:tcMar>
          </w:tcPr>
          <w:p>
            <w:pPr>
              <w:spacing w:after="0"/>
            </w:pPr>
            <w:r/>
            <w:r>
              <w:rPr>
                <w:rFonts w:ascii="Aptos" w:hAnsi="Aptos"/>
                <w:b w:val="0"/>
                <w:sz w:val="16"/>
              </w:rPr>
              <w:t>Launch_Wave</w:t>
            </w:r>
          </w:p>
        </w:tc>
        <w:tc>
          <w:tcPr>
            <w:tcW w:type="dxa" w:w="7920"/>
            <w:vAlign w:val="center"/>
            <w:tcMar>
              <w:top w:w="55" w:type="dxa"/>
              <w:start w:w="65" w:type="dxa"/>
              <w:bottom w:w="55" w:type="dxa"/>
              <w:end w:w="65" w:type="dxa"/>
            </w:tcMar>
          </w:tcPr>
          <w:p>
            <w:pPr>
              <w:spacing w:after="0"/>
            </w:pPr>
            <w:r/>
            <w:r>
              <w:rPr>
                <w:rFonts w:ascii="Aptos" w:hAnsi="Aptos"/>
                <w:b w:val="0"/>
                <w:sz w:val="16"/>
              </w:rPr>
              <w:t>Editorial production sequence.</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Recommended_Length</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Target article word count or video duration/transcript depth.</w:t>
            </w:r>
          </w:p>
        </w:tc>
      </w:tr>
      <w:tr>
        <w:tc>
          <w:tcPr>
            <w:tcW w:type="dxa" w:w="2880"/>
            <w:vAlign w:val="center"/>
            <w:tcMar>
              <w:top w:w="55" w:type="dxa"/>
              <w:start w:w="65" w:type="dxa"/>
              <w:bottom w:w="55" w:type="dxa"/>
              <w:end w:w="65" w:type="dxa"/>
            </w:tcMar>
          </w:tcPr>
          <w:p>
            <w:pPr>
              <w:spacing w:after="0"/>
            </w:pPr>
            <w:r/>
            <w:r>
              <w:rPr>
                <w:rFonts w:ascii="Aptos" w:hAnsi="Aptos"/>
                <w:b w:val="0"/>
                <w:sz w:val="16"/>
              </w:rPr>
              <w:t>Recommended_Visual</w:t>
            </w:r>
          </w:p>
        </w:tc>
        <w:tc>
          <w:tcPr>
            <w:tcW w:type="dxa" w:w="7920"/>
            <w:vAlign w:val="center"/>
            <w:tcMar>
              <w:top w:w="55" w:type="dxa"/>
              <w:start w:w="65" w:type="dxa"/>
              <w:bottom w:w="55" w:type="dxa"/>
              <w:end w:w="65" w:type="dxa"/>
            </w:tcMar>
          </w:tcPr>
          <w:p>
            <w:pPr>
              <w:spacing w:after="0"/>
            </w:pPr>
            <w:r/>
            <w:r>
              <w:rPr>
                <w:rFonts w:ascii="Aptos" w:hAnsi="Aptos"/>
                <w:b w:val="0"/>
                <w:sz w:val="16"/>
              </w:rPr>
              <w:t>Preferred visual element to avoid text-only content.</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Primary_Source_Hierarchy</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Preferred source types to verify content before publishing.</w:t>
            </w:r>
          </w:p>
        </w:tc>
      </w:tr>
      <w:tr>
        <w:tc>
          <w:tcPr>
            <w:tcW w:type="dxa" w:w="2880"/>
            <w:vAlign w:val="center"/>
            <w:tcMar>
              <w:top w:w="55" w:type="dxa"/>
              <w:start w:w="65" w:type="dxa"/>
              <w:bottom w:w="55" w:type="dxa"/>
              <w:end w:w="65" w:type="dxa"/>
            </w:tcMar>
          </w:tcPr>
          <w:p>
            <w:pPr>
              <w:spacing w:after="0"/>
            </w:pPr>
            <w:r/>
            <w:r>
              <w:rPr>
                <w:rFonts w:ascii="Aptos" w:hAnsi="Aptos"/>
                <w:b w:val="0"/>
                <w:sz w:val="16"/>
              </w:rPr>
              <w:t>SEO_Pillar</w:t>
            </w:r>
          </w:p>
        </w:tc>
        <w:tc>
          <w:tcPr>
            <w:tcW w:type="dxa" w:w="7920"/>
            <w:vAlign w:val="center"/>
            <w:tcMar>
              <w:top w:w="55" w:type="dxa"/>
              <w:start w:w="65" w:type="dxa"/>
              <w:bottom w:w="55" w:type="dxa"/>
              <w:end w:w="65" w:type="dxa"/>
            </w:tcMar>
          </w:tcPr>
          <w:p>
            <w:pPr>
              <w:spacing w:after="0"/>
            </w:pPr>
            <w:r/>
            <w:r>
              <w:rPr>
                <w:rFonts w:ascii="Aptos" w:hAnsi="Aptos"/>
                <w:b w:val="0"/>
                <w:sz w:val="16"/>
              </w:rPr>
              <w:t>Search/content cluster used for internal linking and reporting.</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Related_Content_Cluster</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Primary cluster for related-content recommendation rules.</w:t>
            </w:r>
          </w:p>
        </w:tc>
      </w:tr>
      <w:tr>
        <w:tc>
          <w:tcPr>
            <w:tcW w:type="dxa" w:w="2880"/>
            <w:vAlign w:val="center"/>
            <w:tcMar>
              <w:top w:w="55" w:type="dxa"/>
              <w:start w:w="65" w:type="dxa"/>
              <w:bottom w:w="55" w:type="dxa"/>
              <w:end w:w="65" w:type="dxa"/>
            </w:tcMar>
          </w:tcPr>
          <w:p>
            <w:pPr>
              <w:spacing w:after="0"/>
            </w:pPr>
            <w:r/>
            <w:r>
              <w:rPr>
                <w:rFonts w:ascii="Aptos" w:hAnsi="Aptos"/>
                <w:b w:val="0"/>
                <w:sz w:val="16"/>
              </w:rPr>
              <w:t>Conversion_Goal</w:t>
            </w:r>
          </w:p>
        </w:tc>
        <w:tc>
          <w:tcPr>
            <w:tcW w:type="dxa" w:w="7920"/>
            <w:vAlign w:val="center"/>
            <w:tcMar>
              <w:top w:w="55" w:type="dxa"/>
              <w:start w:w="65" w:type="dxa"/>
              <w:bottom w:w="55" w:type="dxa"/>
              <w:end w:w="65" w:type="dxa"/>
            </w:tcMar>
          </w:tcPr>
          <w:p>
            <w:pPr>
              <w:spacing w:after="0"/>
            </w:pPr>
            <w:r/>
            <w:r>
              <w:rPr>
                <w:rFonts w:ascii="Aptos" w:hAnsi="Aptos"/>
                <w:b w:val="0"/>
                <w:sz w:val="16"/>
              </w:rPr>
              <w:t>Business journey supported by the content.</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Proposed_URL</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Initial public route; final slug should remain stable once published.</w:t>
            </w:r>
          </w:p>
        </w:tc>
      </w:tr>
      <w:tr>
        <w:tc>
          <w:tcPr>
            <w:tcW w:type="dxa" w:w="2880"/>
            <w:vAlign w:val="center"/>
            <w:tcMar>
              <w:top w:w="55" w:type="dxa"/>
              <w:start w:w="65" w:type="dxa"/>
              <w:bottom w:w="55" w:type="dxa"/>
              <w:end w:w="65" w:type="dxa"/>
            </w:tcMar>
          </w:tcPr>
          <w:p>
            <w:pPr>
              <w:spacing w:after="0"/>
            </w:pPr>
            <w:r/>
            <w:r>
              <w:rPr>
                <w:rFonts w:ascii="Aptos" w:hAnsi="Aptos"/>
                <w:b w:val="0"/>
                <w:sz w:val="16"/>
              </w:rPr>
              <w:t>Status</w:t>
            </w:r>
          </w:p>
        </w:tc>
        <w:tc>
          <w:tcPr>
            <w:tcW w:type="dxa" w:w="7920"/>
            <w:vAlign w:val="center"/>
            <w:tcMar>
              <w:top w:w="55" w:type="dxa"/>
              <w:start w:w="65" w:type="dxa"/>
              <w:bottom w:w="55" w:type="dxa"/>
              <w:end w:w="65" w:type="dxa"/>
            </w:tcMar>
          </w:tcPr>
          <w:p>
            <w:pPr>
              <w:spacing w:after="0"/>
            </w:pPr>
            <w:r/>
            <w:r>
              <w:rPr>
                <w:rFonts w:ascii="Aptos" w:hAnsi="Aptos"/>
                <w:b w:val="0"/>
                <w:sz w:val="16"/>
              </w:rPr>
              <w:t>Initial workflow state.</w:t>
            </w:r>
          </w:p>
        </w:tc>
      </w:tr>
      <w:tr>
        <w:tc>
          <w:tcPr>
            <w:tcW w:type="dxa" w:w="2880"/>
            <w:vAlign w:val="center"/>
            <w:tcMar>
              <w:top w:w="55" w:type="dxa"/>
              <w:start w:w="65" w:type="dxa"/>
              <w:bottom w:w="55" w:type="dxa"/>
              <w:end w:w="65" w:type="dxa"/>
            </w:tcMar>
            <w:shd w:fill="F4F7FB"/>
          </w:tcPr>
          <w:p>
            <w:pPr>
              <w:spacing w:after="0"/>
            </w:pPr>
            <w:r/>
            <w:r>
              <w:rPr>
                <w:rFonts w:ascii="Aptos" w:hAnsi="Aptos"/>
                <w:b w:val="0"/>
                <w:sz w:val="16"/>
              </w:rPr>
              <w:t>Owner</w:t>
            </w:r>
          </w:p>
        </w:tc>
        <w:tc>
          <w:tcPr>
            <w:tcW w:type="dxa" w:w="7920"/>
            <w:vAlign w:val="center"/>
            <w:tcMar>
              <w:top w:w="55" w:type="dxa"/>
              <w:start w:w="65" w:type="dxa"/>
              <w:bottom w:w="55" w:type="dxa"/>
              <w:end w:w="65" w:type="dxa"/>
            </w:tcMar>
            <w:shd w:fill="F4F7FB"/>
          </w:tcPr>
          <w:p>
            <w:pPr>
              <w:spacing w:after="0"/>
            </w:pPr>
            <w:r/>
            <w:r>
              <w:rPr>
                <w:rFonts w:ascii="Aptos" w:hAnsi="Aptos"/>
                <w:b w:val="0"/>
                <w:sz w:val="16"/>
              </w:rPr>
              <w:t>Default accountable team.</w:t>
            </w:r>
          </w:p>
        </w:tc>
      </w:tr>
      <w:tr>
        <w:tc>
          <w:tcPr>
            <w:tcW w:type="dxa" w:w="2880"/>
            <w:vAlign w:val="center"/>
            <w:tcMar>
              <w:top w:w="55" w:type="dxa"/>
              <w:start w:w="65" w:type="dxa"/>
              <w:bottom w:w="55" w:type="dxa"/>
              <w:end w:w="65" w:type="dxa"/>
            </w:tcMar>
          </w:tcPr>
          <w:p>
            <w:pPr>
              <w:spacing w:after="0"/>
            </w:pPr>
            <w:r/>
            <w:r>
              <w:rPr>
                <w:rFonts w:ascii="Aptos" w:hAnsi="Aptos"/>
                <w:b w:val="0"/>
                <w:sz w:val="16"/>
              </w:rPr>
              <w:t>Notes</w:t>
            </w:r>
          </w:p>
        </w:tc>
        <w:tc>
          <w:tcPr>
            <w:tcW w:type="dxa" w:w="7920"/>
            <w:vAlign w:val="center"/>
            <w:tcMar>
              <w:top w:w="55" w:type="dxa"/>
              <w:start w:w="65" w:type="dxa"/>
              <w:bottom w:w="55" w:type="dxa"/>
              <w:end w:w="65" w:type="dxa"/>
            </w:tcMar>
          </w:tcPr>
          <w:p>
            <w:pPr>
              <w:spacing w:after="0"/>
            </w:pPr>
            <w:r/>
            <w:r>
              <w:rPr>
                <w:rFonts w:ascii="Aptos" w:hAnsi="Aptos"/>
                <w:b w:val="0"/>
                <w:sz w:val="16"/>
              </w:rPr>
              <w:t>Operational constraints or important publishing instructions.</w:t>
            </w:r>
          </w:p>
        </w:tc>
      </w:tr>
    </w:tbl>
    <w:p>
      <w:pPr>
        <w:spacing w:after="0"/>
      </w:pPr>
    </w:p>
    <w:p>
      <w:pPr>
        <w:pStyle w:val="Heading1"/>
      </w:pPr>
      <w:r>
        <w:t>6. Content Pillars and Product Mapping</w:t>
      </w:r>
    </w:p>
    <w:p>
      <w:r>
        <w:t>Content categories are written for consumers, while the master separately records the internal FHIP module connection. This prevents the public Resources area from feeling like a copy of the application menu.</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024"/>
            <w:vAlign w:val="center"/>
            <w:shd w:fill="0B1F3A"/>
            <w:tcMar>
              <w:top w:w="70" w:type="dxa"/>
              <w:start w:w="70" w:type="dxa"/>
              <w:bottom w:w="70" w:type="dxa"/>
              <w:end w:w="70" w:type="dxa"/>
            </w:tcMar>
          </w:tcPr>
          <w:p>
            <w:pPr>
              <w:spacing w:after="0"/>
            </w:pPr>
            <w:r/>
            <w:r>
              <w:rPr>
                <w:rFonts w:ascii="Aptos" w:hAnsi="Aptos"/>
                <w:b/>
                <w:color w:val="FFFFFF"/>
                <w:sz w:val="15"/>
              </w:rPr>
              <w:t>Consumer Content Pillar</w:t>
            </w:r>
          </w:p>
        </w:tc>
        <w:tc>
          <w:tcPr>
            <w:tcW w:type="dxa" w:w="2880"/>
            <w:vAlign w:val="center"/>
            <w:shd w:fill="0B1F3A"/>
            <w:tcMar>
              <w:top w:w="70" w:type="dxa"/>
              <w:start w:w="70" w:type="dxa"/>
              <w:bottom w:w="70" w:type="dxa"/>
              <w:end w:w="70" w:type="dxa"/>
            </w:tcMar>
          </w:tcPr>
          <w:p>
            <w:pPr>
              <w:spacing w:after="0"/>
            </w:pPr>
            <w:r/>
            <w:r>
              <w:rPr>
                <w:rFonts w:ascii="Aptos" w:hAnsi="Aptos"/>
                <w:b/>
                <w:color w:val="FFFFFF"/>
                <w:sz w:val="15"/>
              </w:rPr>
              <w:t>Primary FHIP Module</w:t>
            </w:r>
          </w:p>
        </w:tc>
        <w:tc>
          <w:tcPr>
            <w:tcW w:type="dxa" w:w="2736"/>
            <w:vAlign w:val="center"/>
            <w:shd w:fill="0B1F3A"/>
            <w:tcMar>
              <w:top w:w="70" w:type="dxa"/>
              <w:start w:w="70" w:type="dxa"/>
              <w:bottom w:w="70" w:type="dxa"/>
              <w:end w:w="70" w:type="dxa"/>
            </w:tcMar>
          </w:tcPr>
          <w:p>
            <w:pPr>
              <w:spacing w:after="0"/>
            </w:pPr>
            <w:r/>
            <w:r>
              <w:rPr>
                <w:rFonts w:ascii="Aptos" w:hAnsi="Aptos"/>
                <w:b/>
                <w:color w:val="FFFFFF"/>
                <w:sz w:val="15"/>
              </w:rPr>
              <w:t>Default CTA</w:t>
            </w:r>
          </w:p>
        </w:tc>
        <w:tc>
          <w:tcPr>
            <w:tcW w:type="dxa" w:w="2592"/>
            <w:vAlign w:val="center"/>
            <w:shd w:fill="0B1F3A"/>
            <w:tcMar>
              <w:top w:w="70" w:type="dxa"/>
              <w:start w:w="70" w:type="dxa"/>
              <w:bottom w:w="70" w:type="dxa"/>
              <w:end w:w="70" w:type="dxa"/>
            </w:tcMar>
          </w:tcPr>
          <w:p>
            <w:pPr>
              <w:spacing w:after="0"/>
            </w:pPr>
            <w:r/>
            <w:r>
              <w:rPr>
                <w:rFonts w:ascii="Aptos" w:hAnsi="Aptos"/>
                <w:b/>
                <w:color w:val="FFFFFF"/>
                <w:sz w:val="15"/>
              </w:rPr>
              <w:t>SEO / Knowledge Pillar</w:t>
            </w:r>
          </w:p>
        </w:tc>
      </w:tr>
      <w:tr>
        <w:tc>
          <w:tcPr>
            <w:tcW w:type="dxa" w:w="3024"/>
            <w:vAlign w:val="center"/>
            <w:tcMar>
              <w:top w:w="55" w:type="dxa"/>
              <w:start w:w="65" w:type="dxa"/>
              <w:bottom w:w="55" w:type="dxa"/>
              <w:end w:w="65" w:type="dxa"/>
            </w:tcMar>
          </w:tcPr>
          <w:p>
            <w:pPr>
              <w:spacing w:after="0"/>
            </w:pPr>
            <w:r/>
            <w:r>
              <w:rPr>
                <w:rFonts w:ascii="Aptos" w:hAnsi="Aptos"/>
                <w:b w:val="0"/>
                <w:sz w:val="15"/>
              </w:rPr>
              <w:t>Financial Health</w:t>
            </w:r>
          </w:p>
        </w:tc>
        <w:tc>
          <w:tcPr>
            <w:tcW w:type="dxa" w:w="2880"/>
            <w:vAlign w:val="center"/>
            <w:tcMar>
              <w:top w:w="55" w:type="dxa"/>
              <w:start w:w="65" w:type="dxa"/>
              <w:bottom w:w="55" w:type="dxa"/>
              <w:end w:w="65" w:type="dxa"/>
            </w:tcMar>
          </w:tcPr>
          <w:p>
            <w:pPr>
              <w:spacing w:after="0"/>
            </w:pPr>
            <w:r/>
            <w:r>
              <w:rPr>
                <w:rFonts w:ascii="Aptos" w:hAnsi="Aptos"/>
                <w:b w:val="0"/>
                <w:sz w:val="15"/>
              </w:rPr>
              <w:t>Dashboard &amp; Summary Analytics</w:t>
            </w:r>
          </w:p>
        </w:tc>
        <w:tc>
          <w:tcPr>
            <w:tcW w:type="dxa" w:w="2736"/>
            <w:vAlign w:val="center"/>
            <w:tcMar>
              <w:top w:w="55" w:type="dxa"/>
              <w:start w:w="65" w:type="dxa"/>
              <w:bottom w:w="55" w:type="dxa"/>
              <w:end w:w="65" w:type="dxa"/>
            </w:tcMar>
          </w:tcPr>
          <w:p>
            <w:pPr>
              <w:spacing w:after="0"/>
            </w:pPr>
            <w:r/>
            <w:r>
              <w:rPr>
                <w:rFonts w:ascii="Aptos" w:hAnsi="Aptos"/>
                <w:b w:val="0"/>
                <w:sz w:val="15"/>
              </w:rPr>
              <w:t>Check My Financial Health</w:t>
            </w:r>
          </w:p>
        </w:tc>
        <w:tc>
          <w:tcPr>
            <w:tcW w:type="dxa" w:w="2592"/>
            <w:vAlign w:val="center"/>
            <w:tcMar>
              <w:top w:w="55" w:type="dxa"/>
              <w:start w:w="65" w:type="dxa"/>
              <w:bottom w:w="55" w:type="dxa"/>
              <w:end w:w="65" w:type="dxa"/>
            </w:tcMar>
          </w:tcPr>
          <w:p>
            <w:pPr>
              <w:spacing w:after="0"/>
            </w:pPr>
            <w:r/>
            <w:r>
              <w:rPr>
                <w:rFonts w:ascii="Aptos" w:hAnsi="Aptos"/>
                <w:b w:val="0"/>
                <w:sz w:val="15"/>
              </w:rPr>
              <w:t>Financial health fundamentals</w:t>
            </w:r>
          </w:p>
        </w:tc>
      </w:tr>
      <w:tr>
        <w:tc>
          <w:tcPr>
            <w:tcW w:type="dxa" w:w="3024"/>
            <w:vAlign w:val="center"/>
            <w:tcMar>
              <w:top w:w="55" w:type="dxa"/>
              <w:start w:w="65" w:type="dxa"/>
              <w:bottom w:w="55" w:type="dxa"/>
              <w:end w:w="65" w:type="dxa"/>
            </w:tcMar>
            <w:shd w:fill="F4F7FB"/>
          </w:tcPr>
          <w:p>
            <w:pPr>
              <w:spacing w:after="0"/>
            </w:pPr>
            <w:r/>
            <w:r>
              <w:rPr>
                <w:rFonts w:ascii="Aptos" w:hAnsi="Aptos"/>
                <w:b w:val="0"/>
                <w:sz w:val="15"/>
              </w:rPr>
              <w:t>Managing Money &amp; Cash Flow</w:t>
            </w:r>
          </w:p>
        </w:tc>
        <w:tc>
          <w:tcPr>
            <w:tcW w:type="dxa" w:w="2880"/>
            <w:vAlign w:val="center"/>
            <w:tcMar>
              <w:top w:w="55" w:type="dxa"/>
              <w:start w:w="65" w:type="dxa"/>
              <w:bottom w:w="55" w:type="dxa"/>
              <w:end w:w="65" w:type="dxa"/>
            </w:tcMar>
            <w:shd w:fill="F4F7FB"/>
          </w:tcPr>
          <w:p>
            <w:pPr>
              <w:spacing w:after="0"/>
            </w:pPr>
            <w:r/>
            <w:r>
              <w:rPr>
                <w:rFonts w:ascii="Aptos" w:hAnsi="Aptos"/>
                <w:b w:val="0"/>
                <w:sz w:val="15"/>
              </w:rPr>
              <w:t>Input Data - Income &amp; Expenses</w:t>
            </w:r>
          </w:p>
        </w:tc>
        <w:tc>
          <w:tcPr>
            <w:tcW w:type="dxa" w:w="2736"/>
            <w:vAlign w:val="center"/>
            <w:tcMar>
              <w:top w:w="55" w:type="dxa"/>
              <w:start w:w="65" w:type="dxa"/>
              <w:bottom w:w="55" w:type="dxa"/>
              <w:end w:w="65" w:type="dxa"/>
            </w:tcMar>
            <w:shd w:fill="F4F7FB"/>
          </w:tcPr>
          <w:p>
            <w:pPr>
              <w:spacing w:after="0"/>
            </w:pPr>
            <w:r/>
            <w:r>
              <w:rPr>
                <w:rFonts w:ascii="Aptos" w:hAnsi="Aptos"/>
                <w:b w:val="0"/>
                <w:sz w:val="15"/>
              </w:rPr>
              <w:t>Review My Cash Flow</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Cash flow and saving</w:t>
            </w:r>
          </w:p>
        </w:tc>
      </w:tr>
      <w:tr>
        <w:tc>
          <w:tcPr>
            <w:tcW w:type="dxa" w:w="3024"/>
            <w:vAlign w:val="center"/>
            <w:tcMar>
              <w:top w:w="55" w:type="dxa"/>
              <w:start w:w="65" w:type="dxa"/>
              <w:bottom w:w="55" w:type="dxa"/>
              <w:end w:w="65" w:type="dxa"/>
            </w:tcMar>
          </w:tcPr>
          <w:p>
            <w:pPr>
              <w:spacing w:after="0"/>
            </w:pPr>
            <w:r/>
            <w:r>
              <w:rPr>
                <w:rFonts w:ascii="Aptos" w:hAnsi="Aptos"/>
                <w:b w:val="0"/>
                <w:sz w:val="15"/>
              </w:rPr>
              <w:t>Emergency &amp; Resilience</w:t>
            </w:r>
          </w:p>
        </w:tc>
        <w:tc>
          <w:tcPr>
            <w:tcW w:type="dxa" w:w="2880"/>
            <w:vAlign w:val="center"/>
            <w:tcMar>
              <w:top w:w="55" w:type="dxa"/>
              <w:start w:w="65" w:type="dxa"/>
              <w:bottom w:w="55" w:type="dxa"/>
              <w:end w:w="65" w:type="dxa"/>
            </w:tcMar>
          </w:tcPr>
          <w:p>
            <w:pPr>
              <w:spacing w:after="0"/>
            </w:pPr>
            <w:r/>
            <w:r>
              <w:rPr>
                <w:rFonts w:ascii="Aptos" w:hAnsi="Aptos"/>
                <w:b w:val="0"/>
                <w:sz w:val="15"/>
              </w:rPr>
              <w:t>Resilience</w:t>
            </w:r>
          </w:p>
        </w:tc>
        <w:tc>
          <w:tcPr>
            <w:tcW w:type="dxa" w:w="2736"/>
            <w:vAlign w:val="center"/>
            <w:tcMar>
              <w:top w:w="55" w:type="dxa"/>
              <w:start w:w="65" w:type="dxa"/>
              <w:bottom w:w="55" w:type="dxa"/>
              <w:end w:w="65" w:type="dxa"/>
            </w:tcMar>
          </w:tcPr>
          <w:p>
            <w:pPr>
              <w:spacing w:after="0"/>
            </w:pPr>
            <w:r/>
            <w:r>
              <w:rPr>
                <w:rFonts w:ascii="Aptos" w:hAnsi="Aptos"/>
                <w:b w:val="0"/>
                <w:sz w:val="15"/>
              </w:rPr>
              <w:t>Check My Financial Resilience</w:t>
            </w:r>
          </w:p>
        </w:tc>
        <w:tc>
          <w:tcPr>
            <w:tcW w:type="dxa" w:w="2592"/>
            <w:vAlign w:val="center"/>
            <w:tcMar>
              <w:top w:w="55" w:type="dxa"/>
              <w:start w:w="65" w:type="dxa"/>
              <w:bottom w:w="55" w:type="dxa"/>
              <w:end w:w="65" w:type="dxa"/>
            </w:tcMar>
          </w:tcPr>
          <w:p>
            <w:pPr>
              <w:spacing w:after="0"/>
            </w:pPr>
            <w:r/>
            <w:r>
              <w:rPr>
                <w:rFonts w:ascii="Aptos" w:hAnsi="Aptos"/>
                <w:b w:val="0"/>
                <w:sz w:val="15"/>
              </w:rPr>
              <w:t>Emergency fund and resilience</w:t>
            </w:r>
          </w:p>
        </w:tc>
      </w:tr>
      <w:tr>
        <w:tc>
          <w:tcPr>
            <w:tcW w:type="dxa" w:w="3024"/>
            <w:vAlign w:val="center"/>
            <w:tcMar>
              <w:top w:w="55" w:type="dxa"/>
              <w:start w:w="65" w:type="dxa"/>
              <w:bottom w:w="55" w:type="dxa"/>
              <w:end w:w="65" w:type="dxa"/>
            </w:tcMar>
            <w:shd w:fill="F4F7FB"/>
          </w:tcPr>
          <w:p>
            <w:pPr>
              <w:spacing w:after="0"/>
            </w:pPr>
            <w:r/>
            <w:r>
              <w:rPr>
                <w:rFonts w:ascii="Aptos" w:hAnsi="Aptos"/>
                <w:b w:val="0"/>
                <w:sz w:val="15"/>
              </w:rPr>
              <w:t>Debt &amp; Borrowing</w:t>
            </w:r>
          </w:p>
        </w:tc>
        <w:tc>
          <w:tcPr>
            <w:tcW w:type="dxa" w:w="2880"/>
            <w:vAlign w:val="center"/>
            <w:tcMar>
              <w:top w:w="55" w:type="dxa"/>
              <w:start w:w="65" w:type="dxa"/>
              <w:bottom w:w="55" w:type="dxa"/>
              <w:end w:w="65" w:type="dxa"/>
            </w:tcMar>
            <w:shd w:fill="F4F7FB"/>
          </w:tcPr>
          <w:p>
            <w:pPr>
              <w:spacing w:after="0"/>
            </w:pPr>
            <w:r/>
            <w:r>
              <w:rPr>
                <w:rFonts w:ascii="Aptos" w:hAnsi="Aptos"/>
                <w:b w:val="0"/>
                <w:sz w:val="15"/>
              </w:rPr>
              <w:t>Input Data - Liabilities</w:t>
            </w:r>
          </w:p>
        </w:tc>
        <w:tc>
          <w:tcPr>
            <w:tcW w:type="dxa" w:w="2736"/>
            <w:vAlign w:val="center"/>
            <w:tcMar>
              <w:top w:w="55" w:type="dxa"/>
              <w:start w:w="65" w:type="dxa"/>
              <w:bottom w:w="55" w:type="dxa"/>
              <w:end w:w="65" w:type="dxa"/>
            </w:tcMar>
            <w:shd w:fill="F4F7FB"/>
          </w:tcPr>
          <w:p>
            <w:pPr>
              <w:spacing w:after="0"/>
            </w:pPr>
            <w:r/>
            <w:r>
              <w:rPr>
                <w:rFonts w:ascii="Aptos" w:hAnsi="Aptos"/>
                <w:b w:val="0"/>
                <w:sz w:val="15"/>
              </w:rPr>
              <w:t>Review My Debt Position</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Debt and borrowing</w:t>
            </w:r>
          </w:p>
        </w:tc>
      </w:tr>
      <w:tr>
        <w:tc>
          <w:tcPr>
            <w:tcW w:type="dxa" w:w="3024"/>
            <w:vAlign w:val="center"/>
            <w:tcMar>
              <w:top w:w="55" w:type="dxa"/>
              <w:start w:w="65" w:type="dxa"/>
              <w:bottom w:w="55" w:type="dxa"/>
              <w:end w:w="65" w:type="dxa"/>
            </w:tcMar>
          </w:tcPr>
          <w:p>
            <w:pPr>
              <w:spacing w:after="0"/>
            </w:pPr>
            <w:r/>
            <w:r>
              <w:rPr>
                <w:rFonts w:ascii="Aptos" w:hAnsi="Aptos"/>
                <w:b w:val="0"/>
                <w:sz w:val="15"/>
              </w:rPr>
              <w:t>Assets &amp; Net Worth</w:t>
            </w:r>
          </w:p>
        </w:tc>
        <w:tc>
          <w:tcPr>
            <w:tcW w:type="dxa" w:w="2880"/>
            <w:vAlign w:val="center"/>
            <w:tcMar>
              <w:top w:w="55" w:type="dxa"/>
              <w:start w:w="65" w:type="dxa"/>
              <w:bottom w:w="55" w:type="dxa"/>
              <w:end w:w="65" w:type="dxa"/>
            </w:tcMar>
          </w:tcPr>
          <w:p>
            <w:pPr>
              <w:spacing w:after="0"/>
            </w:pPr>
            <w:r/>
            <w:r>
              <w:rPr>
                <w:rFonts w:ascii="Aptos" w:hAnsi="Aptos"/>
                <w:b w:val="0"/>
                <w:sz w:val="15"/>
              </w:rPr>
              <w:t>Input Data - Assets</w:t>
            </w:r>
          </w:p>
        </w:tc>
        <w:tc>
          <w:tcPr>
            <w:tcW w:type="dxa" w:w="2736"/>
            <w:vAlign w:val="center"/>
            <w:tcMar>
              <w:top w:w="55" w:type="dxa"/>
              <w:start w:w="65" w:type="dxa"/>
              <w:bottom w:w="55" w:type="dxa"/>
              <w:end w:w="65" w:type="dxa"/>
            </w:tcMar>
          </w:tcPr>
          <w:p>
            <w:pPr>
              <w:spacing w:after="0"/>
            </w:pPr>
            <w:r/>
            <w:r>
              <w:rPr>
                <w:rFonts w:ascii="Aptos" w:hAnsi="Aptos"/>
                <w:b w:val="0"/>
                <w:sz w:val="15"/>
              </w:rPr>
              <w:t>See My Net Worth</w:t>
            </w:r>
          </w:p>
        </w:tc>
        <w:tc>
          <w:tcPr>
            <w:tcW w:type="dxa" w:w="2592"/>
            <w:vAlign w:val="center"/>
            <w:tcMar>
              <w:top w:w="55" w:type="dxa"/>
              <w:start w:w="65" w:type="dxa"/>
              <w:bottom w:w="55" w:type="dxa"/>
              <w:end w:w="65" w:type="dxa"/>
            </w:tcMar>
          </w:tcPr>
          <w:p>
            <w:pPr>
              <w:spacing w:after="0"/>
            </w:pPr>
            <w:r/>
            <w:r>
              <w:rPr>
                <w:rFonts w:ascii="Aptos" w:hAnsi="Aptos"/>
                <w:b w:val="0"/>
                <w:sz w:val="15"/>
              </w:rPr>
              <w:t>Net worth and assets</w:t>
            </w:r>
          </w:p>
        </w:tc>
      </w:tr>
      <w:tr>
        <w:tc>
          <w:tcPr>
            <w:tcW w:type="dxa" w:w="3024"/>
            <w:vAlign w:val="center"/>
            <w:tcMar>
              <w:top w:w="55" w:type="dxa"/>
              <w:start w:w="65" w:type="dxa"/>
              <w:bottom w:w="55" w:type="dxa"/>
              <w:end w:w="65" w:type="dxa"/>
            </w:tcMar>
            <w:shd w:fill="F4F7FB"/>
          </w:tcPr>
          <w:p>
            <w:pPr>
              <w:spacing w:after="0"/>
            </w:pPr>
            <w:r/>
            <w:r>
              <w:rPr>
                <w:rFonts w:ascii="Aptos" w:hAnsi="Aptos"/>
                <w:b w:val="0"/>
                <w:sz w:val="15"/>
              </w:rPr>
              <w:t>Goals &amp; Planning</w:t>
            </w:r>
          </w:p>
        </w:tc>
        <w:tc>
          <w:tcPr>
            <w:tcW w:type="dxa" w:w="2880"/>
            <w:vAlign w:val="center"/>
            <w:tcMar>
              <w:top w:w="55" w:type="dxa"/>
              <w:start w:w="65" w:type="dxa"/>
              <w:bottom w:w="55" w:type="dxa"/>
              <w:end w:w="65" w:type="dxa"/>
            </w:tcMar>
            <w:shd w:fill="F4F7FB"/>
          </w:tcPr>
          <w:p>
            <w:pPr>
              <w:spacing w:after="0"/>
            </w:pPr>
            <w:r/>
            <w:r>
              <w:rPr>
                <w:rFonts w:ascii="Aptos" w:hAnsi="Aptos"/>
                <w:b w:val="0"/>
                <w:sz w:val="15"/>
              </w:rPr>
              <w:t>Goals</w:t>
            </w:r>
          </w:p>
        </w:tc>
        <w:tc>
          <w:tcPr>
            <w:tcW w:type="dxa" w:w="2736"/>
            <w:vAlign w:val="center"/>
            <w:tcMar>
              <w:top w:w="55" w:type="dxa"/>
              <w:start w:w="65" w:type="dxa"/>
              <w:bottom w:w="55" w:type="dxa"/>
              <w:end w:w="65" w:type="dxa"/>
            </w:tcMar>
            <w:shd w:fill="F4F7FB"/>
          </w:tcPr>
          <w:p>
            <w:pPr>
              <w:spacing w:after="0"/>
            </w:pPr>
            <w:r/>
            <w:r>
              <w:rPr>
                <w:rFonts w:ascii="Aptos" w:hAnsi="Aptos"/>
                <w:b w:val="0"/>
                <w:sz w:val="15"/>
              </w:rPr>
              <w:t>Review My Goals</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Financial goals</w:t>
            </w:r>
          </w:p>
        </w:tc>
      </w:tr>
      <w:tr>
        <w:tc>
          <w:tcPr>
            <w:tcW w:type="dxa" w:w="3024"/>
            <w:vAlign w:val="center"/>
            <w:tcMar>
              <w:top w:w="55" w:type="dxa"/>
              <w:start w:w="65" w:type="dxa"/>
              <w:bottom w:w="55" w:type="dxa"/>
              <w:end w:w="65" w:type="dxa"/>
            </w:tcMar>
          </w:tcPr>
          <w:p>
            <w:pPr>
              <w:spacing w:after="0"/>
            </w:pPr>
            <w:r/>
            <w:r>
              <w:rPr>
                <w:rFonts w:ascii="Aptos" w:hAnsi="Aptos"/>
                <w:b w:val="0"/>
                <w:sz w:val="15"/>
              </w:rPr>
              <w:t>Investing &amp; Building Wealth</w:t>
            </w:r>
          </w:p>
        </w:tc>
        <w:tc>
          <w:tcPr>
            <w:tcW w:type="dxa" w:w="2880"/>
            <w:vAlign w:val="center"/>
            <w:tcMar>
              <w:top w:w="55" w:type="dxa"/>
              <w:start w:w="65" w:type="dxa"/>
              <w:bottom w:w="55" w:type="dxa"/>
              <w:end w:w="65" w:type="dxa"/>
            </w:tcMar>
          </w:tcPr>
          <w:p>
            <w:pPr>
              <w:spacing w:after="0"/>
            </w:pPr>
            <w:r/>
            <w:r>
              <w:rPr>
                <w:rFonts w:ascii="Aptos" w:hAnsi="Aptos"/>
                <w:b w:val="0"/>
                <w:sz w:val="15"/>
              </w:rPr>
              <w:t>Investments</w:t>
            </w:r>
          </w:p>
        </w:tc>
        <w:tc>
          <w:tcPr>
            <w:tcW w:type="dxa" w:w="2736"/>
            <w:vAlign w:val="center"/>
            <w:tcMar>
              <w:top w:w="55" w:type="dxa"/>
              <w:start w:w="65" w:type="dxa"/>
              <w:bottom w:w="55" w:type="dxa"/>
              <w:end w:w="65" w:type="dxa"/>
            </w:tcMar>
          </w:tcPr>
          <w:p>
            <w:pPr>
              <w:spacing w:after="0"/>
            </w:pPr>
            <w:r/>
            <w:r>
              <w:rPr>
                <w:rFonts w:ascii="Aptos" w:hAnsi="Aptos"/>
                <w:b w:val="0"/>
                <w:sz w:val="15"/>
              </w:rPr>
              <w:t>Review My Investments</w:t>
            </w:r>
          </w:p>
        </w:tc>
        <w:tc>
          <w:tcPr>
            <w:tcW w:type="dxa" w:w="2592"/>
            <w:vAlign w:val="center"/>
            <w:tcMar>
              <w:top w:w="55" w:type="dxa"/>
              <w:start w:w="65" w:type="dxa"/>
              <w:bottom w:w="55" w:type="dxa"/>
              <w:end w:w="65" w:type="dxa"/>
            </w:tcMar>
          </w:tcPr>
          <w:p>
            <w:pPr>
              <w:spacing w:after="0"/>
            </w:pPr>
            <w:r/>
            <w:r>
              <w:rPr>
                <w:rFonts w:ascii="Aptos" w:hAnsi="Aptos"/>
                <w:b w:val="0"/>
                <w:sz w:val="15"/>
              </w:rPr>
              <w:t>Investing basics</w:t>
            </w:r>
          </w:p>
        </w:tc>
      </w:tr>
      <w:tr>
        <w:tc>
          <w:tcPr>
            <w:tcW w:type="dxa" w:w="3024"/>
            <w:vAlign w:val="center"/>
            <w:tcMar>
              <w:top w:w="55" w:type="dxa"/>
              <w:start w:w="65" w:type="dxa"/>
              <w:bottom w:w="55" w:type="dxa"/>
              <w:end w:w="65" w:type="dxa"/>
            </w:tcMar>
            <w:shd w:fill="F4F7FB"/>
          </w:tcPr>
          <w:p>
            <w:pPr>
              <w:spacing w:after="0"/>
            </w:pPr>
            <w:r/>
            <w:r>
              <w:rPr>
                <w:rFonts w:ascii="Aptos" w:hAnsi="Aptos"/>
                <w:b w:val="0"/>
                <w:sz w:val="15"/>
              </w:rPr>
              <w:t>Retirement - Australia</w:t>
            </w:r>
          </w:p>
        </w:tc>
        <w:tc>
          <w:tcPr>
            <w:tcW w:type="dxa" w:w="2880"/>
            <w:vAlign w:val="center"/>
            <w:tcMar>
              <w:top w:w="55" w:type="dxa"/>
              <w:start w:w="65" w:type="dxa"/>
              <w:bottom w:w="55" w:type="dxa"/>
              <w:end w:w="65" w:type="dxa"/>
            </w:tcMar>
            <w:shd w:fill="F4F7FB"/>
          </w:tcPr>
          <w:p>
            <w:pPr>
              <w:spacing w:after="0"/>
            </w:pPr>
            <w:r/>
            <w:r>
              <w:rPr>
                <w:rFonts w:ascii="Aptos" w:hAnsi="Aptos"/>
                <w:b w:val="0"/>
                <w:sz w:val="15"/>
              </w:rPr>
              <w:t>Retirement / Forecasting</w:t>
            </w:r>
          </w:p>
        </w:tc>
        <w:tc>
          <w:tcPr>
            <w:tcW w:type="dxa" w:w="2736"/>
            <w:vAlign w:val="center"/>
            <w:tcMar>
              <w:top w:w="55" w:type="dxa"/>
              <w:start w:w="65" w:type="dxa"/>
              <w:bottom w:w="55" w:type="dxa"/>
              <w:end w:w="65" w:type="dxa"/>
            </w:tcMar>
            <w:shd w:fill="F4F7FB"/>
          </w:tcPr>
          <w:p>
            <w:pPr>
              <w:spacing w:after="0"/>
            </w:pPr>
            <w:r/>
            <w:r>
              <w:rPr>
                <w:rFonts w:ascii="Aptos" w:hAnsi="Aptos"/>
                <w:b w:val="0"/>
                <w:sz w:val="15"/>
              </w:rPr>
              <w:t>Check My Retirement Readiness</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Australian retirement</w:t>
            </w:r>
          </w:p>
        </w:tc>
      </w:tr>
      <w:tr>
        <w:tc>
          <w:tcPr>
            <w:tcW w:type="dxa" w:w="3024"/>
            <w:vAlign w:val="center"/>
            <w:tcMar>
              <w:top w:w="55" w:type="dxa"/>
              <w:start w:w="65" w:type="dxa"/>
              <w:bottom w:w="55" w:type="dxa"/>
              <w:end w:w="65" w:type="dxa"/>
            </w:tcMar>
          </w:tcPr>
          <w:p>
            <w:pPr>
              <w:spacing w:after="0"/>
            </w:pPr>
            <w:r/>
            <w:r>
              <w:rPr>
                <w:rFonts w:ascii="Aptos" w:hAnsi="Aptos"/>
                <w:b w:val="0"/>
                <w:sz w:val="15"/>
              </w:rPr>
              <w:t>Retirement - India</w:t>
            </w:r>
          </w:p>
        </w:tc>
        <w:tc>
          <w:tcPr>
            <w:tcW w:type="dxa" w:w="2880"/>
            <w:vAlign w:val="center"/>
            <w:tcMar>
              <w:top w:w="55" w:type="dxa"/>
              <w:start w:w="65" w:type="dxa"/>
              <w:bottom w:w="55" w:type="dxa"/>
              <w:end w:w="65" w:type="dxa"/>
            </w:tcMar>
          </w:tcPr>
          <w:p>
            <w:pPr>
              <w:spacing w:after="0"/>
            </w:pPr>
            <w:r/>
            <w:r>
              <w:rPr>
                <w:rFonts w:ascii="Aptos" w:hAnsi="Aptos"/>
                <w:b w:val="0"/>
                <w:sz w:val="15"/>
              </w:rPr>
              <w:t>Retirement / Forecasting</w:t>
            </w:r>
          </w:p>
        </w:tc>
        <w:tc>
          <w:tcPr>
            <w:tcW w:type="dxa" w:w="2736"/>
            <w:vAlign w:val="center"/>
            <w:tcMar>
              <w:top w:w="55" w:type="dxa"/>
              <w:start w:w="65" w:type="dxa"/>
              <w:bottom w:w="55" w:type="dxa"/>
              <w:end w:w="65" w:type="dxa"/>
            </w:tcMar>
          </w:tcPr>
          <w:p>
            <w:pPr>
              <w:spacing w:after="0"/>
            </w:pPr>
            <w:r/>
            <w:r>
              <w:rPr>
                <w:rFonts w:ascii="Aptos" w:hAnsi="Aptos"/>
                <w:b w:val="0"/>
                <w:sz w:val="15"/>
              </w:rPr>
              <w:t>Check My Retirement Readiness</w:t>
            </w:r>
          </w:p>
        </w:tc>
        <w:tc>
          <w:tcPr>
            <w:tcW w:type="dxa" w:w="2592"/>
            <w:vAlign w:val="center"/>
            <w:tcMar>
              <w:top w:w="55" w:type="dxa"/>
              <w:start w:w="65" w:type="dxa"/>
              <w:bottom w:w="55" w:type="dxa"/>
              <w:end w:w="65" w:type="dxa"/>
            </w:tcMar>
          </w:tcPr>
          <w:p>
            <w:pPr>
              <w:spacing w:after="0"/>
            </w:pPr>
            <w:r/>
            <w:r>
              <w:rPr>
                <w:rFonts w:ascii="Aptos" w:hAnsi="Aptos"/>
                <w:b w:val="0"/>
                <w:sz w:val="15"/>
              </w:rPr>
              <w:t>Indian retirement</w:t>
            </w:r>
          </w:p>
        </w:tc>
      </w:tr>
      <w:tr>
        <w:tc>
          <w:tcPr>
            <w:tcW w:type="dxa" w:w="3024"/>
            <w:vAlign w:val="center"/>
            <w:tcMar>
              <w:top w:w="55" w:type="dxa"/>
              <w:start w:w="65" w:type="dxa"/>
              <w:bottom w:w="55" w:type="dxa"/>
              <w:end w:w="65" w:type="dxa"/>
            </w:tcMar>
            <w:shd w:fill="F4F7FB"/>
          </w:tcPr>
          <w:p>
            <w:pPr>
              <w:spacing w:after="0"/>
            </w:pPr>
            <w:r/>
            <w:r>
              <w:rPr>
                <w:rFonts w:ascii="Aptos" w:hAnsi="Aptos"/>
                <w:b w:val="0"/>
                <w:sz w:val="15"/>
              </w:rPr>
              <w:t>Insurance &amp; Protection</w:t>
            </w:r>
          </w:p>
        </w:tc>
        <w:tc>
          <w:tcPr>
            <w:tcW w:type="dxa" w:w="2880"/>
            <w:vAlign w:val="center"/>
            <w:tcMar>
              <w:top w:w="55" w:type="dxa"/>
              <w:start w:w="65" w:type="dxa"/>
              <w:bottom w:w="55" w:type="dxa"/>
              <w:end w:w="65" w:type="dxa"/>
            </w:tcMar>
            <w:shd w:fill="F4F7FB"/>
          </w:tcPr>
          <w:p>
            <w:pPr>
              <w:spacing w:after="0"/>
            </w:pPr>
            <w:r/>
            <w:r>
              <w:rPr>
                <w:rFonts w:ascii="Aptos" w:hAnsi="Aptos"/>
                <w:b w:val="0"/>
                <w:sz w:val="15"/>
              </w:rPr>
              <w:t>Insurance</w:t>
            </w:r>
          </w:p>
        </w:tc>
        <w:tc>
          <w:tcPr>
            <w:tcW w:type="dxa" w:w="2736"/>
            <w:vAlign w:val="center"/>
            <w:tcMar>
              <w:top w:w="55" w:type="dxa"/>
              <w:start w:w="65" w:type="dxa"/>
              <w:bottom w:w="55" w:type="dxa"/>
              <w:end w:w="65" w:type="dxa"/>
            </w:tcMar>
            <w:shd w:fill="F4F7FB"/>
          </w:tcPr>
          <w:p>
            <w:pPr>
              <w:spacing w:after="0"/>
            </w:pPr>
            <w:r/>
            <w:r>
              <w:rPr>
                <w:rFonts w:ascii="Aptos" w:hAnsi="Aptos"/>
                <w:b w:val="0"/>
                <w:sz w:val="15"/>
              </w:rPr>
              <w:t>Review My Protection</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Insurance and protection</w:t>
            </w:r>
          </w:p>
        </w:tc>
      </w:tr>
      <w:tr>
        <w:tc>
          <w:tcPr>
            <w:tcW w:type="dxa" w:w="3024"/>
            <w:vAlign w:val="center"/>
            <w:tcMar>
              <w:top w:w="55" w:type="dxa"/>
              <w:start w:w="65" w:type="dxa"/>
              <w:bottom w:w="55" w:type="dxa"/>
              <w:end w:w="65" w:type="dxa"/>
            </w:tcMar>
          </w:tcPr>
          <w:p>
            <w:pPr>
              <w:spacing w:after="0"/>
            </w:pPr>
            <w:r/>
            <w:r>
              <w:rPr>
                <w:rFonts w:ascii="Aptos" w:hAnsi="Aptos"/>
                <w:b w:val="0"/>
                <w:sz w:val="15"/>
              </w:rPr>
              <w:t>Money Behaviour &amp; DNA</w:t>
            </w:r>
          </w:p>
        </w:tc>
        <w:tc>
          <w:tcPr>
            <w:tcW w:type="dxa" w:w="2880"/>
            <w:vAlign w:val="center"/>
            <w:tcMar>
              <w:top w:w="55" w:type="dxa"/>
              <w:start w:w="65" w:type="dxa"/>
              <w:bottom w:w="55" w:type="dxa"/>
              <w:end w:w="65" w:type="dxa"/>
            </w:tcMar>
          </w:tcPr>
          <w:p>
            <w:pPr>
              <w:spacing w:after="0"/>
            </w:pPr>
            <w:r/>
            <w:r>
              <w:rPr>
                <w:rFonts w:ascii="Aptos" w:hAnsi="Aptos"/>
                <w:b w:val="0"/>
                <w:sz w:val="15"/>
              </w:rPr>
              <w:t>DNA</w:t>
            </w:r>
          </w:p>
        </w:tc>
        <w:tc>
          <w:tcPr>
            <w:tcW w:type="dxa" w:w="2736"/>
            <w:vAlign w:val="center"/>
            <w:tcMar>
              <w:top w:w="55" w:type="dxa"/>
              <w:start w:w="65" w:type="dxa"/>
              <w:bottom w:w="55" w:type="dxa"/>
              <w:end w:w="65" w:type="dxa"/>
            </w:tcMar>
          </w:tcPr>
          <w:p>
            <w:pPr>
              <w:spacing w:after="0"/>
            </w:pPr>
            <w:r/>
            <w:r>
              <w:rPr>
                <w:rFonts w:ascii="Aptos" w:hAnsi="Aptos"/>
                <w:b w:val="0"/>
                <w:sz w:val="15"/>
              </w:rPr>
              <w:t>Explore My Financial DNA</w:t>
            </w:r>
          </w:p>
        </w:tc>
        <w:tc>
          <w:tcPr>
            <w:tcW w:type="dxa" w:w="2592"/>
            <w:vAlign w:val="center"/>
            <w:tcMar>
              <w:top w:w="55" w:type="dxa"/>
              <w:start w:w="65" w:type="dxa"/>
              <w:bottom w:w="55" w:type="dxa"/>
              <w:end w:w="65" w:type="dxa"/>
            </w:tcMar>
          </w:tcPr>
          <w:p>
            <w:pPr>
              <w:spacing w:after="0"/>
            </w:pPr>
            <w:r/>
            <w:r>
              <w:rPr>
                <w:rFonts w:ascii="Aptos" w:hAnsi="Aptos"/>
                <w:b w:val="0"/>
                <w:sz w:val="15"/>
              </w:rPr>
              <w:t>Financial behaviour</w:t>
            </w:r>
          </w:p>
        </w:tc>
      </w:tr>
      <w:tr>
        <w:tc>
          <w:tcPr>
            <w:tcW w:type="dxa" w:w="3024"/>
            <w:vAlign w:val="center"/>
            <w:tcMar>
              <w:top w:w="55" w:type="dxa"/>
              <w:start w:w="65" w:type="dxa"/>
              <w:bottom w:w="55" w:type="dxa"/>
              <w:end w:w="65" w:type="dxa"/>
            </w:tcMar>
            <w:shd w:fill="F4F7FB"/>
          </w:tcPr>
          <w:p>
            <w:pPr>
              <w:spacing w:after="0"/>
            </w:pPr>
            <w:r/>
            <w:r>
              <w:rPr>
                <w:rFonts w:ascii="Aptos" w:hAnsi="Aptos"/>
                <w:b w:val="0"/>
                <w:sz w:val="15"/>
              </w:rPr>
              <w:t>Forecasting &amp; Scenario Planning</w:t>
            </w:r>
          </w:p>
        </w:tc>
        <w:tc>
          <w:tcPr>
            <w:tcW w:type="dxa" w:w="2880"/>
            <w:vAlign w:val="center"/>
            <w:tcMar>
              <w:top w:w="55" w:type="dxa"/>
              <w:start w:w="65" w:type="dxa"/>
              <w:bottom w:w="55" w:type="dxa"/>
              <w:end w:w="65" w:type="dxa"/>
            </w:tcMar>
            <w:shd w:fill="F4F7FB"/>
          </w:tcPr>
          <w:p>
            <w:pPr>
              <w:spacing w:after="0"/>
            </w:pPr>
            <w:r/>
            <w:r>
              <w:rPr>
                <w:rFonts w:ascii="Aptos" w:hAnsi="Aptos"/>
                <w:b w:val="0"/>
                <w:sz w:val="15"/>
              </w:rPr>
              <w:t>Forecasting</w:t>
            </w:r>
          </w:p>
        </w:tc>
        <w:tc>
          <w:tcPr>
            <w:tcW w:type="dxa" w:w="2736"/>
            <w:vAlign w:val="center"/>
            <w:tcMar>
              <w:top w:w="55" w:type="dxa"/>
              <w:start w:w="65" w:type="dxa"/>
              <w:bottom w:w="55" w:type="dxa"/>
              <w:end w:w="65" w:type="dxa"/>
            </w:tcMar>
            <w:shd w:fill="F4F7FB"/>
          </w:tcPr>
          <w:p>
            <w:pPr>
              <w:spacing w:after="0"/>
            </w:pPr>
            <w:r/>
            <w:r>
              <w:rPr>
                <w:rFonts w:ascii="Aptos" w:hAnsi="Aptos"/>
                <w:b w:val="0"/>
                <w:sz w:val="15"/>
              </w:rPr>
              <w:t>Explore My Forecast</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Financial forecasting</w:t>
            </w:r>
          </w:p>
        </w:tc>
      </w:tr>
      <w:tr>
        <w:tc>
          <w:tcPr>
            <w:tcW w:type="dxa" w:w="3024"/>
            <w:vAlign w:val="center"/>
            <w:tcMar>
              <w:top w:w="55" w:type="dxa"/>
              <w:start w:w="65" w:type="dxa"/>
              <w:bottom w:w="55" w:type="dxa"/>
              <w:end w:w="65" w:type="dxa"/>
            </w:tcMar>
          </w:tcPr>
          <w:p>
            <w:pPr>
              <w:spacing w:after="0"/>
            </w:pPr>
            <w:r/>
            <w:r>
              <w:rPr>
                <w:rFonts w:ascii="Aptos" w:hAnsi="Aptos"/>
                <w:b w:val="0"/>
                <w:sz w:val="15"/>
              </w:rPr>
              <w:t>Cross-Border Money</w:t>
            </w:r>
          </w:p>
        </w:tc>
        <w:tc>
          <w:tcPr>
            <w:tcW w:type="dxa" w:w="2880"/>
            <w:vAlign w:val="center"/>
            <w:tcMar>
              <w:top w:w="55" w:type="dxa"/>
              <w:start w:w="65" w:type="dxa"/>
              <w:bottom w:w="55" w:type="dxa"/>
              <w:end w:w="65" w:type="dxa"/>
            </w:tcMar>
          </w:tcPr>
          <w:p>
            <w:pPr>
              <w:spacing w:after="0"/>
            </w:pPr>
            <w:r/>
            <w:r>
              <w:rPr>
                <w:rFonts w:ascii="Aptos" w:hAnsi="Aptos"/>
                <w:b w:val="0"/>
                <w:sz w:val="15"/>
              </w:rPr>
              <w:t>Cross-Border / Forecasting</w:t>
            </w:r>
          </w:p>
        </w:tc>
        <w:tc>
          <w:tcPr>
            <w:tcW w:type="dxa" w:w="2736"/>
            <w:vAlign w:val="center"/>
            <w:tcMar>
              <w:top w:w="55" w:type="dxa"/>
              <w:start w:w="65" w:type="dxa"/>
              <w:bottom w:w="55" w:type="dxa"/>
              <w:end w:w="65" w:type="dxa"/>
            </w:tcMar>
          </w:tcPr>
          <w:p>
            <w:pPr>
              <w:spacing w:after="0"/>
            </w:pPr>
            <w:r/>
            <w:r>
              <w:rPr>
                <w:rFonts w:ascii="Aptos" w:hAnsi="Aptos"/>
                <w:b w:val="0"/>
                <w:sz w:val="15"/>
              </w:rPr>
              <w:t>View My Consolidated Financial Position</w:t>
            </w:r>
          </w:p>
        </w:tc>
        <w:tc>
          <w:tcPr>
            <w:tcW w:type="dxa" w:w="2592"/>
            <w:vAlign w:val="center"/>
            <w:tcMar>
              <w:top w:w="55" w:type="dxa"/>
              <w:start w:w="65" w:type="dxa"/>
              <w:bottom w:w="55" w:type="dxa"/>
              <w:end w:w="65" w:type="dxa"/>
            </w:tcMar>
          </w:tcPr>
          <w:p>
            <w:pPr>
              <w:spacing w:after="0"/>
            </w:pPr>
            <w:r/>
            <w:r>
              <w:rPr>
                <w:rFonts w:ascii="Aptos" w:hAnsi="Aptos"/>
                <w:b w:val="0"/>
                <w:sz w:val="15"/>
              </w:rPr>
              <w:t>Australia-India cross-border finance</w:t>
            </w:r>
          </w:p>
        </w:tc>
      </w:tr>
      <w:tr>
        <w:tc>
          <w:tcPr>
            <w:tcW w:type="dxa" w:w="3024"/>
            <w:vAlign w:val="center"/>
            <w:tcMar>
              <w:top w:w="55" w:type="dxa"/>
              <w:start w:w="65" w:type="dxa"/>
              <w:bottom w:w="55" w:type="dxa"/>
              <w:end w:w="65" w:type="dxa"/>
            </w:tcMar>
            <w:shd w:fill="F4F7FB"/>
          </w:tcPr>
          <w:p>
            <w:pPr>
              <w:spacing w:after="0"/>
            </w:pPr>
            <w:r/>
            <w:r>
              <w:rPr>
                <w:rFonts w:ascii="Aptos" w:hAnsi="Aptos"/>
                <w:b w:val="0"/>
                <w:sz w:val="15"/>
              </w:rPr>
              <w:t>Scores &amp; Benchmarks</w:t>
            </w:r>
          </w:p>
        </w:tc>
        <w:tc>
          <w:tcPr>
            <w:tcW w:type="dxa" w:w="2880"/>
            <w:vAlign w:val="center"/>
            <w:tcMar>
              <w:top w:w="55" w:type="dxa"/>
              <w:start w:w="65" w:type="dxa"/>
              <w:bottom w:w="55" w:type="dxa"/>
              <w:end w:w="65" w:type="dxa"/>
            </w:tcMar>
            <w:shd w:fill="F4F7FB"/>
          </w:tcPr>
          <w:p>
            <w:pPr>
              <w:spacing w:after="0"/>
            </w:pPr>
            <w:r/>
            <w:r>
              <w:rPr>
                <w:rFonts w:ascii="Aptos" w:hAnsi="Aptos"/>
                <w:b w:val="0"/>
                <w:sz w:val="15"/>
              </w:rPr>
              <w:t>Scores</w:t>
            </w:r>
          </w:p>
        </w:tc>
        <w:tc>
          <w:tcPr>
            <w:tcW w:type="dxa" w:w="2736"/>
            <w:vAlign w:val="center"/>
            <w:tcMar>
              <w:top w:w="55" w:type="dxa"/>
              <w:start w:w="65" w:type="dxa"/>
              <w:bottom w:w="55" w:type="dxa"/>
              <w:end w:w="65" w:type="dxa"/>
            </w:tcMar>
            <w:shd w:fill="F4F7FB"/>
          </w:tcPr>
          <w:p>
            <w:pPr>
              <w:spacing w:after="0"/>
            </w:pPr>
            <w:r/>
            <w:r>
              <w:rPr>
                <w:rFonts w:ascii="Aptos" w:hAnsi="Aptos"/>
                <w:b w:val="0"/>
                <w:sz w:val="15"/>
              </w:rPr>
              <w:t>View My Financial Health Score</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Scores and benchmarking</w:t>
            </w:r>
          </w:p>
        </w:tc>
      </w:tr>
      <w:tr>
        <w:tc>
          <w:tcPr>
            <w:tcW w:type="dxa" w:w="3024"/>
            <w:vAlign w:val="center"/>
            <w:tcMar>
              <w:top w:w="55" w:type="dxa"/>
              <w:start w:w="65" w:type="dxa"/>
              <w:bottom w:w="55" w:type="dxa"/>
              <w:end w:w="65" w:type="dxa"/>
            </w:tcMar>
          </w:tcPr>
          <w:p>
            <w:pPr>
              <w:spacing w:after="0"/>
            </w:pPr>
            <w:r/>
            <w:r>
              <w:rPr>
                <w:rFonts w:ascii="Aptos" w:hAnsi="Aptos"/>
                <w:b w:val="0"/>
                <w:sz w:val="15"/>
              </w:rPr>
              <w:t>FHIP Explained</w:t>
            </w:r>
          </w:p>
        </w:tc>
        <w:tc>
          <w:tcPr>
            <w:tcW w:type="dxa" w:w="2880"/>
            <w:vAlign w:val="center"/>
            <w:tcMar>
              <w:top w:w="55" w:type="dxa"/>
              <w:start w:w="65" w:type="dxa"/>
              <w:bottom w:w="55" w:type="dxa"/>
              <w:end w:w="65" w:type="dxa"/>
            </w:tcMar>
          </w:tcPr>
          <w:p>
            <w:pPr>
              <w:spacing w:after="0"/>
            </w:pPr>
            <w:r/>
            <w:r>
              <w:rPr>
                <w:rFonts w:ascii="Aptos" w:hAnsi="Aptos"/>
                <w:b w:val="0"/>
                <w:sz w:val="15"/>
              </w:rPr>
              <w:t>FHIP Core</w:t>
            </w:r>
          </w:p>
        </w:tc>
        <w:tc>
          <w:tcPr>
            <w:tcW w:type="dxa" w:w="2736"/>
            <w:vAlign w:val="center"/>
            <w:tcMar>
              <w:top w:w="55" w:type="dxa"/>
              <w:start w:w="65" w:type="dxa"/>
              <w:bottom w:w="55" w:type="dxa"/>
              <w:end w:w="65" w:type="dxa"/>
            </w:tcMar>
          </w:tcPr>
          <w:p>
            <w:pPr>
              <w:spacing w:after="0"/>
            </w:pPr>
            <w:r/>
            <w:r>
              <w:rPr>
                <w:rFonts w:ascii="Aptos" w:hAnsi="Aptos"/>
                <w:b w:val="0"/>
                <w:sz w:val="15"/>
              </w:rPr>
              <w:t>Open the Relevant FHIP Module</w:t>
            </w:r>
          </w:p>
        </w:tc>
        <w:tc>
          <w:tcPr>
            <w:tcW w:type="dxa" w:w="2592"/>
            <w:vAlign w:val="center"/>
            <w:tcMar>
              <w:top w:w="55" w:type="dxa"/>
              <w:start w:w="65" w:type="dxa"/>
              <w:bottom w:w="55" w:type="dxa"/>
              <w:end w:w="65" w:type="dxa"/>
            </w:tcMar>
          </w:tcPr>
          <w:p>
            <w:pPr>
              <w:spacing w:after="0"/>
            </w:pPr>
            <w:r/>
            <w:r>
              <w:rPr>
                <w:rFonts w:ascii="Aptos" w:hAnsi="Aptos"/>
                <w:b w:val="0"/>
                <w:sz w:val="15"/>
              </w:rPr>
              <w:t>FHIP explained</w:t>
            </w:r>
          </w:p>
        </w:tc>
      </w:tr>
    </w:tbl>
    <w:p>
      <w:pPr>
        <w:spacing w:after="0"/>
      </w:pPr>
    </w:p>
    <w:p>
      <w:pPr>
        <w:pStyle w:val="Heading1"/>
      </w:pPr>
      <w:r>
        <w:t>7. CTA and Conversion Design</w:t>
      </w:r>
    </w:p>
    <w:p>
      <w:r>
        <w:t>Resources should educate first and convert second. The CTA should be contextual to the concept the user has just learned, rather than forcing every article to use a generic “Register” button.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vAlign w:val="center"/>
            <w:shd w:fill="0B1F3A"/>
            <w:tcMar>
              <w:top w:w="70" w:type="dxa"/>
              <w:start w:w="70" w:type="dxa"/>
              <w:bottom w:w="70" w:type="dxa"/>
              <w:end w:w="70" w:type="dxa"/>
            </w:tcMar>
          </w:tcPr>
          <w:p>
            <w:pPr>
              <w:spacing w:after="0"/>
            </w:pPr>
            <w:r/>
            <w:r>
              <w:rPr>
                <w:rFonts w:ascii="Aptos" w:hAnsi="Aptos"/>
                <w:b/>
                <w:color w:val="FFFFFF"/>
                <w:sz w:val="16"/>
              </w:rPr>
              <w:t>ID</w:t>
            </w:r>
          </w:p>
        </w:tc>
        <w:tc>
          <w:tcPr>
            <w:tcW w:type="dxa" w:w="3744"/>
            <w:vAlign w:val="center"/>
            <w:shd w:fill="0B1F3A"/>
            <w:tcMar>
              <w:top w:w="70" w:type="dxa"/>
              <w:start w:w="70" w:type="dxa"/>
              <w:bottom w:w="70" w:type="dxa"/>
              <w:end w:w="70" w:type="dxa"/>
            </w:tcMar>
          </w:tcPr>
          <w:p>
            <w:pPr>
              <w:spacing w:after="0"/>
            </w:pPr>
            <w:r/>
            <w:r>
              <w:rPr>
                <w:rFonts w:ascii="Aptos" w:hAnsi="Aptos"/>
                <w:b/>
                <w:color w:val="FFFFFF"/>
                <w:sz w:val="16"/>
              </w:rPr>
              <w:t>CTA Label</w:t>
            </w:r>
          </w:p>
        </w:tc>
        <w:tc>
          <w:tcPr>
            <w:tcW w:type="dxa" w:w="6048"/>
            <w:vAlign w:val="center"/>
            <w:shd w:fill="0B1F3A"/>
            <w:tcMar>
              <w:top w:w="70" w:type="dxa"/>
              <w:start w:w="70" w:type="dxa"/>
              <w:bottom w:w="70" w:type="dxa"/>
              <w:end w:w="70" w:type="dxa"/>
            </w:tcMar>
          </w:tcPr>
          <w:p>
            <w:pPr>
              <w:spacing w:after="0"/>
            </w:pPr>
            <w:r/>
            <w:r>
              <w:rPr>
                <w:rFonts w:ascii="Aptos" w:hAnsi="Aptos"/>
                <w:b/>
                <w:color w:val="FFFFFF"/>
                <w:sz w:val="16"/>
              </w:rPr>
              <w:t>Use When</w:t>
            </w:r>
          </w:p>
        </w:tc>
      </w:tr>
      <w:tr>
        <w:tc>
          <w:tcPr>
            <w:tcW w:type="dxa" w:w="1440"/>
            <w:vAlign w:val="center"/>
            <w:tcMar>
              <w:top w:w="55" w:type="dxa"/>
              <w:start w:w="65" w:type="dxa"/>
              <w:bottom w:w="55" w:type="dxa"/>
              <w:end w:w="65" w:type="dxa"/>
            </w:tcMar>
          </w:tcPr>
          <w:p>
            <w:pPr>
              <w:spacing w:after="0"/>
            </w:pPr>
            <w:r/>
            <w:r>
              <w:rPr>
                <w:rFonts w:ascii="Aptos" w:hAnsi="Aptos"/>
                <w:b w:val="0"/>
                <w:sz w:val="16"/>
              </w:rPr>
              <w:t>CTA-001</w:t>
            </w:r>
          </w:p>
        </w:tc>
        <w:tc>
          <w:tcPr>
            <w:tcW w:type="dxa" w:w="3744"/>
            <w:vAlign w:val="center"/>
            <w:tcMar>
              <w:top w:w="55" w:type="dxa"/>
              <w:start w:w="65" w:type="dxa"/>
              <w:bottom w:w="55" w:type="dxa"/>
              <w:end w:w="65" w:type="dxa"/>
            </w:tcMar>
          </w:tcPr>
          <w:p>
            <w:pPr>
              <w:spacing w:after="0"/>
            </w:pPr>
            <w:r/>
            <w:r>
              <w:rPr>
                <w:rFonts w:ascii="Aptos" w:hAnsi="Aptos"/>
                <w:b w:val="0"/>
                <w:sz w:val="16"/>
              </w:rPr>
              <w:t>Check My Financial Health</w:t>
            </w:r>
          </w:p>
        </w:tc>
        <w:tc>
          <w:tcPr>
            <w:tcW w:type="dxa" w:w="6048"/>
            <w:vAlign w:val="center"/>
            <w:tcMar>
              <w:top w:w="55" w:type="dxa"/>
              <w:start w:w="65" w:type="dxa"/>
              <w:bottom w:w="55" w:type="dxa"/>
              <w:end w:w="65" w:type="dxa"/>
            </w:tcMar>
          </w:tcPr>
          <w:p>
            <w:pPr>
              <w:spacing w:after="0"/>
            </w:pPr>
            <w:r/>
            <w:r>
              <w:rPr>
                <w:rFonts w:ascii="Aptos" w:hAnsi="Aptos"/>
                <w:b w:val="0"/>
                <w:sz w:val="16"/>
              </w:rPr>
              <w:t>General financial-health education</w:t>
            </w:r>
          </w:p>
        </w:tc>
      </w:tr>
      <w:tr>
        <w:tc>
          <w:tcPr>
            <w:tcW w:type="dxa" w:w="1440"/>
            <w:vAlign w:val="center"/>
            <w:tcMar>
              <w:top w:w="55" w:type="dxa"/>
              <w:start w:w="65" w:type="dxa"/>
              <w:bottom w:w="55" w:type="dxa"/>
              <w:end w:w="65" w:type="dxa"/>
            </w:tcMar>
            <w:shd w:fill="F4F7FB"/>
          </w:tcPr>
          <w:p>
            <w:pPr>
              <w:spacing w:after="0"/>
            </w:pPr>
            <w:r/>
            <w:r>
              <w:rPr>
                <w:rFonts w:ascii="Aptos" w:hAnsi="Aptos"/>
                <w:b w:val="0"/>
                <w:sz w:val="16"/>
              </w:rPr>
              <w:t>CTA-002</w:t>
            </w:r>
          </w:p>
        </w:tc>
        <w:tc>
          <w:tcPr>
            <w:tcW w:type="dxa" w:w="3744"/>
            <w:vAlign w:val="center"/>
            <w:tcMar>
              <w:top w:w="55" w:type="dxa"/>
              <w:start w:w="65" w:type="dxa"/>
              <w:bottom w:w="55" w:type="dxa"/>
              <w:end w:w="65" w:type="dxa"/>
            </w:tcMar>
            <w:shd w:fill="F4F7FB"/>
          </w:tcPr>
          <w:p>
            <w:pPr>
              <w:spacing w:after="0"/>
            </w:pPr>
            <w:r/>
            <w:r>
              <w:rPr>
                <w:rFonts w:ascii="Aptos" w:hAnsi="Aptos"/>
                <w:b w:val="0"/>
                <w:sz w:val="16"/>
              </w:rPr>
              <w:t>Review My Cash Flow</w:t>
            </w:r>
          </w:p>
        </w:tc>
        <w:tc>
          <w:tcPr>
            <w:tcW w:type="dxa" w:w="6048"/>
            <w:vAlign w:val="center"/>
            <w:tcMar>
              <w:top w:w="55" w:type="dxa"/>
              <w:start w:w="65" w:type="dxa"/>
              <w:bottom w:w="55" w:type="dxa"/>
              <w:end w:w="65" w:type="dxa"/>
            </w:tcMar>
            <w:shd w:fill="F4F7FB"/>
          </w:tcPr>
          <w:p>
            <w:pPr>
              <w:spacing w:after="0"/>
            </w:pPr>
            <w:r/>
            <w:r>
              <w:rPr>
                <w:rFonts w:ascii="Aptos" w:hAnsi="Aptos"/>
                <w:b w:val="0"/>
                <w:sz w:val="16"/>
              </w:rPr>
              <w:t>Income, expense and savings content</w:t>
            </w:r>
          </w:p>
        </w:tc>
      </w:tr>
      <w:tr>
        <w:tc>
          <w:tcPr>
            <w:tcW w:type="dxa" w:w="1440"/>
            <w:vAlign w:val="center"/>
            <w:tcMar>
              <w:top w:w="55" w:type="dxa"/>
              <w:start w:w="65" w:type="dxa"/>
              <w:bottom w:w="55" w:type="dxa"/>
              <w:end w:w="65" w:type="dxa"/>
            </w:tcMar>
          </w:tcPr>
          <w:p>
            <w:pPr>
              <w:spacing w:after="0"/>
            </w:pPr>
            <w:r/>
            <w:r>
              <w:rPr>
                <w:rFonts w:ascii="Aptos" w:hAnsi="Aptos"/>
                <w:b w:val="0"/>
                <w:sz w:val="16"/>
              </w:rPr>
              <w:t>CTA-003</w:t>
            </w:r>
          </w:p>
        </w:tc>
        <w:tc>
          <w:tcPr>
            <w:tcW w:type="dxa" w:w="3744"/>
            <w:vAlign w:val="center"/>
            <w:tcMar>
              <w:top w:w="55" w:type="dxa"/>
              <w:start w:w="65" w:type="dxa"/>
              <w:bottom w:w="55" w:type="dxa"/>
              <w:end w:w="65" w:type="dxa"/>
            </w:tcMar>
          </w:tcPr>
          <w:p>
            <w:pPr>
              <w:spacing w:after="0"/>
            </w:pPr>
            <w:r/>
            <w:r>
              <w:rPr>
                <w:rFonts w:ascii="Aptos" w:hAnsi="Aptos"/>
                <w:b w:val="0"/>
                <w:sz w:val="16"/>
              </w:rPr>
              <w:t>Check My Financial Resilience</w:t>
            </w:r>
          </w:p>
        </w:tc>
        <w:tc>
          <w:tcPr>
            <w:tcW w:type="dxa" w:w="6048"/>
            <w:vAlign w:val="center"/>
            <w:tcMar>
              <w:top w:w="55" w:type="dxa"/>
              <w:start w:w="65" w:type="dxa"/>
              <w:bottom w:w="55" w:type="dxa"/>
              <w:end w:w="65" w:type="dxa"/>
            </w:tcMar>
          </w:tcPr>
          <w:p>
            <w:pPr>
              <w:spacing w:after="0"/>
            </w:pPr>
            <w:r/>
            <w:r>
              <w:rPr>
                <w:rFonts w:ascii="Aptos" w:hAnsi="Aptos"/>
                <w:b w:val="0"/>
                <w:sz w:val="16"/>
              </w:rPr>
              <w:t>Emergency fund and resilience content</w:t>
            </w:r>
          </w:p>
        </w:tc>
      </w:tr>
      <w:tr>
        <w:tc>
          <w:tcPr>
            <w:tcW w:type="dxa" w:w="1440"/>
            <w:vAlign w:val="center"/>
            <w:tcMar>
              <w:top w:w="55" w:type="dxa"/>
              <w:start w:w="65" w:type="dxa"/>
              <w:bottom w:w="55" w:type="dxa"/>
              <w:end w:w="65" w:type="dxa"/>
            </w:tcMar>
            <w:shd w:fill="F4F7FB"/>
          </w:tcPr>
          <w:p>
            <w:pPr>
              <w:spacing w:after="0"/>
            </w:pPr>
            <w:r/>
            <w:r>
              <w:rPr>
                <w:rFonts w:ascii="Aptos" w:hAnsi="Aptos"/>
                <w:b w:val="0"/>
                <w:sz w:val="16"/>
              </w:rPr>
              <w:t>CTA-004</w:t>
            </w:r>
          </w:p>
        </w:tc>
        <w:tc>
          <w:tcPr>
            <w:tcW w:type="dxa" w:w="3744"/>
            <w:vAlign w:val="center"/>
            <w:tcMar>
              <w:top w:w="55" w:type="dxa"/>
              <w:start w:w="65" w:type="dxa"/>
              <w:bottom w:w="55" w:type="dxa"/>
              <w:end w:w="65" w:type="dxa"/>
            </w:tcMar>
            <w:shd w:fill="F4F7FB"/>
          </w:tcPr>
          <w:p>
            <w:pPr>
              <w:spacing w:after="0"/>
            </w:pPr>
            <w:r/>
            <w:r>
              <w:rPr>
                <w:rFonts w:ascii="Aptos" w:hAnsi="Aptos"/>
                <w:b w:val="0"/>
                <w:sz w:val="16"/>
              </w:rPr>
              <w:t>Review My Debt Position</w:t>
            </w:r>
          </w:p>
        </w:tc>
        <w:tc>
          <w:tcPr>
            <w:tcW w:type="dxa" w:w="6048"/>
            <w:vAlign w:val="center"/>
            <w:tcMar>
              <w:top w:w="55" w:type="dxa"/>
              <w:start w:w="65" w:type="dxa"/>
              <w:bottom w:w="55" w:type="dxa"/>
              <w:end w:w="65" w:type="dxa"/>
            </w:tcMar>
            <w:shd w:fill="F4F7FB"/>
          </w:tcPr>
          <w:p>
            <w:pPr>
              <w:spacing w:after="0"/>
            </w:pPr>
            <w:r/>
            <w:r>
              <w:rPr>
                <w:rFonts w:ascii="Aptos" w:hAnsi="Aptos"/>
                <w:b w:val="0"/>
                <w:sz w:val="16"/>
              </w:rPr>
              <w:t>Debt and borrowing content</w:t>
            </w:r>
          </w:p>
        </w:tc>
      </w:tr>
      <w:tr>
        <w:tc>
          <w:tcPr>
            <w:tcW w:type="dxa" w:w="1440"/>
            <w:vAlign w:val="center"/>
            <w:tcMar>
              <w:top w:w="55" w:type="dxa"/>
              <w:start w:w="65" w:type="dxa"/>
              <w:bottom w:w="55" w:type="dxa"/>
              <w:end w:w="65" w:type="dxa"/>
            </w:tcMar>
          </w:tcPr>
          <w:p>
            <w:pPr>
              <w:spacing w:after="0"/>
            </w:pPr>
            <w:r/>
            <w:r>
              <w:rPr>
                <w:rFonts w:ascii="Aptos" w:hAnsi="Aptos"/>
                <w:b w:val="0"/>
                <w:sz w:val="16"/>
              </w:rPr>
              <w:t>CTA-005</w:t>
            </w:r>
          </w:p>
        </w:tc>
        <w:tc>
          <w:tcPr>
            <w:tcW w:type="dxa" w:w="3744"/>
            <w:vAlign w:val="center"/>
            <w:tcMar>
              <w:top w:w="55" w:type="dxa"/>
              <w:start w:w="65" w:type="dxa"/>
              <w:bottom w:w="55" w:type="dxa"/>
              <w:end w:w="65" w:type="dxa"/>
            </w:tcMar>
          </w:tcPr>
          <w:p>
            <w:pPr>
              <w:spacing w:after="0"/>
            </w:pPr>
            <w:r/>
            <w:r>
              <w:rPr>
                <w:rFonts w:ascii="Aptos" w:hAnsi="Aptos"/>
                <w:b w:val="0"/>
                <w:sz w:val="16"/>
              </w:rPr>
              <w:t>See My Net Worth</w:t>
            </w:r>
          </w:p>
        </w:tc>
        <w:tc>
          <w:tcPr>
            <w:tcW w:type="dxa" w:w="6048"/>
            <w:vAlign w:val="center"/>
            <w:tcMar>
              <w:top w:w="55" w:type="dxa"/>
              <w:start w:w="65" w:type="dxa"/>
              <w:bottom w:w="55" w:type="dxa"/>
              <w:end w:w="65" w:type="dxa"/>
            </w:tcMar>
          </w:tcPr>
          <w:p>
            <w:pPr>
              <w:spacing w:after="0"/>
            </w:pPr>
            <w:r/>
            <w:r>
              <w:rPr>
                <w:rFonts w:ascii="Aptos" w:hAnsi="Aptos"/>
                <w:b w:val="0"/>
                <w:sz w:val="16"/>
              </w:rPr>
              <w:t>Assets, liabilities and net-worth content</w:t>
            </w:r>
          </w:p>
        </w:tc>
      </w:tr>
      <w:tr>
        <w:tc>
          <w:tcPr>
            <w:tcW w:type="dxa" w:w="1440"/>
            <w:vAlign w:val="center"/>
            <w:tcMar>
              <w:top w:w="55" w:type="dxa"/>
              <w:start w:w="65" w:type="dxa"/>
              <w:bottom w:w="55" w:type="dxa"/>
              <w:end w:w="65" w:type="dxa"/>
            </w:tcMar>
            <w:shd w:fill="F4F7FB"/>
          </w:tcPr>
          <w:p>
            <w:pPr>
              <w:spacing w:after="0"/>
            </w:pPr>
            <w:r/>
            <w:r>
              <w:rPr>
                <w:rFonts w:ascii="Aptos" w:hAnsi="Aptos"/>
                <w:b w:val="0"/>
                <w:sz w:val="16"/>
              </w:rPr>
              <w:t>CTA-006</w:t>
            </w:r>
          </w:p>
        </w:tc>
        <w:tc>
          <w:tcPr>
            <w:tcW w:type="dxa" w:w="3744"/>
            <w:vAlign w:val="center"/>
            <w:tcMar>
              <w:top w:w="55" w:type="dxa"/>
              <w:start w:w="65" w:type="dxa"/>
              <w:bottom w:w="55" w:type="dxa"/>
              <w:end w:w="65" w:type="dxa"/>
            </w:tcMar>
            <w:shd w:fill="F4F7FB"/>
          </w:tcPr>
          <w:p>
            <w:pPr>
              <w:spacing w:after="0"/>
            </w:pPr>
            <w:r/>
            <w:r>
              <w:rPr>
                <w:rFonts w:ascii="Aptos" w:hAnsi="Aptos"/>
                <w:b w:val="0"/>
                <w:sz w:val="16"/>
              </w:rPr>
              <w:t>Review My Goals</w:t>
            </w:r>
          </w:p>
        </w:tc>
        <w:tc>
          <w:tcPr>
            <w:tcW w:type="dxa" w:w="6048"/>
            <w:vAlign w:val="center"/>
            <w:tcMar>
              <w:top w:w="55" w:type="dxa"/>
              <w:start w:w="65" w:type="dxa"/>
              <w:bottom w:w="55" w:type="dxa"/>
              <w:end w:w="65" w:type="dxa"/>
            </w:tcMar>
            <w:shd w:fill="F4F7FB"/>
          </w:tcPr>
          <w:p>
            <w:pPr>
              <w:spacing w:after="0"/>
            </w:pPr>
            <w:r/>
            <w:r>
              <w:rPr>
                <w:rFonts w:ascii="Aptos" w:hAnsi="Aptos"/>
                <w:b w:val="0"/>
                <w:sz w:val="16"/>
              </w:rPr>
              <w:t>Goal planning content</w:t>
            </w:r>
          </w:p>
        </w:tc>
      </w:tr>
      <w:tr>
        <w:tc>
          <w:tcPr>
            <w:tcW w:type="dxa" w:w="1440"/>
            <w:vAlign w:val="center"/>
            <w:tcMar>
              <w:top w:w="55" w:type="dxa"/>
              <w:start w:w="65" w:type="dxa"/>
              <w:bottom w:w="55" w:type="dxa"/>
              <w:end w:w="65" w:type="dxa"/>
            </w:tcMar>
          </w:tcPr>
          <w:p>
            <w:pPr>
              <w:spacing w:after="0"/>
            </w:pPr>
            <w:r/>
            <w:r>
              <w:rPr>
                <w:rFonts w:ascii="Aptos" w:hAnsi="Aptos"/>
                <w:b w:val="0"/>
                <w:sz w:val="16"/>
              </w:rPr>
              <w:t>CTA-007</w:t>
            </w:r>
          </w:p>
        </w:tc>
        <w:tc>
          <w:tcPr>
            <w:tcW w:type="dxa" w:w="3744"/>
            <w:vAlign w:val="center"/>
            <w:tcMar>
              <w:top w:w="55" w:type="dxa"/>
              <w:start w:w="65" w:type="dxa"/>
              <w:bottom w:w="55" w:type="dxa"/>
              <w:end w:w="65" w:type="dxa"/>
            </w:tcMar>
          </w:tcPr>
          <w:p>
            <w:pPr>
              <w:spacing w:after="0"/>
            </w:pPr>
            <w:r/>
            <w:r>
              <w:rPr>
                <w:rFonts w:ascii="Aptos" w:hAnsi="Aptos"/>
                <w:b w:val="0"/>
                <w:sz w:val="16"/>
              </w:rPr>
              <w:t>Review My Investments</w:t>
            </w:r>
          </w:p>
        </w:tc>
        <w:tc>
          <w:tcPr>
            <w:tcW w:type="dxa" w:w="6048"/>
            <w:vAlign w:val="center"/>
            <w:tcMar>
              <w:top w:w="55" w:type="dxa"/>
              <w:start w:w="65" w:type="dxa"/>
              <w:bottom w:w="55" w:type="dxa"/>
              <w:end w:w="65" w:type="dxa"/>
            </w:tcMar>
          </w:tcPr>
          <w:p>
            <w:pPr>
              <w:spacing w:after="0"/>
            </w:pPr>
            <w:r/>
            <w:r>
              <w:rPr>
                <w:rFonts w:ascii="Aptos" w:hAnsi="Aptos"/>
                <w:b w:val="0"/>
                <w:sz w:val="16"/>
              </w:rPr>
              <w:t>Investing education</w:t>
            </w:r>
          </w:p>
        </w:tc>
      </w:tr>
      <w:tr>
        <w:tc>
          <w:tcPr>
            <w:tcW w:type="dxa" w:w="1440"/>
            <w:vAlign w:val="center"/>
            <w:tcMar>
              <w:top w:w="55" w:type="dxa"/>
              <w:start w:w="65" w:type="dxa"/>
              <w:bottom w:w="55" w:type="dxa"/>
              <w:end w:w="65" w:type="dxa"/>
            </w:tcMar>
            <w:shd w:fill="F4F7FB"/>
          </w:tcPr>
          <w:p>
            <w:pPr>
              <w:spacing w:after="0"/>
            </w:pPr>
            <w:r/>
            <w:r>
              <w:rPr>
                <w:rFonts w:ascii="Aptos" w:hAnsi="Aptos"/>
                <w:b w:val="0"/>
                <w:sz w:val="16"/>
              </w:rPr>
              <w:t>CTA-008</w:t>
            </w:r>
          </w:p>
        </w:tc>
        <w:tc>
          <w:tcPr>
            <w:tcW w:type="dxa" w:w="3744"/>
            <w:vAlign w:val="center"/>
            <w:tcMar>
              <w:top w:w="55" w:type="dxa"/>
              <w:start w:w="65" w:type="dxa"/>
              <w:bottom w:w="55" w:type="dxa"/>
              <w:end w:w="65" w:type="dxa"/>
            </w:tcMar>
            <w:shd w:fill="F4F7FB"/>
          </w:tcPr>
          <w:p>
            <w:pPr>
              <w:spacing w:after="0"/>
            </w:pPr>
            <w:r/>
            <w:r>
              <w:rPr>
                <w:rFonts w:ascii="Aptos" w:hAnsi="Aptos"/>
                <w:b w:val="0"/>
                <w:sz w:val="16"/>
              </w:rPr>
              <w:t>Check My Retirement Readiness</w:t>
            </w:r>
          </w:p>
        </w:tc>
        <w:tc>
          <w:tcPr>
            <w:tcW w:type="dxa" w:w="6048"/>
            <w:vAlign w:val="center"/>
            <w:tcMar>
              <w:top w:w="55" w:type="dxa"/>
              <w:start w:w="65" w:type="dxa"/>
              <w:bottom w:w="55" w:type="dxa"/>
              <w:end w:w="65" w:type="dxa"/>
            </w:tcMar>
            <w:shd w:fill="F4F7FB"/>
          </w:tcPr>
          <w:p>
            <w:pPr>
              <w:spacing w:after="0"/>
            </w:pPr>
            <w:r/>
            <w:r>
              <w:rPr>
                <w:rFonts w:ascii="Aptos" w:hAnsi="Aptos"/>
                <w:b w:val="0"/>
                <w:sz w:val="16"/>
              </w:rPr>
              <w:t>Retirement content</w:t>
            </w:r>
          </w:p>
        </w:tc>
      </w:tr>
      <w:tr>
        <w:tc>
          <w:tcPr>
            <w:tcW w:type="dxa" w:w="1440"/>
            <w:vAlign w:val="center"/>
            <w:tcMar>
              <w:top w:w="55" w:type="dxa"/>
              <w:start w:w="65" w:type="dxa"/>
              <w:bottom w:w="55" w:type="dxa"/>
              <w:end w:w="65" w:type="dxa"/>
            </w:tcMar>
          </w:tcPr>
          <w:p>
            <w:pPr>
              <w:spacing w:after="0"/>
            </w:pPr>
            <w:r/>
            <w:r>
              <w:rPr>
                <w:rFonts w:ascii="Aptos" w:hAnsi="Aptos"/>
                <w:b w:val="0"/>
                <w:sz w:val="16"/>
              </w:rPr>
              <w:t>CTA-009</w:t>
            </w:r>
          </w:p>
        </w:tc>
        <w:tc>
          <w:tcPr>
            <w:tcW w:type="dxa" w:w="3744"/>
            <w:vAlign w:val="center"/>
            <w:tcMar>
              <w:top w:w="55" w:type="dxa"/>
              <w:start w:w="65" w:type="dxa"/>
              <w:bottom w:w="55" w:type="dxa"/>
              <w:end w:w="65" w:type="dxa"/>
            </w:tcMar>
          </w:tcPr>
          <w:p>
            <w:pPr>
              <w:spacing w:after="0"/>
            </w:pPr>
            <w:r/>
            <w:r>
              <w:rPr>
                <w:rFonts w:ascii="Aptos" w:hAnsi="Aptos"/>
                <w:b w:val="0"/>
                <w:sz w:val="16"/>
              </w:rPr>
              <w:t>Review My Protection</w:t>
            </w:r>
          </w:p>
        </w:tc>
        <w:tc>
          <w:tcPr>
            <w:tcW w:type="dxa" w:w="6048"/>
            <w:vAlign w:val="center"/>
            <w:tcMar>
              <w:top w:w="55" w:type="dxa"/>
              <w:start w:w="65" w:type="dxa"/>
              <w:bottom w:w="55" w:type="dxa"/>
              <w:end w:w="65" w:type="dxa"/>
            </w:tcMar>
          </w:tcPr>
          <w:p>
            <w:pPr>
              <w:spacing w:after="0"/>
            </w:pPr>
            <w:r/>
            <w:r>
              <w:rPr>
                <w:rFonts w:ascii="Aptos" w:hAnsi="Aptos"/>
                <w:b w:val="0"/>
                <w:sz w:val="16"/>
              </w:rPr>
              <w:t>Insurance content</w:t>
            </w:r>
          </w:p>
        </w:tc>
      </w:tr>
      <w:tr>
        <w:tc>
          <w:tcPr>
            <w:tcW w:type="dxa" w:w="1440"/>
            <w:vAlign w:val="center"/>
            <w:tcMar>
              <w:top w:w="55" w:type="dxa"/>
              <w:start w:w="65" w:type="dxa"/>
              <w:bottom w:w="55" w:type="dxa"/>
              <w:end w:w="65" w:type="dxa"/>
            </w:tcMar>
            <w:shd w:fill="F4F7FB"/>
          </w:tcPr>
          <w:p>
            <w:pPr>
              <w:spacing w:after="0"/>
            </w:pPr>
            <w:r/>
            <w:r>
              <w:rPr>
                <w:rFonts w:ascii="Aptos" w:hAnsi="Aptos"/>
                <w:b w:val="0"/>
                <w:sz w:val="16"/>
              </w:rPr>
              <w:t>CTA-010</w:t>
            </w:r>
          </w:p>
        </w:tc>
        <w:tc>
          <w:tcPr>
            <w:tcW w:type="dxa" w:w="3744"/>
            <w:vAlign w:val="center"/>
            <w:tcMar>
              <w:top w:w="55" w:type="dxa"/>
              <w:start w:w="65" w:type="dxa"/>
              <w:bottom w:w="55" w:type="dxa"/>
              <w:end w:w="65" w:type="dxa"/>
            </w:tcMar>
            <w:shd w:fill="F4F7FB"/>
          </w:tcPr>
          <w:p>
            <w:pPr>
              <w:spacing w:after="0"/>
            </w:pPr>
            <w:r/>
            <w:r>
              <w:rPr>
                <w:rFonts w:ascii="Aptos" w:hAnsi="Aptos"/>
                <w:b w:val="0"/>
                <w:sz w:val="16"/>
              </w:rPr>
              <w:t>Explore My Financial DNA</w:t>
            </w:r>
          </w:p>
        </w:tc>
        <w:tc>
          <w:tcPr>
            <w:tcW w:type="dxa" w:w="6048"/>
            <w:vAlign w:val="center"/>
            <w:tcMar>
              <w:top w:w="55" w:type="dxa"/>
              <w:start w:w="65" w:type="dxa"/>
              <w:bottom w:w="55" w:type="dxa"/>
              <w:end w:w="65" w:type="dxa"/>
            </w:tcMar>
            <w:shd w:fill="F4F7FB"/>
          </w:tcPr>
          <w:p>
            <w:pPr>
              <w:spacing w:after="0"/>
            </w:pPr>
            <w:r/>
            <w:r>
              <w:rPr>
                <w:rFonts w:ascii="Aptos" w:hAnsi="Aptos"/>
                <w:b w:val="0"/>
                <w:sz w:val="16"/>
              </w:rPr>
              <w:t>Behavioural content</w:t>
            </w:r>
          </w:p>
        </w:tc>
      </w:tr>
      <w:tr>
        <w:tc>
          <w:tcPr>
            <w:tcW w:type="dxa" w:w="1440"/>
            <w:vAlign w:val="center"/>
            <w:tcMar>
              <w:top w:w="55" w:type="dxa"/>
              <w:start w:w="65" w:type="dxa"/>
              <w:bottom w:w="55" w:type="dxa"/>
              <w:end w:w="65" w:type="dxa"/>
            </w:tcMar>
          </w:tcPr>
          <w:p>
            <w:pPr>
              <w:spacing w:after="0"/>
            </w:pPr>
            <w:r/>
            <w:r>
              <w:rPr>
                <w:rFonts w:ascii="Aptos" w:hAnsi="Aptos"/>
                <w:b w:val="0"/>
                <w:sz w:val="16"/>
              </w:rPr>
              <w:t>CTA-011</w:t>
            </w:r>
          </w:p>
        </w:tc>
        <w:tc>
          <w:tcPr>
            <w:tcW w:type="dxa" w:w="3744"/>
            <w:vAlign w:val="center"/>
            <w:tcMar>
              <w:top w:w="55" w:type="dxa"/>
              <w:start w:w="65" w:type="dxa"/>
              <w:bottom w:w="55" w:type="dxa"/>
              <w:end w:w="65" w:type="dxa"/>
            </w:tcMar>
          </w:tcPr>
          <w:p>
            <w:pPr>
              <w:spacing w:after="0"/>
            </w:pPr>
            <w:r/>
            <w:r>
              <w:rPr>
                <w:rFonts w:ascii="Aptos" w:hAnsi="Aptos"/>
                <w:b w:val="0"/>
                <w:sz w:val="16"/>
              </w:rPr>
              <w:t>Explore My Forecast</w:t>
            </w:r>
          </w:p>
        </w:tc>
        <w:tc>
          <w:tcPr>
            <w:tcW w:type="dxa" w:w="6048"/>
            <w:vAlign w:val="center"/>
            <w:tcMar>
              <w:top w:w="55" w:type="dxa"/>
              <w:start w:w="65" w:type="dxa"/>
              <w:bottom w:w="55" w:type="dxa"/>
              <w:end w:w="65" w:type="dxa"/>
            </w:tcMar>
          </w:tcPr>
          <w:p>
            <w:pPr>
              <w:spacing w:after="0"/>
            </w:pPr>
            <w:r/>
            <w:r>
              <w:rPr>
                <w:rFonts w:ascii="Aptos" w:hAnsi="Aptos"/>
                <w:b w:val="0"/>
                <w:sz w:val="16"/>
              </w:rPr>
              <w:t>Forecast/scenario content</w:t>
            </w:r>
          </w:p>
        </w:tc>
      </w:tr>
      <w:tr>
        <w:tc>
          <w:tcPr>
            <w:tcW w:type="dxa" w:w="1440"/>
            <w:vAlign w:val="center"/>
            <w:tcMar>
              <w:top w:w="55" w:type="dxa"/>
              <w:start w:w="65" w:type="dxa"/>
              <w:bottom w:w="55" w:type="dxa"/>
              <w:end w:w="65" w:type="dxa"/>
            </w:tcMar>
            <w:shd w:fill="F4F7FB"/>
          </w:tcPr>
          <w:p>
            <w:pPr>
              <w:spacing w:after="0"/>
            </w:pPr>
            <w:r/>
            <w:r>
              <w:rPr>
                <w:rFonts w:ascii="Aptos" w:hAnsi="Aptos"/>
                <w:b w:val="0"/>
                <w:sz w:val="16"/>
              </w:rPr>
              <w:t>CTA-012</w:t>
            </w:r>
          </w:p>
        </w:tc>
        <w:tc>
          <w:tcPr>
            <w:tcW w:type="dxa" w:w="3744"/>
            <w:vAlign w:val="center"/>
            <w:tcMar>
              <w:top w:w="55" w:type="dxa"/>
              <w:start w:w="65" w:type="dxa"/>
              <w:bottom w:w="55" w:type="dxa"/>
              <w:end w:w="65" w:type="dxa"/>
            </w:tcMar>
            <w:shd w:fill="F4F7FB"/>
          </w:tcPr>
          <w:p>
            <w:pPr>
              <w:spacing w:after="0"/>
            </w:pPr>
            <w:r/>
            <w:r>
              <w:rPr>
                <w:rFonts w:ascii="Aptos" w:hAnsi="Aptos"/>
                <w:b w:val="0"/>
                <w:sz w:val="16"/>
              </w:rPr>
              <w:t>View My Consolidated Financial Position</w:t>
            </w:r>
          </w:p>
        </w:tc>
        <w:tc>
          <w:tcPr>
            <w:tcW w:type="dxa" w:w="6048"/>
            <w:vAlign w:val="center"/>
            <w:tcMar>
              <w:top w:w="55" w:type="dxa"/>
              <w:start w:w="65" w:type="dxa"/>
              <w:bottom w:w="55" w:type="dxa"/>
              <w:end w:w="65" w:type="dxa"/>
            </w:tcMar>
            <w:shd w:fill="F4F7FB"/>
          </w:tcPr>
          <w:p>
            <w:pPr>
              <w:spacing w:after="0"/>
            </w:pPr>
            <w:r/>
            <w:r>
              <w:rPr>
                <w:rFonts w:ascii="Aptos" w:hAnsi="Aptos"/>
                <w:b w:val="0"/>
                <w:sz w:val="16"/>
              </w:rPr>
              <w:t>Cross-border content</w:t>
            </w:r>
          </w:p>
        </w:tc>
      </w:tr>
      <w:tr>
        <w:tc>
          <w:tcPr>
            <w:tcW w:type="dxa" w:w="1440"/>
            <w:vAlign w:val="center"/>
            <w:tcMar>
              <w:top w:w="55" w:type="dxa"/>
              <w:start w:w="65" w:type="dxa"/>
              <w:bottom w:w="55" w:type="dxa"/>
              <w:end w:w="65" w:type="dxa"/>
            </w:tcMar>
          </w:tcPr>
          <w:p>
            <w:pPr>
              <w:spacing w:after="0"/>
            </w:pPr>
            <w:r/>
            <w:r>
              <w:rPr>
                <w:rFonts w:ascii="Aptos" w:hAnsi="Aptos"/>
                <w:b w:val="0"/>
                <w:sz w:val="16"/>
              </w:rPr>
              <w:t>CTA-013</w:t>
            </w:r>
          </w:p>
        </w:tc>
        <w:tc>
          <w:tcPr>
            <w:tcW w:type="dxa" w:w="3744"/>
            <w:vAlign w:val="center"/>
            <w:tcMar>
              <w:top w:w="55" w:type="dxa"/>
              <w:start w:w="65" w:type="dxa"/>
              <w:bottom w:w="55" w:type="dxa"/>
              <w:end w:w="65" w:type="dxa"/>
            </w:tcMar>
          </w:tcPr>
          <w:p>
            <w:pPr>
              <w:spacing w:after="0"/>
            </w:pPr>
            <w:r/>
            <w:r>
              <w:rPr>
                <w:rFonts w:ascii="Aptos" w:hAnsi="Aptos"/>
                <w:b w:val="0"/>
                <w:sz w:val="16"/>
              </w:rPr>
              <w:t>View My Financial Health Score</w:t>
            </w:r>
          </w:p>
        </w:tc>
        <w:tc>
          <w:tcPr>
            <w:tcW w:type="dxa" w:w="6048"/>
            <w:vAlign w:val="center"/>
            <w:tcMar>
              <w:top w:w="55" w:type="dxa"/>
              <w:start w:w="65" w:type="dxa"/>
              <w:bottom w:w="55" w:type="dxa"/>
              <w:end w:w="65" w:type="dxa"/>
            </w:tcMar>
          </w:tcPr>
          <w:p>
            <w:pPr>
              <w:spacing w:after="0"/>
            </w:pPr>
            <w:r/>
            <w:r>
              <w:rPr>
                <w:rFonts w:ascii="Aptos" w:hAnsi="Aptos"/>
                <w:b w:val="0"/>
                <w:sz w:val="16"/>
              </w:rPr>
              <w:t>Scores content</w:t>
            </w:r>
          </w:p>
        </w:tc>
      </w:tr>
      <w:tr>
        <w:tc>
          <w:tcPr>
            <w:tcW w:type="dxa" w:w="1440"/>
            <w:vAlign w:val="center"/>
            <w:tcMar>
              <w:top w:w="55" w:type="dxa"/>
              <w:start w:w="65" w:type="dxa"/>
              <w:bottom w:w="55" w:type="dxa"/>
              <w:end w:w="65" w:type="dxa"/>
            </w:tcMar>
            <w:shd w:fill="F4F7FB"/>
          </w:tcPr>
          <w:p>
            <w:pPr>
              <w:spacing w:after="0"/>
            </w:pPr>
            <w:r/>
            <w:r>
              <w:rPr>
                <w:rFonts w:ascii="Aptos" w:hAnsi="Aptos"/>
                <w:b w:val="0"/>
                <w:sz w:val="16"/>
              </w:rPr>
              <w:t>CTA-014</w:t>
            </w:r>
          </w:p>
        </w:tc>
        <w:tc>
          <w:tcPr>
            <w:tcW w:type="dxa" w:w="3744"/>
            <w:vAlign w:val="center"/>
            <w:tcMar>
              <w:top w:w="55" w:type="dxa"/>
              <w:start w:w="65" w:type="dxa"/>
              <w:bottom w:w="55" w:type="dxa"/>
              <w:end w:w="65" w:type="dxa"/>
            </w:tcMar>
            <w:shd w:fill="F4F7FB"/>
          </w:tcPr>
          <w:p>
            <w:pPr>
              <w:spacing w:after="0"/>
            </w:pPr>
            <w:r/>
            <w:r>
              <w:rPr>
                <w:rFonts w:ascii="Aptos" w:hAnsi="Aptos"/>
                <w:b w:val="0"/>
                <w:sz w:val="16"/>
              </w:rPr>
              <w:t>Explore Related Guide</w:t>
            </w:r>
          </w:p>
        </w:tc>
        <w:tc>
          <w:tcPr>
            <w:tcW w:type="dxa" w:w="6048"/>
            <w:vAlign w:val="center"/>
            <w:tcMar>
              <w:top w:w="55" w:type="dxa"/>
              <w:start w:w="65" w:type="dxa"/>
              <w:bottom w:w="55" w:type="dxa"/>
              <w:end w:w="65" w:type="dxa"/>
            </w:tcMar>
            <w:shd w:fill="F4F7FB"/>
          </w:tcPr>
          <w:p>
            <w:pPr>
              <w:spacing w:after="0"/>
            </w:pPr>
            <w:r/>
            <w:r>
              <w:rPr>
                <w:rFonts w:ascii="Aptos" w:hAnsi="Aptos"/>
                <w:b w:val="0"/>
                <w:sz w:val="16"/>
              </w:rPr>
              <w:t>Glossary terms</w:t>
            </w:r>
          </w:p>
        </w:tc>
      </w:tr>
      <w:tr>
        <w:tc>
          <w:tcPr>
            <w:tcW w:type="dxa" w:w="1440"/>
            <w:vAlign w:val="center"/>
            <w:tcMar>
              <w:top w:w="55" w:type="dxa"/>
              <w:start w:w="65" w:type="dxa"/>
              <w:bottom w:w="55" w:type="dxa"/>
              <w:end w:w="65" w:type="dxa"/>
            </w:tcMar>
          </w:tcPr>
          <w:p>
            <w:pPr>
              <w:spacing w:after="0"/>
            </w:pPr>
            <w:r/>
            <w:r>
              <w:rPr>
                <w:rFonts w:ascii="Aptos" w:hAnsi="Aptos"/>
                <w:b w:val="0"/>
                <w:sz w:val="16"/>
              </w:rPr>
              <w:t>CTA-015</w:t>
            </w:r>
          </w:p>
        </w:tc>
        <w:tc>
          <w:tcPr>
            <w:tcW w:type="dxa" w:w="3744"/>
            <w:vAlign w:val="center"/>
            <w:tcMar>
              <w:top w:w="55" w:type="dxa"/>
              <w:start w:w="65" w:type="dxa"/>
              <w:bottom w:w="55" w:type="dxa"/>
              <w:end w:w="65" w:type="dxa"/>
            </w:tcMar>
          </w:tcPr>
          <w:p>
            <w:pPr>
              <w:spacing w:after="0"/>
            </w:pPr>
            <w:r/>
            <w:r>
              <w:rPr>
                <w:rFonts w:ascii="Aptos" w:hAnsi="Aptos"/>
                <w:b w:val="0"/>
                <w:sz w:val="16"/>
              </w:rPr>
              <w:t>Watch on @GKTC</w:t>
            </w:r>
          </w:p>
        </w:tc>
        <w:tc>
          <w:tcPr>
            <w:tcW w:type="dxa" w:w="6048"/>
            <w:vAlign w:val="center"/>
            <w:tcMar>
              <w:top w:w="55" w:type="dxa"/>
              <w:start w:w="65" w:type="dxa"/>
              <w:bottom w:w="55" w:type="dxa"/>
              <w:end w:w="65" w:type="dxa"/>
            </w:tcMar>
          </w:tcPr>
          <w:p>
            <w:pPr>
              <w:spacing w:after="0"/>
            </w:pPr>
            <w:r/>
            <w:r>
              <w:rPr>
                <w:rFonts w:ascii="Aptos" w:hAnsi="Aptos"/>
                <w:b w:val="0"/>
                <w:sz w:val="16"/>
              </w:rPr>
              <w:t>All video resources as secondary CTA</w:t>
            </w:r>
          </w:p>
        </w:tc>
      </w:tr>
    </w:tbl>
    <w:p>
      <w:pPr>
        <w:spacing w:after="0"/>
      </w:pPr>
    </w:p>
    <w:p>
      <w:pPr>
        <w:pStyle w:val="Heading1"/>
      </w:pPr>
      <w:r>
        <w:t>8. @GKTC Video Programme</w:t>
      </w:r>
    </w:p>
    <w:p>
      <w:r>
        <w:t>The video strategy is built around @GKTC — Growth, Knowledge &amp; Treasury. YouTube is the video-hosting source of truth. FHIP stores the YouTube URL/video ID, metadata, transcript, chapters, related content and CTA, and renders the video inside a FHIP Resource page.</w:t>
      </w:r>
    </w:p>
    <w:tbl>
      <w:tblPr>
        <w:tblW w:type="auto" w:w="0"/>
        <w:jc w:val="center"/>
        <w:tblLayout w:type="fixed"/>
        <w:tblLook w:firstColumn="1" w:firstRow="1" w:lastColumn="0" w:lastRow="0" w:noHBand="0" w:noVBand="1" w:val="04A0"/>
      </w:tblPr>
      <w:tblGrid>
        <w:gridCol w:w="10224"/>
      </w:tblGrid>
      <w:tr>
        <w:tc>
          <w:tcPr>
            <w:tcW w:type="dxa" w:w="10224"/>
            <w:shd w:fill="DCE6F1"/>
            <w:tcMar>
              <w:top w:w="110" w:type="dxa"/>
              <w:start w:w="140" w:type="dxa"/>
              <w:bottom w:w="110" w:type="dxa"/>
              <w:end w:w="140" w:type="dxa"/>
            </w:tcMar>
          </w:tcPr>
          <w:p>
            <w:pPr>
              <w:spacing w:after="40"/>
            </w:pPr>
            <w:r>
              <w:rPr>
                <w:b/>
                <w:color w:val="0B1F3A"/>
                <w:sz w:val="21"/>
              </w:rPr>
              <w:t>Two-way growth model</w:t>
            </w:r>
          </w:p>
          <w:p>
            <w:pPr>
              <w:spacing w:after="0"/>
            </w:pPr>
            <w:r>
              <w:rPr>
                <w:color w:val="333333"/>
                <w:sz w:val="19"/>
              </w:rPr>
              <w:t>FHIP Resources should send interested viewers to @GKTC, while GKTC descriptions, pinned comments and spoken CTAs should send viewers back to the relevant FHIP Resource or financial-health assessment. The two properties should grow as one ecosystem.</w:t>
            </w:r>
          </w:p>
        </w:tc>
      </w:tr>
    </w:tbl>
    <w:p>
      <w:pPr>
        <w:spacing w:after="0"/>
      </w:pP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296"/>
            <w:vAlign w:val="center"/>
            <w:shd w:fill="0B1F3A"/>
            <w:tcMar>
              <w:top w:w="70" w:type="dxa"/>
              <w:start w:w="70" w:type="dxa"/>
              <w:bottom w:w="70" w:type="dxa"/>
              <w:end w:w="70" w:type="dxa"/>
            </w:tcMar>
          </w:tcPr>
          <w:p>
            <w:pPr>
              <w:spacing w:after="0"/>
            </w:pPr>
            <w:r/>
            <w:r>
              <w:rPr>
                <w:rFonts w:ascii="Aptos" w:hAnsi="Aptos"/>
                <w:b/>
                <w:color w:val="FFFFFF"/>
                <w:sz w:val="15"/>
              </w:rPr>
              <w:t>ID</w:t>
            </w:r>
          </w:p>
        </w:tc>
        <w:tc>
          <w:tcPr>
            <w:tcW w:type="dxa" w:w="4896"/>
            <w:vAlign w:val="center"/>
            <w:shd w:fill="0B1F3A"/>
            <w:tcMar>
              <w:top w:w="70" w:type="dxa"/>
              <w:start w:w="70" w:type="dxa"/>
              <w:bottom w:w="70" w:type="dxa"/>
              <w:end w:w="70" w:type="dxa"/>
            </w:tcMar>
          </w:tcPr>
          <w:p>
            <w:pPr>
              <w:spacing w:after="0"/>
            </w:pPr>
            <w:r/>
            <w:r>
              <w:rPr>
                <w:rFonts w:ascii="Aptos" w:hAnsi="Aptos"/>
                <w:b/>
                <w:color w:val="FFFFFF"/>
                <w:sz w:val="15"/>
              </w:rPr>
              <w:t>Video Title</w:t>
            </w:r>
          </w:p>
        </w:tc>
        <w:tc>
          <w:tcPr>
            <w:tcW w:type="dxa" w:w="2592"/>
            <w:vAlign w:val="center"/>
            <w:shd w:fill="0B1F3A"/>
            <w:tcMar>
              <w:top w:w="70" w:type="dxa"/>
              <w:start w:w="70" w:type="dxa"/>
              <w:bottom w:w="70" w:type="dxa"/>
              <w:end w:w="70" w:type="dxa"/>
            </w:tcMar>
          </w:tcPr>
          <w:p>
            <w:pPr>
              <w:spacing w:after="0"/>
            </w:pPr>
            <w:r/>
            <w:r>
              <w:rPr>
                <w:rFonts w:ascii="Aptos" w:hAnsi="Aptos"/>
                <w:b/>
                <w:color w:val="FFFFFF"/>
                <w:sz w:val="15"/>
              </w:rPr>
              <w:t>Content Cluster</w:t>
            </w:r>
          </w:p>
        </w:tc>
        <w:tc>
          <w:tcPr>
            <w:tcW w:type="dxa" w:w="1008"/>
            <w:vAlign w:val="center"/>
            <w:shd w:fill="0B1F3A"/>
            <w:tcMar>
              <w:top w:w="70" w:type="dxa"/>
              <w:start w:w="70" w:type="dxa"/>
              <w:bottom w:w="70" w:type="dxa"/>
              <w:end w:w="70" w:type="dxa"/>
            </w:tcMar>
          </w:tcPr>
          <w:p>
            <w:pPr>
              <w:spacing w:after="0"/>
            </w:pPr>
            <w:r/>
            <w:r>
              <w:rPr>
                <w:rFonts w:ascii="Aptos" w:hAnsi="Aptos"/>
                <w:b/>
                <w:color w:val="FFFFFF"/>
                <w:sz w:val="15"/>
              </w:rPr>
              <w:t>Priority</w:t>
            </w:r>
          </w:p>
        </w:tc>
        <w:tc>
          <w:tcPr>
            <w:tcW w:type="dxa" w:w="2592"/>
            <w:vAlign w:val="center"/>
            <w:shd w:fill="0B1F3A"/>
            <w:tcMar>
              <w:top w:w="70" w:type="dxa"/>
              <w:start w:w="70" w:type="dxa"/>
              <w:bottom w:w="70" w:type="dxa"/>
              <w:end w:w="70" w:type="dxa"/>
            </w:tcMar>
          </w:tcPr>
          <w:p>
            <w:pPr>
              <w:spacing w:after="0"/>
            </w:pPr>
            <w:r/>
            <w:r>
              <w:rPr>
                <w:rFonts w:ascii="Aptos" w:hAnsi="Aptos"/>
                <w:b/>
                <w:color w:val="FFFFFF"/>
                <w:sz w:val="15"/>
              </w:rPr>
              <w:t>Primary CTA</w:t>
            </w:r>
          </w:p>
        </w:tc>
      </w:tr>
      <w:tr>
        <w:tc>
          <w:tcPr>
            <w:tcW w:type="dxa" w:w="1296"/>
            <w:vAlign w:val="center"/>
            <w:tcMar>
              <w:top w:w="55" w:type="dxa"/>
              <w:start w:w="65" w:type="dxa"/>
              <w:bottom w:w="55" w:type="dxa"/>
              <w:end w:w="65" w:type="dxa"/>
            </w:tcMar>
          </w:tcPr>
          <w:p>
            <w:pPr>
              <w:spacing w:after="0"/>
            </w:pPr>
            <w:r/>
            <w:r>
              <w:rPr>
                <w:rFonts w:ascii="Aptos" w:hAnsi="Aptos"/>
                <w:b w:val="0"/>
                <w:sz w:val="15"/>
              </w:rPr>
              <w:t>VID-001</w:t>
            </w:r>
          </w:p>
        </w:tc>
        <w:tc>
          <w:tcPr>
            <w:tcW w:type="dxa" w:w="4896"/>
            <w:vAlign w:val="center"/>
            <w:tcMar>
              <w:top w:w="55" w:type="dxa"/>
              <w:start w:w="65" w:type="dxa"/>
              <w:bottom w:w="55" w:type="dxa"/>
              <w:end w:w="65" w:type="dxa"/>
            </w:tcMar>
          </w:tcPr>
          <w:p>
            <w:pPr>
              <w:spacing w:after="0"/>
            </w:pPr>
            <w:r/>
            <w:r>
              <w:rPr>
                <w:rFonts w:ascii="Aptos" w:hAnsi="Aptos"/>
                <w:b w:val="0"/>
                <w:sz w:val="15"/>
              </w:rPr>
              <w:t>What Is Financial Health? | GKTC x FHIP</w:t>
            </w:r>
          </w:p>
        </w:tc>
        <w:tc>
          <w:tcPr>
            <w:tcW w:type="dxa" w:w="2592"/>
            <w:vAlign w:val="center"/>
            <w:tcMar>
              <w:top w:w="55" w:type="dxa"/>
              <w:start w:w="65" w:type="dxa"/>
              <w:bottom w:w="55" w:type="dxa"/>
              <w:end w:w="65" w:type="dxa"/>
            </w:tcMar>
          </w:tcPr>
          <w:p>
            <w:pPr>
              <w:spacing w:after="0"/>
            </w:pPr>
            <w:r/>
            <w:r>
              <w:rPr>
                <w:rFonts w:ascii="Aptos" w:hAnsi="Aptos"/>
                <w:b w:val="0"/>
                <w:sz w:val="15"/>
              </w:rPr>
              <w:t>Financial Health</w:t>
            </w:r>
          </w:p>
        </w:tc>
        <w:tc>
          <w:tcPr>
            <w:tcW w:type="dxa" w:w="1008"/>
            <w:vAlign w:val="center"/>
            <w:tcMar>
              <w:top w:w="55" w:type="dxa"/>
              <w:start w:w="65" w:type="dxa"/>
              <w:bottom w:w="55" w:type="dxa"/>
              <w:end w:w="65" w:type="dxa"/>
            </w:tcMar>
          </w:tcPr>
          <w:p>
            <w:pPr>
              <w:spacing w:after="0"/>
            </w:pPr>
            <w:r/>
            <w:r>
              <w:rPr>
                <w:rFonts w:ascii="Aptos" w:hAnsi="Aptos"/>
                <w:b w:val="0"/>
                <w:sz w:val="15"/>
              </w:rPr>
              <w:t>P0</w:t>
            </w:r>
          </w:p>
        </w:tc>
        <w:tc>
          <w:tcPr>
            <w:tcW w:type="dxa" w:w="2592"/>
            <w:vAlign w:val="center"/>
            <w:tcMar>
              <w:top w:w="55" w:type="dxa"/>
              <w:start w:w="65" w:type="dxa"/>
              <w:bottom w:w="55" w:type="dxa"/>
              <w:end w:w="65" w:type="dxa"/>
            </w:tcMar>
          </w:tcPr>
          <w:p>
            <w:pPr>
              <w:spacing w:after="0"/>
            </w:pPr>
            <w:r/>
            <w:r>
              <w:rPr>
                <w:rFonts w:ascii="Aptos" w:hAnsi="Aptos"/>
                <w:b w:val="0"/>
                <w:sz w:val="15"/>
              </w:rPr>
              <w:t>Check My Financial Health</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VID-002</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7 Numbers Every Household Should Know</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Financial Health</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P0</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Check My Financial Health</w:t>
            </w:r>
          </w:p>
        </w:tc>
      </w:tr>
      <w:tr>
        <w:tc>
          <w:tcPr>
            <w:tcW w:type="dxa" w:w="1296"/>
            <w:vAlign w:val="center"/>
            <w:tcMar>
              <w:top w:w="55" w:type="dxa"/>
              <w:start w:w="65" w:type="dxa"/>
              <w:bottom w:w="55" w:type="dxa"/>
              <w:end w:w="65" w:type="dxa"/>
            </w:tcMar>
          </w:tcPr>
          <w:p>
            <w:pPr>
              <w:spacing w:after="0"/>
            </w:pPr>
            <w:r/>
            <w:r>
              <w:rPr>
                <w:rFonts w:ascii="Aptos" w:hAnsi="Aptos"/>
                <w:b w:val="0"/>
                <w:sz w:val="15"/>
              </w:rPr>
              <w:t>VID-003</w:t>
            </w:r>
          </w:p>
        </w:tc>
        <w:tc>
          <w:tcPr>
            <w:tcW w:type="dxa" w:w="4896"/>
            <w:vAlign w:val="center"/>
            <w:tcMar>
              <w:top w:w="55" w:type="dxa"/>
              <w:start w:w="65" w:type="dxa"/>
              <w:bottom w:w="55" w:type="dxa"/>
              <w:end w:w="65" w:type="dxa"/>
            </w:tcMar>
          </w:tcPr>
          <w:p>
            <w:pPr>
              <w:spacing w:after="0"/>
            </w:pPr>
            <w:r/>
            <w:r>
              <w:rPr>
                <w:rFonts w:ascii="Aptos" w:hAnsi="Aptos"/>
                <w:b w:val="0"/>
                <w:sz w:val="15"/>
              </w:rPr>
              <w:t>Net Worth Explained in 5 Minutes</w:t>
            </w:r>
          </w:p>
        </w:tc>
        <w:tc>
          <w:tcPr>
            <w:tcW w:type="dxa" w:w="2592"/>
            <w:vAlign w:val="center"/>
            <w:tcMar>
              <w:top w:w="55" w:type="dxa"/>
              <w:start w:w="65" w:type="dxa"/>
              <w:bottom w:w="55" w:type="dxa"/>
              <w:end w:w="65" w:type="dxa"/>
            </w:tcMar>
          </w:tcPr>
          <w:p>
            <w:pPr>
              <w:spacing w:after="0"/>
            </w:pPr>
            <w:r/>
            <w:r>
              <w:rPr>
                <w:rFonts w:ascii="Aptos" w:hAnsi="Aptos"/>
                <w:b w:val="0"/>
                <w:sz w:val="15"/>
              </w:rPr>
              <w:t>Assets &amp; Net Worth</w:t>
            </w:r>
          </w:p>
        </w:tc>
        <w:tc>
          <w:tcPr>
            <w:tcW w:type="dxa" w:w="1008"/>
            <w:vAlign w:val="center"/>
            <w:tcMar>
              <w:top w:w="55" w:type="dxa"/>
              <w:start w:w="65" w:type="dxa"/>
              <w:bottom w:w="55" w:type="dxa"/>
              <w:end w:w="65" w:type="dxa"/>
            </w:tcMar>
          </w:tcPr>
          <w:p>
            <w:pPr>
              <w:spacing w:after="0"/>
            </w:pPr>
            <w:r/>
            <w:r>
              <w:rPr>
                <w:rFonts w:ascii="Aptos" w:hAnsi="Aptos"/>
                <w:b w:val="0"/>
                <w:sz w:val="15"/>
              </w:rPr>
              <w:t>P0</w:t>
            </w:r>
          </w:p>
        </w:tc>
        <w:tc>
          <w:tcPr>
            <w:tcW w:type="dxa" w:w="2592"/>
            <w:vAlign w:val="center"/>
            <w:tcMar>
              <w:top w:w="55" w:type="dxa"/>
              <w:start w:w="65" w:type="dxa"/>
              <w:bottom w:w="55" w:type="dxa"/>
              <w:end w:w="65" w:type="dxa"/>
            </w:tcMar>
          </w:tcPr>
          <w:p>
            <w:pPr>
              <w:spacing w:after="0"/>
            </w:pPr>
            <w:r/>
            <w:r>
              <w:rPr>
                <w:rFonts w:ascii="Aptos" w:hAnsi="Aptos"/>
                <w:b w:val="0"/>
                <w:sz w:val="15"/>
              </w:rPr>
              <w:t>See My Net Worth</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VID-004</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Savings Rate: The Number That Shows What You Keep</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Managing Money &amp; Cash Flow</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P0</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Review My Cash Flow</w:t>
            </w:r>
          </w:p>
        </w:tc>
      </w:tr>
      <w:tr>
        <w:tc>
          <w:tcPr>
            <w:tcW w:type="dxa" w:w="1296"/>
            <w:vAlign w:val="center"/>
            <w:tcMar>
              <w:top w:w="55" w:type="dxa"/>
              <w:start w:w="65" w:type="dxa"/>
              <w:bottom w:w="55" w:type="dxa"/>
              <w:end w:w="65" w:type="dxa"/>
            </w:tcMar>
          </w:tcPr>
          <w:p>
            <w:pPr>
              <w:spacing w:after="0"/>
            </w:pPr>
            <w:r/>
            <w:r>
              <w:rPr>
                <w:rFonts w:ascii="Aptos" w:hAnsi="Aptos"/>
                <w:b w:val="0"/>
                <w:sz w:val="15"/>
              </w:rPr>
              <w:t>VID-005</w:t>
            </w:r>
          </w:p>
        </w:tc>
        <w:tc>
          <w:tcPr>
            <w:tcW w:type="dxa" w:w="4896"/>
            <w:vAlign w:val="center"/>
            <w:tcMar>
              <w:top w:w="55" w:type="dxa"/>
              <w:start w:w="65" w:type="dxa"/>
              <w:bottom w:w="55" w:type="dxa"/>
              <w:end w:w="65" w:type="dxa"/>
            </w:tcMar>
          </w:tcPr>
          <w:p>
            <w:pPr>
              <w:spacing w:after="0"/>
            </w:pPr>
            <w:r/>
            <w:r>
              <w:rPr>
                <w:rFonts w:ascii="Aptos" w:hAnsi="Aptos"/>
                <w:b w:val="0"/>
                <w:sz w:val="15"/>
              </w:rPr>
              <w:t>How Much Emergency Fund Do You Really Need?</w:t>
            </w:r>
          </w:p>
        </w:tc>
        <w:tc>
          <w:tcPr>
            <w:tcW w:type="dxa" w:w="2592"/>
            <w:vAlign w:val="center"/>
            <w:tcMar>
              <w:top w:w="55" w:type="dxa"/>
              <w:start w:w="65" w:type="dxa"/>
              <w:bottom w:w="55" w:type="dxa"/>
              <w:end w:w="65" w:type="dxa"/>
            </w:tcMar>
          </w:tcPr>
          <w:p>
            <w:pPr>
              <w:spacing w:after="0"/>
            </w:pPr>
            <w:r/>
            <w:r>
              <w:rPr>
                <w:rFonts w:ascii="Aptos" w:hAnsi="Aptos"/>
                <w:b w:val="0"/>
                <w:sz w:val="15"/>
              </w:rPr>
              <w:t>Emergency &amp; Resilience</w:t>
            </w:r>
          </w:p>
        </w:tc>
        <w:tc>
          <w:tcPr>
            <w:tcW w:type="dxa" w:w="1008"/>
            <w:vAlign w:val="center"/>
            <w:tcMar>
              <w:top w:w="55" w:type="dxa"/>
              <w:start w:w="65" w:type="dxa"/>
              <w:bottom w:w="55" w:type="dxa"/>
              <w:end w:w="65" w:type="dxa"/>
            </w:tcMar>
          </w:tcPr>
          <w:p>
            <w:pPr>
              <w:spacing w:after="0"/>
            </w:pPr>
            <w:r/>
            <w:r>
              <w:rPr>
                <w:rFonts w:ascii="Aptos" w:hAnsi="Aptos"/>
                <w:b w:val="0"/>
                <w:sz w:val="15"/>
              </w:rPr>
              <w:t>P0</w:t>
            </w:r>
          </w:p>
        </w:tc>
        <w:tc>
          <w:tcPr>
            <w:tcW w:type="dxa" w:w="2592"/>
            <w:vAlign w:val="center"/>
            <w:tcMar>
              <w:top w:w="55" w:type="dxa"/>
              <w:start w:w="65" w:type="dxa"/>
              <w:bottom w:w="55" w:type="dxa"/>
              <w:end w:w="65" w:type="dxa"/>
            </w:tcMar>
          </w:tcPr>
          <w:p>
            <w:pPr>
              <w:spacing w:after="0"/>
            </w:pPr>
            <w:r/>
            <w:r>
              <w:rPr>
                <w:rFonts w:ascii="Aptos" w:hAnsi="Aptos"/>
                <w:b w:val="0"/>
                <w:sz w:val="15"/>
              </w:rPr>
              <w:t>Check My Financial Resilience</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VID-006</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Debt-to-Income Ratio Explained</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Debt &amp; Borrowing</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P0</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Review My Debt Position</w:t>
            </w:r>
          </w:p>
        </w:tc>
      </w:tr>
      <w:tr>
        <w:tc>
          <w:tcPr>
            <w:tcW w:type="dxa" w:w="1296"/>
            <w:vAlign w:val="center"/>
            <w:tcMar>
              <w:top w:w="55" w:type="dxa"/>
              <w:start w:w="65" w:type="dxa"/>
              <w:bottom w:w="55" w:type="dxa"/>
              <w:end w:w="65" w:type="dxa"/>
            </w:tcMar>
          </w:tcPr>
          <w:p>
            <w:pPr>
              <w:spacing w:after="0"/>
            </w:pPr>
            <w:r/>
            <w:r>
              <w:rPr>
                <w:rFonts w:ascii="Aptos" w:hAnsi="Aptos"/>
                <w:b w:val="0"/>
                <w:sz w:val="15"/>
              </w:rPr>
              <w:t>VID-007</w:t>
            </w:r>
          </w:p>
        </w:tc>
        <w:tc>
          <w:tcPr>
            <w:tcW w:type="dxa" w:w="4896"/>
            <w:vAlign w:val="center"/>
            <w:tcMar>
              <w:top w:w="55" w:type="dxa"/>
              <w:start w:w="65" w:type="dxa"/>
              <w:bottom w:w="55" w:type="dxa"/>
              <w:end w:w="65" w:type="dxa"/>
            </w:tcMar>
          </w:tcPr>
          <w:p>
            <w:pPr>
              <w:spacing w:after="0"/>
            </w:pPr>
            <w:r/>
            <w:r>
              <w:rPr>
                <w:rFonts w:ascii="Aptos" w:hAnsi="Aptos"/>
                <w:b w:val="0"/>
                <w:sz w:val="15"/>
              </w:rPr>
              <w:t>Financial Resilience: Can Your Finances Absorb a Shock?</w:t>
            </w:r>
          </w:p>
        </w:tc>
        <w:tc>
          <w:tcPr>
            <w:tcW w:type="dxa" w:w="2592"/>
            <w:vAlign w:val="center"/>
            <w:tcMar>
              <w:top w:w="55" w:type="dxa"/>
              <w:start w:w="65" w:type="dxa"/>
              <w:bottom w:w="55" w:type="dxa"/>
              <w:end w:w="65" w:type="dxa"/>
            </w:tcMar>
          </w:tcPr>
          <w:p>
            <w:pPr>
              <w:spacing w:after="0"/>
            </w:pPr>
            <w:r/>
            <w:r>
              <w:rPr>
                <w:rFonts w:ascii="Aptos" w:hAnsi="Aptos"/>
                <w:b w:val="0"/>
                <w:sz w:val="15"/>
              </w:rPr>
              <w:t>Emergency &amp; Resilience</w:t>
            </w:r>
          </w:p>
        </w:tc>
        <w:tc>
          <w:tcPr>
            <w:tcW w:type="dxa" w:w="1008"/>
            <w:vAlign w:val="center"/>
            <w:tcMar>
              <w:top w:w="55" w:type="dxa"/>
              <w:start w:w="65" w:type="dxa"/>
              <w:bottom w:w="55" w:type="dxa"/>
              <w:end w:w="65" w:type="dxa"/>
            </w:tcMar>
          </w:tcPr>
          <w:p>
            <w:pPr>
              <w:spacing w:after="0"/>
            </w:pPr>
            <w:r/>
            <w:r>
              <w:rPr>
                <w:rFonts w:ascii="Aptos" w:hAnsi="Aptos"/>
                <w:b w:val="0"/>
                <w:sz w:val="15"/>
              </w:rPr>
              <w:t>P0</w:t>
            </w:r>
          </w:p>
        </w:tc>
        <w:tc>
          <w:tcPr>
            <w:tcW w:type="dxa" w:w="2592"/>
            <w:vAlign w:val="center"/>
            <w:tcMar>
              <w:top w:w="55" w:type="dxa"/>
              <w:start w:w="65" w:type="dxa"/>
              <w:bottom w:w="55" w:type="dxa"/>
              <w:end w:w="65" w:type="dxa"/>
            </w:tcMar>
          </w:tcPr>
          <w:p>
            <w:pPr>
              <w:spacing w:after="0"/>
            </w:pPr>
            <w:r/>
            <w:r>
              <w:rPr>
                <w:rFonts w:ascii="Aptos" w:hAnsi="Aptos"/>
                <w:b w:val="0"/>
                <w:sz w:val="15"/>
              </w:rPr>
              <w:t>Check My Financial Resilience</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VID-008</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Compounding Explained Visually</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Investing &amp; Building Wealth</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P0</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Review My Investments</w:t>
            </w:r>
          </w:p>
        </w:tc>
      </w:tr>
      <w:tr>
        <w:tc>
          <w:tcPr>
            <w:tcW w:type="dxa" w:w="1296"/>
            <w:vAlign w:val="center"/>
            <w:tcMar>
              <w:top w:w="55" w:type="dxa"/>
              <w:start w:w="65" w:type="dxa"/>
              <w:bottom w:w="55" w:type="dxa"/>
              <w:end w:w="65" w:type="dxa"/>
            </w:tcMar>
          </w:tcPr>
          <w:p>
            <w:pPr>
              <w:spacing w:after="0"/>
            </w:pPr>
            <w:r/>
            <w:r>
              <w:rPr>
                <w:rFonts w:ascii="Aptos" w:hAnsi="Aptos"/>
                <w:b w:val="0"/>
                <w:sz w:val="15"/>
              </w:rPr>
              <w:t>VID-009</w:t>
            </w:r>
          </w:p>
        </w:tc>
        <w:tc>
          <w:tcPr>
            <w:tcW w:type="dxa" w:w="4896"/>
            <w:vAlign w:val="center"/>
            <w:tcMar>
              <w:top w:w="55" w:type="dxa"/>
              <w:start w:w="65" w:type="dxa"/>
              <w:bottom w:w="55" w:type="dxa"/>
              <w:end w:w="65" w:type="dxa"/>
            </w:tcMar>
          </w:tcPr>
          <w:p>
            <w:pPr>
              <w:spacing w:after="0"/>
            </w:pPr>
            <w:r/>
            <w:r>
              <w:rPr>
                <w:rFonts w:ascii="Aptos" w:hAnsi="Aptos"/>
                <w:b w:val="0"/>
                <w:sz w:val="15"/>
              </w:rPr>
              <w:t>Diversification and Asset Allocation for Beginners</w:t>
            </w:r>
          </w:p>
        </w:tc>
        <w:tc>
          <w:tcPr>
            <w:tcW w:type="dxa" w:w="2592"/>
            <w:vAlign w:val="center"/>
            <w:tcMar>
              <w:top w:w="55" w:type="dxa"/>
              <w:start w:w="65" w:type="dxa"/>
              <w:bottom w:w="55" w:type="dxa"/>
              <w:end w:w="65" w:type="dxa"/>
            </w:tcMar>
          </w:tcPr>
          <w:p>
            <w:pPr>
              <w:spacing w:after="0"/>
            </w:pPr>
            <w:r/>
            <w:r>
              <w:rPr>
                <w:rFonts w:ascii="Aptos" w:hAnsi="Aptos"/>
                <w:b w:val="0"/>
                <w:sz w:val="15"/>
              </w:rPr>
              <w:t>Investing &amp; Building Wealth</w:t>
            </w:r>
          </w:p>
        </w:tc>
        <w:tc>
          <w:tcPr>
            <w:tcW w:type="dxa" w:w="1008"/>
            <w:vAlign w:val="center"/>
            <w:tcMar>
              <w:top w:w="55" w:type="dxa"/>
              <w:start w:w="65" w:type="dxa"/>
              <w:bottom w:w="55" w:type="dxa"/>
              <w:end w:w="65" w:type="dxa"/>
            </w:tcMar>
          </w:tcPr>
          <w:p>
            <w:pPr>
              <w:spacing w:after="0"/>
            </w:pPr>
            <w:r/>
            <w:r>
              <w:rPr>
                <w:rFonts w:ascii="Aptos" w:hAnsi="Aptos"/>
                <w:b w:val="0"/>
                <w:sz w:val="15"/>
              </w:rPr>
              <w:t>P1</w:t>
            </w:r>
          </w:p>
        </w:tc>
        <w:tc>
          <w:tcPr>
            <w:tcW w:type="dxa" w:w="2592"/>
            <w:vAlign w:val="center"/>
            <w:tcMar>
              <w:top w:w="55" w:type="dxa"/>
              <w:start w:w="65" w:type="dxa"/>
              <w:bottom w:w="55" w:type="dxa"/>
              <w:end w:w="65" w:type="dxa"/>
            </w:tcMar>
          </w:tcPr>
          <w:p>
            <w:pPr>
              <w:spacing w:after="0"/>
            </w:pPr>
            <w:r/>
            <w:r>
              <w:rPr>
                <w:rFonts w:ascii="Aptos" w:hAnsi="Aptos"/>
                <w:b w:val="0"/>
                <w:sz w:val="15"/>
              </w:rPr>
              <w:t>Review My Investments</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VID-010</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How Inflation Changes Your Future Goals</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Goals &amp; Planning</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P1</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Review My Goals</w:t>
            </w:r>
          </w:p>
        </w:tc>
      </w:tr>
      <w:tr>
        <w:tc>
          <w:tcPr>
            <w:tcW w:type="dxa" w:w="1296"/>
            <w:vAlign w:val="center"/>
            <w:tcMar>
              <w:top w:w="55" w:type="dxa"/>
              <w:start w:w="65" w:type="dxa"/>
              <w:bottom w:w="55" w:type="dxa"/>
              <w:end w:w="65" w:type="dxa"/>
            </w:tcMar>
          </w:tcPr>
          <w:p>
            <w:pPr>
              <w:spacing w:after="0"/>
            </w:pPr>
            <w:r/>
            <w:r>
              <w:rPr>
                <w:rFonts w:ascii="Aptos" w:hAnsi="Aptos"/>
                <w:b w:val="0"/>
                <w:sz w:val="15"/>
              </w:rPr>
              <w:t>VID-011</w:t>
            </w:r>
          </w:p>
        </w:tc>
        <w:tc>
          <w:tcPr>
            <w:tcW w:type="dxa" w:w="4896"/>
            <w:vAlign w:val="center"/>
            <w:tcMar>
              <w:top w:w="55" w:type="dxa"/>
              <w:start w:w="65" w:type="dxa"/>
              <w:bottom w:w="55" w:type="dxa"/>
              <w:end w:w="65" w:type="dxa"/>
            </w:tcMar>
          </w:tcPr>
          <w:p>
            <w:pPr>
              <w:spacing w:after="0"/>
            </w:pPr>
            <w:r/>
            <w:r>
              <w:rPr>
                <w:rFonts w:ascii="Aptos" w:hAnsi="Aptos"/>
                <w:b w:val="0"/>
                <w:sz w:val="15"/>
              </w:rPr>
              <w:t>Financial Forecasting: Why Looking Forward Matters</w:t>
            </w:r>
          </w:p>
        </w:tc>
        <w:tc>
          <w:tcPr>
            <w:tcW w:type="dxa" w:w="2592"/>
            <w:vAlign w:val="center"/>
            <w:tcMar>
              <w:top w:w="55" w:type="dxa"/>
              <w:start w:w="65" w:type="dxa"/>
              <w:bottom w:w="55" w:type="dxa"/>
              <w:end w:w="65" w:type="dxa"/>
            </w:tcMar>
          </w:tcPr>
          <w:p>
            <w:pPr>
              <w:spacing w:after="0"/>
            </w:pPr>
            <w:r/>
            <w:r>
              <w:rPr>
                <w:rFonts w:ascii="Aptos" w:hAnsi="Aptos"/>
                <w:b w:val="0"/>
                <w:sz w:val="15"/>
              </w:rPr>
              <w:t>Forecasting &amp; Scenario Planning</w:t>
            </w:r>
          </w:p>
        </w:tc>
        <w:tc>
          <w:tcPr>
            <w:tcW w:type="dxa" w:w="1008"/>
            <w:vAlign w:val="center"/>
            <w:tcMar>
              <w:top w:w="55" w:type="dxa"/>
              <w:start w:w="65" w:type="dxa"/>
              <w:bottom w:w="55" w:type="dxa"/>
              <w:end w:w="65" w:type="dxa"/>
            </w:tcMar>
          </w:tcPr>
          <w:p>
            <w:pPr>
              <w:spacing w:after="0"/>
            </w:pPr>
            <w:r/>
            <w:r>
              <w:rPr>
                <w:rFonts w:ascii="Aptos" w:hAnsi="Aptos"/>
                <w:b w:val="0"/>
                <w:sz w:val="15"/>
              </w:rPr>
              <w:t>P1</w:t>
            </w:r>
          </w:p>
        </w:tc>
        <w:tc>
          <w:tcPr>
            <w:tcW w:type="dxa" w:w="2592"/>
            <w:vAlign w:val="center"/>
            <w:tcMar>
              <w:top w:w="55" w:type="dxa"/>
              <w:start w:w="65" w:type="dxa"/>
              <w:bottom w:w="55" w:type="dxa"/>
              <w:end w:w="65" w:type="dxa"/>
            </w:tcMar>
          </w:tcPr>
          <w:p>
            <w:pPr>
              <w:spacing w:after="0"/>
            </w:pPr>
            <w:r/>
            <w:r>
              <w:rPr>
                <w:rFonts w:ascii="Aptos" w:hAnsi="Aptos"/>
                <w:b w:val="0"/>
                <w:sz w:val="15"/>
              </w:rPr>
              <w:t>Explore My Forecast</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VID-012</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Base vs Stress Scenario: A Simple Household Example</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Forecasting &amp; Scenario Planning</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P1</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Explore My Forecast</w:t>
            </w:r>
          </w:p>
        </w:tc>
      </w:tr>
      <w:tr>
        <w:tc>
          <w:tcPr>
            <w:tcW w:type="dxa" w:w="1296"/>
            <w:vAlign w:val="center"/>
            <w:tcMar>
              <w:top w:w="55" w:type="dxa"/>
              <w:start w:w="65" w:type="dxa"/>
              <w:bottom w:w="55" w:type="dxa"/>
              <w:end w:w="65" w:type="dxa"/>
            </w:tcMar>
          </w:tcPr>
          <w:p>
            <w:pPr>
              <w:spacing w:after="0"/>
            </w:pPr>
            <w:r/>
            <w:r>
              <w:rPr>
                <w:rFonts w:ascii="Aptos" w:hAnsi="Aptos"/>
                <w:b w:val="0"/>
                <w:sz w:val="15"/>
              </w:rPr>
              <w:t>VID-013</w:t>
            </w:r>
          </w:p>
        </w:tc>
        <w:tc>
          <w:tcPr>
            <w:tcW w:type="dxa" w:w="4896"/>
            <w:vAlign w:val="center"/>
            <w:tcMar>
              <w:top w:w="55" w:type="dxa"/>
              <w:start w:w="65" w:type="dxa"/>
              <w:bottom w:w="55" w:type="dxa"/>
              <w:end w:w="65" w:type="dxa"/>
            </w:tcMar>
          </w:tcPr>
          <w:p>
            <w:pPr>
              <w:spacing w:after="0"/>
            </w:pPr>
            <w:r/>
            <w:r>
              <w:rPr>
                <w:rFonts w:ascii="Aptos" w:hAnsi="Aptos"/>
                <w:b w:val="0"/>
                <w:sz w:val="15"/>
              </w:rPr>
              <w:t>Financial Health Score Explained</w:t>
            </w:r>
          </w:p>
        </w:tc>
        <w:tc>
          <w:tcPr>
            <w:tcW w:type="dxa" w:w="2592"/>
            <w:vAlign w:val="center"/>
            <w:tcMar>
              <w:top w:w="55" w:type="dxa"/>
              <w:start w:w="65" w:type="dxa"/>
              <w:bottom w:w="55" w:type="dxa"/>
              <w:end w:w="65" w:type="dxa"/>
            </w:tcMar>
          </w:tcPr>
          <w:p>
            <w:pPr>
              <w:spacing w:after="0"/>
            </w:pPr>
            <w:r/>
            <w:r>
              <w:rPr>
                <w:rFonts w:ascii="Aptos" w:hAnsi="Aptos"/>
                <w:b w:val="0"/>
                <w:sz w:val="15"/>
              </w:rPr>
              <w:t>Scores &amp; Benchmarks</w:t>
            </w:r>
          </w:p>
        </w:tc>
        <w:tc>
          <w:tcPr>
            <w:tcW w:type="dxa" w:w="1008"/>
            <w:vAlign w:val="center"/>
            <w:tcMar>
              <w:top w:w="55" w:type="dxa"/>
              <w:start w:w="65" w:type="dxa"/>
              <w:bottom w:w="55" w:type="dxa"/>
              <w:end w:w="65" w:type="dxa"/>
            </w:tcMar>
          </w:tcPr>
          <w:p>
            <w:pPr>
              <w:spacing w:after="0"/>
            </w:pPr>
            <w:r/>
            <w:r>
              <w:rPr>
                <w:rFonts w:ascii="Aptos" w:hAnsi="Aptos"/>
                <w:b w:val="0"/>
                <w:sz w:val="15"/>
              </w:rPr>
              <w:t>P1</w:t>
            </w:r>
          </w:p>
        </w:tc>
        <w:tc>
          <w:tcPr>
            <w:tcW w:type="dxa" w:w="2592"/>
            <w:vAlign w:val="center"/>
            <w:tcMar>
              <w:top w:w="55" w:type="dxa"/>
              <w:start w:w="65" w:type="dxa"/>
              <w:bottom w:w="55" w:type="dxa"/>
              <w:end w:w="65" w:type="dxa"/>
            </w:tcMar>
          </w:tcPr>
          <w:p>
            <w:pPr>
              <w:spacing w:after="0"/>
            </w:pPr>
            <w:r/>
            <w:r>
              <w:rPr>
                <w:rFonts w:ascii="Aptos" w:hAnsi="Aptos"/>
                <w:b w:val="0"/>
                <w:sz w:val="15"/>
              </w:rPr>
              <w:t>View My Financial Health Score</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VID-014</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How to Read Your FHIP Financial Health Report</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FHIP Explained</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P1</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Open My Report</w:t>
            </w:r>
          </w:p>
        </w:tc>
      </w:tr>
      <w:tr>
        <w:tc>
          <w:tcPr>
            <w:tcW w:type="dxa" w:w="1296"/>
            <w:vAlign w:val="center"/>
            <w:tcMar>
              <w:top w:w="55" w:type="dxa"/>
              <w:start w:w="65" w:type="dxa"/>
              <w:bottom w:w="55" w:type="dxa"/>
              <w:end w:w="65" w:type="dxa"/>
            </w:tcMar>
          </w:tcPr>
          <w:p>
            <w:pPr>
              <w:spacing w:after="0"/>
            </w:pPr>
            <w:r/>
            <w:r>
              <w:rPr>
                <w:rFonts w:ascii="Aptos" w:hAnsi="Aptos"/>
                <w:b w:val="0"/>
                <w:sz w:val="15"/>
              </w:rPr>
              <w:t>VID-015</w:t>
            </w:r>
          </w:p>
        </w:tc>
        <w:tc>
          <w:tcPr>
            <w:tcW w:type="dxa" w:w="4896"/>
            <w:vAlign w:val="center"/>
            <w:tcMar>
              <w:top w:w="55" w:type="dxa"/>
              <w:start w:w="65" w:type="dxa"/>
              <w:bottom w:w="55" w:type="dxa"/>
              <w:end w:w="65" w:type="dxa"/>
            </w:tcMar>
          </w:tcPr>
          <w:p>
            <w:pPr>
              <w:spacing w:after="0"/>
            </w:pPr>
            <w:r/>
            <w:r>
              <w:rPr>
                <w:rFonts w:ascii="Aptos" w:hAnsi="Aptos"/>
                <w:b w:val="0"/>
                <w:sz w:val="15"/>
              </w:rPr>
              <w:t>Australia-India Cross-Border Net Worth Explained</w:t>
            </w:r>
          </w:p>
        </w:tc>
        <w:tc>
          <w:tcPr>
            <w:tcW w:type="dxa" w:w="2592"/>
            <w:vAlign w:val="center"/>
            <w:tcMar>
              <w:top w:w="55" w:type="dxa"/>
              <w:start w:w="65" w:type="dxa"/>
              <w:bottom w:w="55" w:type="dxa"/>
              <w:end w:w="65" w:type="dxa"/>
            </w:tcMar>
          </w:tcPr>
          <w:p>
            <w:pPr>
              <w:spacing w:after="0"/>
            </w:pPr>
            <w:r/>
            <w:r>
              <w:rPr>
                <w:rFonts w:ascii="Aptos" w:hAnsi="Aptos"/>
                <w:b w:val="0"/>
                <w:sz w:val="15"/>
              </w:rPr>
              <w:t>Cross-Border Money</w:t>
            </w:r>
          </w:p>
        </w:tc>
        <w:tc>
          <w:tcPr>
            <w:tcW w:type="dxa" w:w="1008"/>
            <w:vAlign w:val="center"/>
            <w:tcMar>
              <w:top w:w="55" w:type="dxa"/>
              <w:start w:w="65" w:type="dxa"/>
              <w:bottom w:w="55" w:type="dxa"/>
              <w:end w:w="65" w:type="dxa"/>
            </w:tcMar>
          </w:tcPr>
          <w:p>
            <w:pPr>
              <w:spacing w:after="0"/>
            </w:pPr>
            <w:r/>
            <w:r>
              <w:rPr>
                <w:rFonts w:ascii="Aptos" w:hAnsi="Aptos"/>
                <w:b w:val="0"/>
                <w:sz w:val="15"/>
              </w:rPr>
              <w:t>P1</w:t>
            </w:r>
          </w:p>
        </w:tc>
        <w:tc>
          <w:tcPr>
            <w:tcW w:type="dxa" w:w="2592"/>
            <w:vAlign w:val="center"/>
            <w:tcMar>
              <w:top w:w="55" w:type="dxa"/>
              <w:start w:w="65" w:type="dxa"/>
              <w:bottom w:w="55" w:type="dxa"/>
              <w:end w:w="65" w:type="dxa"/>
            </w:tcMar>
          </w:tcPr>
          <w:p>
            <w:pPr>
              <w:spacing w:after="0"/>
            </w:pPr>
            <w:r/>
            <w:r>
              <w:rPr>
                <w:rFonts w:ascii="Aptos" w:hAnsi="Aptos"/>
                <w:b w:val="0"/>
                <w:sz w:val="15"/>
              </w:rPr>
              <w:t>View My Consolidated Financial Position</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VID-016</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AUD/INR Currency Movements and Your Wealth</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Cross-Border Money</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P1</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View My Consolidated Financial Position</w:t>
            </w:r>
          </w:p>
        </w:tc>
      </w:tr>
      <w:tr>
        <w:tc>
          <w:tcPr>
            <w:tcW w:type="dxa" w:w="1296"/>
            <w:vAlign w:val="center"/>
            <w:tcMar>
              <w:top w:w="55" w:type="dxa"/>
              <w:start w:w="65" w:type="dxa"/>
              <w:bottom w:w="55" w:type="dxa"/>
              <w:end w:w="65" w:type="dxa"/>
            </w:tcMar>
          </w:tcPr>
          <w:p>
            <w:pPr>
              <w:spacing w:after="0"/>
            </w:pPr>
            <w:r/>
            <w:r>
              <w:rPr>
                <w:rFonts w:ascii="Aptos" w:hAnsi="Aptos"/>
                <w:b w:val="0"/>
                <w:sz w:val="15"/>
              </w:rPr>
              <w:t>VID-017</w:t>
            </w:r>
          </w:p>
        </w:tc>
        <w:tc>
          <w:tcPr>
            <w:tcW w:type="dxa" w:w="4896"/>
            <w:vAlign w:val="center"/>
            <w:tcMar>
              <w:top w:w="55" w:type="dxa"/>
              <w:start w:w="65" w:type="dxa"/>
              <w:bottom w:w="55" w:type="dxa"/>
              <w:end w:w="65" w:type="dxa"/>
            </w:tcMar>
          </w:tcPr>
          <w:p>
            <w:pPr>
              <w:spacing w:after="0"/>
            </w:pPr>
            <w:r/>
            <w:r>
              <w:rPr>
                <w:rFonts w:ascii="Aptos" w:hAnsi="Aptos"/>
                <w:b w:val="0"/>
                <w:sz w:val="15"/>
              </w:rPr>
              <w:t>Superannuation Explained for Beginners</w:t>
            </w:r>
          </w:p>
        </w:tc>
        <w:tc>
          <w:tcPr>
            <w:tcW w:type="dxa" w:w="2592"/>
            <w:vAlign w:val="center"/>
            <w:tcMar>
              <w:top w:w="55" w:type="dxa"/>
              <w:start w:w="65" w:type="dxa"/>
              <w:bottom w:w="55" w:type="dxa"/>
              <w:end w:w="65" w:type="dxa"/>
            </w:tcMar>
          </w:tcPr>
          <w:p>
            <w:pPr>
              <w:spacing w:after="0"/>
            </w:pPr>
            <w:r/>
            <w:r>
              <w:rPr>
                <w:rFonts w:ascii="Aptos" w:hAnsi="Aptos"/>
                <w:b w:val="0"/>
                <w:sz w:val="15"/>
              </w:rPr>
              <w:t>Retirement - Australia</w:t>
            </w:r>
          </w:p>
        </w:tc>
        <w:tc>
          <w:tcPr>
            <w:tcW w:type="dxa" w:w="1008"/>
            <w:vAlign w:val="center"/>
            <w:tcMar>
              <w:top w:w="55" w:type="dxa"/>
              <w:start w:w="65" w:type="dxa"/>
              <w:bottom w:w="55" w:type="dxa"/>
              <w:end w:w="65" w:type="dxa"/>
            </w:tcMar>
          </w:tcPr>
          <w:p>
            <w:pPr>
              <w:spacing w:after="0"/>
            </w:pPr>
            <w:r/>
            <w:r>
              <w:rPr>
                <w:rFonts w:ascii="Aptos" w:hAnsi="Aptos"/>
                <w:b w:val="0"/>
                <w:sz w:val="15"/>
              </w:rPr>
              <w:t>P1</w:t>
            </w:r>
          </w:p>
        </w:tc>
        <w:tc>
          <w:tcPr>
            <w:tcW w:type="dxa" w:w="2592"/>
            <w:vAlign w:val="center"/>
            <w:tcMar>
              <w:top w:w="55" w:type="dxa"/>
              <w:start w:w="65" w:type="dxa"/>
              <w:bottom w:w="55" w:type="dxa"/>
              <w:end w:w="65" w:type="dxa"/>
            </w:tcMar>
          </w:tcPr>
          <w:p>
            <w:pPr>
              <w:spacing w:after="0"/>
            </w:pPr>
            <w:r/>
            <w:r>
              <w:rPr>
                <w:rFonts w:ascii="Aptos" w:hAnsi="Aptos"/>
                <w:b w:val="0"/>
                <w:sz w:val="15"/>
              </w:rPr>
              <w:t>Check My Retirement Readiness</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VID-018</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EPF, PPF and NPS: The Big Picture</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Retirement - India</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P1</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Check My Retirement Readiness</w:t>
            </w:r>
          </w:p>
        </w:tc>
      </w:tr>
      <w:tr>
        <w:tc>
          <w:tcPr>
            <w:tcW w:type="dxa" w:w="1296"/>
            <w:vAlign w:val="center"/>
            <w:tcMar>
              <w:top w:w="55" w:type="dxa"/>
              <w:start w:w="65" w:type="dxa"/>
              <w:bottom w:w="55" w:type="dxa"/>
              <w:end w:w="65" w:type="dxa"/>
            </w:tcMar>
          </w:tcPr>
          <w:p>
            <w:pPr>
              <w:spacing w:after="0"/>
            </w:pPr>
            <w:r/>
            <w:r>
              <w:rPr>
                <w:rFonts w:ascii="Aptos" w:hAnsi="Aptos"/>
                <w:b w:val="0"/>
                <w:sz w:val="15"/>
              </w:rPr>
              <w:t>VID-019</w:t>
            </w:r>
          </w:p>
        </w:tc>
        <w:tc>
          <w:tcPr>
            <w:tcW w:type="dxa" w:w="4896"/>
            <w:vAlign w:val="center"/>
            <w:tcMar>
              <w:top w:w="55" w:type="dxa"/>
              <w:start w:w="65" w:type="dxa"/>
              <w:bottom w:w="55" w:type="dxa"/>
              <w:end w:w="65" w:type="dxa"/>
            </w:tcMar>
          </w:tcPr>
          <w:p>
            <w:pPr>
              <w:spacing w:after="0"/>
            </w:pPr>
            <w:r/>
            <w:r>
              <w:rPr>
                <w:rFonts w:ascii="Aptos" w:hAnsi="Aptos"/>
                <w:b w:val="0"/>
                <w:sz w:val="15"/>
              </w:rPr>
              <w:t>Why High Income Does Not Guarantee Financial Security</w:t>
            </w:r>
          </w:p>
        </w:tc>
        <w:tc>
          <w:tcPr>
            <w:tcW w:type="dxa" w:w="2592"/>
            <w:vAlign w:val="center"/>
            <w:tcMar>
              <w:top w:w="55" w:type="dxa"/>
              <w:start w:w="65" w:type="dxa"/>
              <w:bottom w:w="55" w:type="dxa"/>
              <w:end w:w="65" w:type="dxa"/>
            </w:tcMar>
          </w:tcPr>
          <w:p>
            <w:pPr>
              <w:spacing w:after="0"/>
            </w:pPr>
            <w:r/>
            <w:r>
              <w:rPr>
                <w:rFonts w:ascii="Aptos" w:hAnsi="Aptos"/>
                <w:b w:val="0"/>
                <w:sz w:val="15"/>
              </w:rPr>
              <w:t>Financial Health</w:t>
            </w:r>
          </w:p>
        </w:tc>
        <w:tc>
          <w:tcPr>
            <w:tcW w:type="dxa" w:w="1008"/>
            <w:vAlign w:val="center"/>
            <w:tcMar>
              <w:top w:w="55" w:type="dxa"/>
              <w:start w:w="65" w:type="dxa"/>
              <w:bottom w:w="55" w:type="dxa"/>
              <w:end w:w="65" w:type="dxa"/>
            </w:tcMar>
          </w:tcPr>
          <w:p>
            <w:pPr>
              <w:spacing w:after="0"/>
            </w:pPr>
            <w:r/>
            <w:r>
              <w:rPr>
                <w:rFonts w:ascii="Aptos" w:hAnsi="Aptos"/>
                <w:b w:val="0"/>
                <w:sz w:val="15"/>
              </w:rPr>
              <w:t>P1</w:t>
            </w:r>
          </w:p>
        </w:tc>
        <w:tc>
          <w:tcPr>
            <w:tcW w:type="dxa" w:w="2592"/>
            <w:vAlign w:val="center"/>
            <w:tcMar>
              <w:top w:w="55" w:type="dxa"/>
              <w:start w:w="65" w:type="dxa"/>
              <w:bottom w:w="55" w:type="dxa"/>
              <w:end w:w="65" w:type="dxa"/>
            </w:tcMar>
          </w:tcPr>
          <w:p>
            <w:pPr>
              <w:spacing w:after="0"/>
            </w:pPr>
            <w:r/>
            <w:r>
              <w:rPr>
                <w:rFonts w:ascii="Aptos" w:hAnsi="Aptos"/>
                <w:b w:val="0"/>
                <w:sz w:val="15"/>
              </w:rPr>
              <w:t>Check My Financial Health</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5"/>
              </w:rPr>
              <w:t>VID-020</w:t>
            </w:r>
          </w:p>
        </w:tc>
        <w:tc>
          <w:tcPr>
            <w:tcW w:type="dxa" w:w="4896"/>
            <w:vAlign w:val="center"/>
            <w:tcMar>
              <w:top w:w="55" w:type="dxa"/>
              <w:start w:w="65" w:type="dxa"/>
              <w:bottom w:w="55" w:type="dxa"/>
              <w:end w:w="65" w:type="dxa"/>
            </w:tcMar>
            <w:shd w:fill="F4F7FB"/>
          </w:tcPr>
          <w:p>
            <w:pPr>
              <w:spacing w:after="0"/>
            </w:pPr>
            <w:r/>
            <w:r>
              <w:rPr>
                <w:rFonts w:ascii="Aptos" w:hAnsi="Aptos"/>
                <w:b w:val="0"/>
                <w:sz w:val="15"/>
              </w:rPr>
              <w:t>How Goals, Debt, Investments and Retirement Compete for Your Money</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Goals &amp; Planning</w:t>
            </w:r>
          </w:p>
        </w:tc>
        <w:tc>
          <w:tcPr>
            <w:tcW w:type="dxa" w:w="1008"/>
            <w:vAlign w:val="center"/>
            <w:tcMar>
              <w:top w:w="55" w:type="dxa"/>
              <w:start w:w="65" w:type="dxa"/>
              <w:bottom w:w="55" w:type="dxa"/>
              <w:end w:w="65" w:type="dxa"/>
            </w:tcMar>
            <w:shd w:fill="F4F7FB"/>
          </w:tcPr>
          <w:p>
            <w:pPr>
              <w:spacing w:after="0"/>
            </w:pPr>
            <w:r/>
            <w:r>
              <w:rPr>
                <w:rFonts w:ascii="Aptos" w:hAnsi="Aptos"/>
                <w:b w:val="0"/>
                <w:sz w:val="15"/>
              </w:rPr>
              <w:t>P1</w:t>
            </w:r>
          </w:p>
        </w:tc>
        <w:tc>
          <w:tcPr>
            <w:tcW w:type="dxa" w:w="2592"/>
            <w:vAlign w:val="center"/>
            <w:tcMar>
              <w:top w:w="55" w:type="dxa"/>
              <w:start w:w="65" w:type="dxa"/>
              <w:bottom w:w="55" w:type="dxa"/>
              <w:end w:w="65" w:type="dxa"/>
            </w:tcMar>
            <w:shd w:fill="F4F7FB"/>
          </w:tcPr>
          <w:p>
            <w:pPr>
              <w:spacing w:after="0"/>
            </w:pPr>
            <w:r/>
            <w:r>
              <w:rPr>
                <w:rFonts w:ascii="Aptos" w:hAnsi="Aptos"/>
                <w:b w:val="0"/>
                <w:sz w:val="15"/>
              </w:rPr>
              <w:t>Review My Goals</w:t>
            </w:r>
          </w:p>
        </w:tc>
      </w:tr>
    </w:tbl>
    <w:p>
      <w:pPr>
        <w:spacing w:after="0"/>
      </w:pPr>
    </w:p>
    <w:p>
      <w:pPr>
        <w:pStyle w:val="Heading2"/>
      </w:pPr>
      <w:r>
        <w:t>8.1 Video Page Requirements</w:t>
      </w:r>
    </w:p>
    <w:p>
      <w:pPr>
        <w:pStyle w:val="ListBullet"/>
        <w:spacing w:after="40"/>
      </w:pPr>
      <w:r>
        <w:rPr>
          <w:rFonts w:ascii="Aptos" w:hAnsi="Aptos"/>
          <w:sz w:val="20"/>
        </w:rPr>
        <w:t>Embedded @GKTC video</w:t>
      </w:r>
    </w:p>
    <w:p>
      <w:pPr>
        <w:pStyle w:val="ListBullet"/>
        <w:spacing w:after="40"/>
      </w:pPr>
      <w:r>
        <w:rPr>
          <w:rFonts w:ascii="Aptos" w:hAnsi="Aptos"/>
          <w:sz w:val="20"/>
        </w:rPr>
        <w:t>Watch on YouTube / Visit @GKTC options</w:t>
      </w:r>
    </w:p>
    <w:p>
      <w:pPr>
        <w:pStyle w:val="ListBullet"/>
        <w:spacing w:after="40"/>
      </w:pPr>
      <w:r>
        <w:rPr>
          <w:rFonts w:ascii="Aptos" w:hAnsi="Aptos"/>
          <w:sz w:val="20"/>
        </w:rPr>
        <w:t>Short summary and key takeaways</w:t>
      </w:r>
    </w:p>
    <w:p>
      <w:pPr>
        <w:pStyle w:val="ListBullet"/>
        <w:spacing w:after="40"/>
      </w:pPr>
      <w:r>
        <w:rPr>
          <w:rFonts w:ascii="Aptos" w:hAnsi="Aptos"/>
          <w:sz w:val="20"/>
        </w:rPr>
        <w:t>Full transcript</w:t>
      </w:r>
    </w:p>
    <w:p>
      <w:pPr>
        <w:pStyle w:val="ListBullet"/>
        <w:spacing w:after="40"/>
      </w:pPr>
      <w:r>
        <w:rPr>
          <w:rFonts w:ascii="Aptos" w:hAnsi="Aptos"/>
          <w:sz w:val="20"/>
        </w:rPr>
        <w:t>Video chapters where available</w:t>
      </w:r>
    </w:p>
    <w:p>
      <w:pPr>
        <w:pStyle w:val="ListBullet"/>
        <w:spacing w:after="40"/>
      </w:pPr>
      <w:r>
        <w:rPr>
          <w:rFonts w:ascii="Aptos" w:hAnsi="Aptos"/>
          <w:sz w:val="20"/>
        </w:rPr>
        <w:t>Related Resources</w:t>
      </w:r>
    </w:p>
    <w:p>
      <w:pPr>
        <w:pStyle w:val="ListBullet"/>
        <w:spacing w:after="40"/>
      </w:pPr>
      <w:r>
        <w:rPr>
          <w:rFonts w:ascii="Aptos" w:hAnsi="Aptos"/>
          <w:sz w:val="20"/>
        </w:rPr>
        <w:t>Related FHIP module CTA</w:t>
      </w:r>
    </w:p>
    <w:p>
      <w:pPr>
        <w:pStyle w:val="ListBullet"/>
        <w:spacing w:after="40"/>
      </w:pPr>
      <w:r>
        <w:rPr>
          <w:rFonts w:ascii="Aptos" w:hAnsi="Aptos"/>
          <w:sz w:val="20"/>
        </w:rPr>
        <w:t>Sources used to produce the video</w:t>
      </w:r>
    </w:p>
    <w:p>
      <w:pPr>
        <w:pStyle w:val="Heading1"/>
      </w:pPr>
      <w:r>
        <w:t>9. Money Updates / Current Affairs</w:t>
      </w:r>
    </w:p>
    <w:p>
      <w:r>
        <w:t>FHIP should not attempt to become a daily financial-news service. Money Updates should be published only when a development is sufficiently relevant to household financial health. The FHIP value is interpretation: what changed, who may be affected, why it matters and which part of the user’s financial position it connects to.</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vAlign w:val="center"/>
            <w:shd w:fill="0B1F3A"/>
            <w:tcMar>
              <w:top w:w="70" w:type="dxa"/>
              <w:start w:w="70" w:type="dxa"/>
              <w:bottom w:w="70" w:type="dxa"/>
              <w:end w:w="70" w:type="dxa"/>
            </w:tcMar>
          </w:tcPr>
          <w:p>
            <w:pPr>
              <w:spacing w:after="0"/>
            </w:pPr>
            <w:r/>
            <w:r>
              <w:rPr>
                <w:rFonts w:ascii="Aptos" w:hAnsi="Aptos"/>
                <w:b/>
                <w:color w:val="FFFFFF"/>
                <w:sz w:val="16"/>
              </w:rPr>
              <w:t>ID</w:t>
            </w:r>
          </w:p>
        </w:tc>
        <w:tc>
          <w:tcPr>
            <w:tcW w:type="dxa" w:w="5616"/>
            <w:vAlign w:val="center"/>
            <w:shd w:fill="0B1F3A"/>
            <w:tcMar>
              <w:top w:w="70" w:type="dxa"/>
              <w:start w:w="70" w:type="dxa"/>
              <w:bottom w:w="70" w:type="dxa"/>
              <w:end w:w="70" w:type="dxa"/>
            </w:tcMar>
          </w:tcPr>
          <w:p>
            <w:pPr>
              <w:spacing w:after="0"/>
            </w:pPr>
            <w:r/>
            <w:r>
              <w:rPr>
                <w:rFonts w:ascii="Aptos" w:hAnsi="Aptos"/>
                <w:b/>
                <w:color w:val="FFFFFF"/>
                <w:sz w:val="16"/>
              </w:rPr>
              <w:t>Recurring Template</w:t>
            </w:r>
          </w:p>
        </w:tc>
        <w:tc>
          <w:tcPr>
            <w:tcW w:type="dxa" w:w="2016"/>
            <w:vAlign w:val="center"/>
            <w:shd w:fill="0B1F3A"/>
            <w:tcMar>
              <w:top w:w="70" w:type="dxa"/>
              <w:start w:w="70" w:type="dxa"/>
              <w:bottom w:w="70" w:type="dxa"/>
              <w:end w:w="70" w:type="dxa"/>
            </w:tcMar>
          </w:tcPr>
          <w:p>
            <w:pPr>
              <w:spacing w:after="0"/>
            </w:pPr>
            <w:r/>
            <w:r>
              <w:rPr>
                <w:rFonts w:ascii="Aptos" w:hAnsi="Aptos"/>
                <w:b/>
                <w:color w:val="FFFFFF"/>
                <w:sz w:val="16"/>
              </w:rPr>
              <w:t>Jurisdiction</w:t>
            </w:r>
          </w:p>
        </w:tc>
        <w:tc>
          <w:tcPr>
            <w:tcW w:type="dxa" w:w="2160"/>
            <w:vAlign w:val="center"/>
            <w:shd w:fill="0B1F3A"/>
            <w:tcMar>
              <w:top w:w="70" w:type="dxa"/>
              <w:start w:w="70" w:type="dxa"/>
              <w:bottom w:w="70" w:type="dxa"/>
              <w:end w:w="70" w:type="dxa"/>
            </w:tcMar>
          </w:tcPr>
          <w:p>
            <w:pPr>
              <w:spacing w:after="0"/>
            </w:pPr>
            <w:r/>
            <w:r>
              <w:rPr>
                <w:rFonts w:ascii="Aptos" w:hAnsi="Aptos"/>
                <w:b/>
                <w:color w:val="FFFFFF"/>
                <w:sz w:val="16"/>
              </w:rPr>
              <w:t>Cluster</w:t>
            </w:r>
          </w:p>
        </w:tc>
      </w:tr>
      <w:tr>
        <w:tc>
          <w:tcPr>
            <w:tcW w:type="dxa" w:w="1296"/>
            <w:vAlign w:val="center"/>
            <w:tcMar>
              <w:top w:w="55" w:type="dxa"/>
              <w:start w:w="65" w:type="dxa"/>
              <w:bottom w:w="55" w:type="dxa"/>
              <w:end w:w="65" w:type="dxa"/>
            </w:tcMar>
          </w:tcPr>
          <w:p>
            <w:pPr>
              <w:spacing w:after="0"/>
            </w:pPr>
            <w:r/>
            <w:r>
              <w:rPr>
                <w:rFonts w:ascii="Aptos" w:hAnsi="Aptos"/>
                <w:b w:val="0"/>
                <w:sz w:val="16"/>
              </w:rPr>
              <w:t>MU-001</w:t>
            </w:r>
          </w:p>
        </w:tc>
        <w:tc>
          <w:tcPr>
            <w:tcW w:type="dxa" w:w="5616"/>
            <w:vAlign w:val="center"/>
            <w:tcMar>
              <w:top w:w="55" w:type="dxa"/>
              <w:start w:w="65" w:type="dxa"/>
              <w:bottom w:w="55" w:type="dxa"/>
              <w:end w:w="65" w:type="dxa"/>
            </w:tcMar>
          </w:tcPr>
          <w:p>
            <w:pPr>
              <w:spacing w:after="0"/>
            </w:pPr>
            <w:r/>
            <w:r>
              <w:rPr>
                <w:rFonts w:ascii="Aptos" w:hAnsi="Aptos"/>
                <w:b w:val="0"/>
                <w:sz w:val="16"/>
              </w:rPr>
              <w:t>RBA Cash Rate Decision: What It Means for Household Finances</w:t>
            </w:r>
          </w:p>
        </w:tc>
        <w:tc>
          <w:tcPr>
            <w:tcW w:type="dxa" w:w="2016"/>
            <w:vAlign w:val="center"/>
            <w:tcMar>
              <w:top w:w="55" w:type="dxa"/>
              <w:start w:w="65" w:type="dxa"/>
              <w:bottom w:w="55" w:type="dxa"/>
              <w:end w:w="65" w:type="dxa"/>
            </w:tcMar>
          </w:tcPr>
          <w:p>
            <w:pPr>
              <w:spacing w:after="0"/>
            </w:pPr>
            <w:r/>
            <w:r>
              <w:rPr>
                <w:rFonts w:ascii="Aptos" w:hAnsi="Aptos"/>
                <w:b w:val="0"/>
                <w:sz w:val="16"/>
              </w:rPr>
              <w:t>Australia</w:t>
            </w:r>
          </w:p>
        </w:tc>
        <w:tc>
          <w:tcPr>
            <w:tcW w:type="dxa" w:w="2160"/>
            <w:vAlign w:val="center"/>
            <w:tcMar>
              <w:top w:w="55" w:type="dxa"/>
              <w:start w:w="65" w:type="dxa"/>
              <w:bottom w:w="55" w:type="dxa"/>
              <w:end w:w="65" w:type="dxa"/>
            </w:tcMar>
          </w:tcPr>
          <w:p>
            <w:pPr>
              <w:spacing w:after="0"/>
            </w:pPr>
            <w:r/>
            <w:r>
              <w:rPr>
                <w:rFonts w:ascii="Aptos" w:hAnsi="Aptos"/>
                <w:b w:val="0"/>
                <w:sz w:val="16"/>
              </w:rPr>
              <w:t>Debt &amp; Borrowing</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6"/>
              </w:rPr>
              <w:t>MU-002</w:t>
            </w:r>
          </w:p>
        </w:tc>
        <w:tc>
          <w:tcPr>
            <w:tcW w:type="dxa" w:w="5616"/>
            <w:vAlign w:val="center"/>
            <w:tcMar>
              <w:top w:w="55" w:type="dxa"/>
              <w:start w:w="65" w:type="dxa"/>
              <w:bottom w:w="55" w:type="dxa"/>
              <w:end w:w="65" w:type="dxa"/>
            </w:tcMar>
            <w:shd w:fill="F4F7FB"/>
          </w:tcPr>
          <w:p>
            <w:pPr>
              <w:spacing w:after="0"/>
            </w:pPr>
            <w:r/>
            <w:r>
              <w:rPr>
                <w:rFonts w:ascii="Aptos" w:hAnsi="Aptos"/>
                <w:b w:val="0"/>
                <w:sz w:val="16"/>
              </w:rPr>
              <w:t>Australian Inflation Update: What It Could Mean for Your Budget</w:t>
            </w:r>
          </w:p>
        </w:tc>
        <w:tc>
          <w:tcPr>
            <w:tcW w:type="dxa" w:w="2016"/>
            <w:vAlign w:val="center"/>
            <w:tcMar>
              <w:top w:w="55" w:type="dxa"/>
              <w:start w:w="65" w:type="dxa"/>
              <w:bottom w:w="55" w:type="dxa"/>
              <w:end w:w="65" w:type="dxa"/>
            </w:tcMar>
            <w:shd w:fill="F4F7FB"/>
          </w:tcPr>
          <w:p>
            <w:pPr>
              <w:spacing w:after="0"/>
            </w:pPr>
            <w:r/>
            <w:r>
              <w:rPr>
                <w:rFonts w:ascii="Aptos" w:hAnsi="Aptos"/>
                <w:b w:val="0"/>
                <w:sz w:val="16"/>
              </w:rPr>
              <w:t>Australia</w:t>
            </w:r>
          </w:p>
        </w:tc>
        <w:tc>
          <w:tcPr>
            <w:tcW w:type="dxa" w:w="2160"/>
            <w:vAlign w:val="center"/>
            <w:tcMar>
              <w:top w:w="55" w:type="dxa"/>
              <w:start w:w="65" w:type="dxa"/>
              <w:bottom w:w="55" w:type="dxa"/>
              <w:end w:w="65" w:type="dxa"/>
            </w:tcMar>
            <w:shd w:fill="F4F7FB"/>
          </w:tcPr>
          <w:p>
            <w:pPr>
              <w:spacing w:after="0"/>
            </w:pPr>
            <w:r/>
            <w:r>
              <w:rPr>
                <w:rFonts w:ascii="Aptos" w:hAnsi="Aptos"/>
                <w:b w:val="0"/>
                <w:sz w:val="16"/>
              </w:rPr>
              <w:t>Managing Money &amp; Cash Flow</w:t>
            </w:r>
          </w:p>
        </w:tc>
      </w:tr>
      <w:tr>
        <w:tc>
          <w:tcPr>
            <w:tcW w:type="dxa" w:w="1296"/>
            <w:vAlign w:val="center"/>
            <w:tcMar>
              <w:top w:w="55" w:type="dxa"/>
              <w:start w:w="65" w:type="dxa"/>
              <w:bottom w:w="55" w:type="dxa"/>
              <w:end w:w="65" w:type="dxa"/>
            </w:tcMar>
          </w:tcPr>
          <w:p>
            <w:pPr>
              <w:spacing w:after="0"/>
            </w:pPr>
            <w:r/>
            <w:r>
              <w:rPr>
                <w:rFonts w:ascii="Aptos" w:hAnsi="Aptos"/>
                <w:b w:val="0"/>
                <w:sz w:val="16"/>
              </w:rPr>
              <w:t>MU-003</w:t>
            </w:r>
          </w:p>
        </w:tc>
        <w:tc>
          <w:tcPr>
            <w:tcW w:type="dxa" w:w="5616"/>
            <w:vAlign w:val="center"/>
            <w:tcMar>
              <w:top w:w="55" w:type="dxa"/>
              <w:start w:w="65" w:type="dxa"/>
              <w:bottom w:w="55" w:type="dxa"/>
              <w:end w:w="65" w:type="dxa"/>
            </w:tcMar>
          </w:tcPr>
          <w:p>
            <w:pPr>
              <w:spacing w:after="0"/>
            </w:pPr>
            <w:r/>
            <w:r>
              <w:rPr>
                <w:rFonts w:ascii="Aptos" w:hAnsi="Aptos"/>
                <w:b w:val="0"/>
                <w:sz w:val="16"/>
              </w:rPr>
              <w:t>Australian Superannuation Rule Change: What Users Should Know</w:t>
            </w:r>
          </w:p>
        </w:tc>
        <w:tc>
          <w:tcPr>
            <w:tcW w:type="dxa" w:w="2016"/>
            <w:vAlign w:val="center"/>
            <w:tcMar>
              <w:top w:w="55" w:type="dxa"/>
              <w:start w:w="65" w:type="dxa"/>
              <w:bottom w:w="55" w:type="dxa"/>
              <w:end w:w="65" w:type="dxa"/>
            </w:tcMar>
          </w:tcPr>
          <w:p>
            <w:pPr>
              <w:spacing w:after="0"/>
            </w:pPr>
            <w:r/>
            <w:r>
              <w:rPr>
                <w:rFonts w:ascii="Aptos" w:hAnsi="Aptos"/>
                <w:b w:val="0"/>
                <w:sz w:val="16"/>
              </w:rPr>
              <w:t>Australia</w:t>
            </w:r>
          </w:p>
        </w:tc>
        <w:tc>
          <w:tcPr>
            <w:tcW w:type="dxa" w:w="2160"/>
            <w:vAlign w:val="center"/>
            <w:tcMar>
              <w:top w:w="55" w:type="dxa"/>
              <w:start w:w="65" w:type="dxa"/>
              <w:bottom w:w="55" w:type="dxa"/>
              <w:end w:w="65" w:type="dxa"/>
            </w:tcMar>
          </w:tcPr>
          <w:p>
            <w:pPr>
              <w:spacing w:after="0"/>
            </w:pPr>
            <w:r/>
            <w:r>
              <w:rPr>
                <w:rFonts w:ascii="Aptos" w:hAnsi="Aptos"/>
                <w:b w:val="0"/>
                <w:sz w:val="16"/>
              </w:rPr>
              <w:t>Retirement - Australia</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6"/>
              </w:rPr>
              <w:t>MU-004</w:t>
            </w:r>
          </w:p>
        </w:tc>
        <w:tc>
          <w:tcPr>
            <w:tcW w:type="dxa" w:w="5616"/>
            <w:vAlign w:val="center"/>
            <w:tcMar>
              <w:top w:w="55" w:type="dxa"/>
              <w:start w:w="65" w:type="dxa"/>
              <w:bottom w:w="55" w:type="dxa"/>
              <w:end w:w="65" w:type="dxa"/>
            </w:tcMar>
            <w:shd w:fill="F4F7FB"/>
          </w:tcPr>
          <w:p>
            <w:pPr>
              <w:spacing w:after="0"/>
            </w:pPr>
            <w:r/>
            <w:r>
              <w:rPr>
                <w:rFonts w:ascii="Aptos" w:hAnsi="Aptos"/>
                <w:b w:val="0"/>
                <w:sz w:val="16"/>
              </w:rPr>
              <w:t>Australian Tax Change: What It Could Mean for Household Cash Flow</w:t>
            </w:r>
          </w:p>
        </w:tc>
        <w:tc>
          <w:tcPr>
            <w:tcW w:type="dxa" w:w="2016"/>
            <w:vAlign w:val="center"/>
            <w:tcMar>
              <w:top w:w="55" w:type="dxa"/>
              <w:start w:w="65" w:type="dxa"/>
              <w:bottom w:w="55" w:type="dxa"/>
              <w:end w:w="65" w:type="dxa"/>
            </w:tcMar>
            <w:shd w:fill="F4F7FB"/>
          </w:tcPr>
          <w:p>
            <w:pPr>
              <w:spacing w:after="0"/>
            </w:pPr>
            <w:r/>
            <w:r>
              <w:rPr>
                <w:rFonts w:ascii="Aptos" w:hAnsi="Aptos"/>
                <w:b w:val="0"/>
                <w:sz w:val="16"/>
              </w:rPr>
              <w:t>Australia</w:t>
            </w:r>
          </w:p>
        </w:tc>
        <w:tc>
          <w:tcPr>
            <w:tcW w:type="dxa" w:w="2160"/>
            <w:vAlign w:val="center"/>
            <w:tcMar>
              <w:top w:w="55" w:type="dxa"/>
              <w:start w:w="65" w:type="dxa"/>
              <w:bottom w:w="55" w:type="dxa"/>
              <w:end w:w="65" w:type="dxa"/>
            </w:tcMar>
            <w:shd w:fill="F4F7FB"/>
          </w:tcPr>
          <w:p>
            <w:pPr>
              <w:spacing w:after="0"/>
            </w:pPr>
            <w:r/>
            <w:r>
              <w:rPr>
                <w:rFonts w:ascii="Aptos" w:hAnsi="Aptos"/>
                <w:b w:val="0"/>
                <w:sz w:val="16"/>
              </w:rPr>
              <w:t>Managing Money &amp; Cash Flow</w:t>
            </w:r>
          </w:p>
        </w:tc>
      </w:tr>
      <w:tr>
        <w:tc>
          <w:tcPr>
            <w:tcW w:type="dxa" w:w="1296"/>
            <w:vAlign w:val="center"/>
            <w:tcMar>
              <w:top w:w="55" w:type="dxa"/>
              <w:start w:w="65" w:type="dxa"/>
              <w:bottom w:w="55" w:type="dxa"/>
              <w:end w:w="65" w:type="dxa"/>
            </w:tcMar>
          </w:tcPr>
          <w:p>
            <w:pPr>
              <w:spacing w:after="0"/>
            </w:pPr>
            <w:r/>
            <w:r>
              <w:rPr>
                <w:rFonts w:ascii="Aptos" w:hAnsi="Aptos"/>
                <w:b w:val="0"/>
                <w:sz w:val="16"/>
              </w:rPr>
              <w:t>MU-005</w:t>
            </w:r>
          </w:p>
        </w:tc>
        <w:tc>
          <w:tcPr>
            <w:tcW w:type="dxa" w:w="5616"/>
            <w:vAlign w:val="center"/>
            <w:tcMar>
              <w:top w:w="55" w:type="dxa"/>
              <w:start w:w="65" w:type="dxa"/>
              <w:bottom w:w="55" w:type="dxa"/>
              <w:end w:w="65" w:type="dxa"/>
            </w:tcMar>
          </w:tcPr>
          <w:p>
            <w:pPr>
              <w:spacing w:after="0"/>
            </w:pPr>
            <w:r/>
            <w:r>
              <w:rPr>
                <w:rFonts w:ascii="Aptos" w:hAnsi="Aptos"/>
                <w:b w:val="0"/>
                <w:sz w:val="16"/>
              </w:rPr>
              <w:t>Australian Mortgage and Household Credit Update</w:t>
            </w:r>
          </w:p>
        </w:tc>
        <w:tc>
          <w:tcPr>
            <w:tcW w:type="dxa" w:w="2016"/>
            <w:vAlign w:val="center"/>
            <w:tcMar>
              <w:top w:w="55" w:type="dxa"/>
              <w:start w:w="65" w:type="dxa"/>
              <w:bottom w:w="55" w:type="dxa"/>
              <w:end w:w="65" w:type="dxa"/>
            </w:tcMar>
          </w:tcPr>
          <w:p>
            <w:pPr>
              <w:spacing w:after="0"/>
            </w:pPr>
            <w:r/>
            <w:r>
              <w:rPr>
                <w:rFonts w:ascii="Aptos" w:hAnsi="Aptos"/>
                <w:b w:val="0"/>
                <w:sz w:val="16"/>
              </w:rPr>
              <w:t>Australia</w:t>
            </w:r>
          </w:p>
        </w:tc>
        <w:tc>
          <w:tcPr>
            <w:tcW w:type="dxa" w:w="2160"/>
            <w:vAlign w:val="center"/>
            <w:tcMar>
              <w:top w:w="55" w:type="dxa"/>
              <w:start w:w="65" w:type="dxa"/>
              <w:bottom w:w="55" w:type="dxa"/>
              <w:end w:w="65" w:type="dxa"/>
            </w:tcMar>
          </w:tcPr>
          <w:p>
            <w:pPr>
              <w:spacing w:after="0"/>
            </w:pPr>
            <w:r/>
            <w:r>
              <w:rPr>
                <w:rFonts w:ascii="Aptos" w:hAnsi="Aptos"/>
                <w:b w:val="0"/>
                <w:sz w:val="16"/>
              </w:rPr>
              <w:t>Debt &amp; Borrowing</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6"/>
              </w:rPr>
              <w:t>MU-006</w:t>
            </w:r>
          </w:p>
        </w:tc>
        <w:tc>
          <w:tcPr>
            <w:tcW w:type="dxa" w:w="5616"/>
            <w:vAlign w:val="center"/>
            <w:tcMar>
              <w:top w:w="55" w:type="dxa"/>
              <w:start w:w="65" w:type="dxa"/>
              <w:bottom w:w="55" w:type="dxa"/>
              <w:end w:w="65" w:type="dxa"/>
            </w:tcMar>
            <w:shd w:fill="F4F7FB"/>
          </w:tcPr>
          <w:p>
            <w:pPr>
              <w:spacing w:after="0"/>
            </w:pPr>
            <w:r/>
            <w:r>
              <w:rPr>
                <w:rFonts w:ascii="Aptos" w:hAnsi="Aptos"/>
                <w:b w:val="0"/>
                <w:sz w:val="16"/>
              </w:rPr>
              <w:t>RBI Monetary Policy Decision: What It Means for Borrowers and Savers</w:t>
            </w:r>
          </w:p>
        </w:tc>
        <w:tc>
          <w:tcPr>
            <w:tcW w:type="dxa" w:w="2016"/>
            <w:vAlign w:val="center"/>
            <w:tcMar>
              <w:top w:w="55" w:type="dxa"/>
              <w:start w:w="65" w:type="dxa"/>
              <w:bottom w:w="55" w:type="dxa"/>
              <w:end w:w="65" w:type="dxa"/>
            </w:tcMar>
            <w:shd w:fill="F4F7FB"/>
          </w:tcPr>
          <w:p>
            <w:pPr>
              <w:spacing w:after="0"/>
            </w:pPr>
            <w:r/>
            <w:r>
              <w:rPr>
                <w:rFonts w:ascii="Aptos" w:hAnsi="Aptos"/>
                <w:b w:val="0"/>
                <w:sz w:val="16"/>
              </w:rPr>
              <w:t>India</w:t>
            </w:r>
          </w:p>
        </w:tc>
        <w:tc>
          <w:tcPr>
            <w:tcW w:type="dxa" w:w="2160"/>
            <w:vAlign w:val="center"/>
            <w:tcMar>
              <w:top w:w="55" w:type="dxa"/>
              <w:start w:w="65" w:type="dxa"/>
              <w:bottom w:w="55" w:type="dxa"/>
              <w:end w:w="65" w:type="dxa"/>
            </w:tcMar>
            <w:shd w:fill="F4F7FB"/>
          </w:tcPr>
          <w:p>
            <w:pPr>
              <w:spacing w:after="0"/>
            </w:pPr>
            <w:r/>
            <w:r>
              <w:rPr>
                <w:rFonts w:ascii="Aptos" w:hAnsi="Aptos"/>
                <w:b w:val="0"/>
                <w:sz w:val="16"/>
              </w:rPr>
              <w:t>Debt &amp; Borrowing</w:t>
            </w:r>
          </w:p>
        </w:tc>
      </w:tr>
      <w:tr>
        <w:tc>
          <w:tcPr>
            <w:tcW w:type="dxa" w:w="1296"/>
            <w:vAlign w:val="center"/>
            <w:tcMar>
              <w:top w:w="55" w:type="dxa"/>
              <w:start w:w="65" w:type="dxa"/>
              <w:bottom w:w="55" w:type="dxa"/>
              <w:end w:w="65" w:type="dxa"/>
            </w:tcMar>
          </w:tcPr>
          <w:p>
            <w:pPr>
              <w:spacing w:after="0"/>
            </w:pPr>
            <w:r/>
            <w:r>
              <w:rPr>
                <w:rFonts w:ascii="Aptos" w:hAnsi="Aptos"/>
                <w:b w:val="0"/>
                <w:sz w:val="16"/>
              </w:rPr>
              <w:t>MU-007</w:t>
            </w:r>
          </w:p>
        </w:tc>
        <w:tc>
          <w:tcPr>
            <w:tcW w:type="dxa" w:w="5616"/>
            <w:vAlign w:val="center"/>
            <w:tcMar>
              <w:top w:w="55" w:type="dxa"/>
              <w:start w:w="65" w:type="dxa"/>
              <w:bottom w:w="55" w:type="dxa"/>
              <w:end w:w="65" w:type="dxa"/>
            </w:tcMar>
          </w:tcPr>
          <w:p>
            <w:pPr>
              <w:spacing w:after="0"/>
            </w:pPr>
            <w:r/>
            <w:r>
              <w:rPr>
                <w:rFonts w:ascii="Aptos" w:hAnsi="Aptos"/>
                <w:b w:val="0"/>
                <w:sz w:val="16"/>
              </w:rPr>
              <w:t>India Inflation Update: What It Could Mean for Household Budgets</w:t>
            </w:r>
          </w:p>
        </w:tc>
        <w:tc>
          <w:tcPr>
            <w:tcW w:type="dxa" w:w="2016"/>
            <w:vAlign w:val="center"/>
            <w:tcMar>
              <w:top w:w="55" w:type="dxa"/>
              <w:start w:w="65" w:type="dxa"/>
              <w:bottom w:w="55" w:type="dxa"/>
              <w:end w:w="65" w:type="dxa"/>
            </w:tcMar>
          </w:tcPr>
          <w:p>
            <w:pPr>
              <w:spacing w:after="0"/>
            </w:pPr>
            <w:r/>
            <w:r>
              <w:rPr>
                <w:rFonts w:ascii="Aptos" w:hAnsi="Aptos"/>
                <w:b w:val="0"/>
                <w:sz w:val="16"/>
              </w:rPr>
              <w:t>India</w:t>
            </w:r>
          </w:p>
        </w:tc>
        <w:tc>
          <w:tcPr>
            <w:tcW w:type="dxa" w:w="2160"/>
            <w:vAlign w:val="center"/>
            <w:tcMar>
              <w:top w:w="55" w:type="dxa"/>
              <w:start w:w="65" w:type="dxa"/>
              <w:bottom w:w="55" w:type="dxa"/>
              <w:end w:w="65" w:type="dxa"/>
            </w:tcMar>
          </w:tcPr>
          <w:p>
            <w:pPr>
              <w:spacing w:after="0"/>
            </w:pPr>
            <w:r/>
            <w:r>
              <w:rPr>
                <w:rFonts w:ascii="Aptos" w:hAnsi="Aptos"/>
                <w:b w:val="0"/>
                <w:sz w:val="16"/>
              </w:rPr>
              <w:t>Managing Money &amp; Cash Flow</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6"/>
              </w:rPr>
              <w:t>MU-008</w:t>
            </w:r>
          </w:p>
        </w:tc>
        <w:tc>
          <w:tcPr>
            <w:tcW w:type="dxa" w:w="5616"/>
            <w:vAlign w:val="center"/>
            <w:tcMar>
              <w:top w:w="55" w:type="dxa"/>
              <w:start w:w="65" w:type="dxa"/>
              <w:bottom w:w="55" w:type="dxa"/>
              <w:end w:w="65" w:type="dxa"/>
            </w:tcMar>
            <w:shd w:fill="F4F7FB"/>
          </w:tcPr>
          <w:p>
            <w:pPr>
              <w:spacing w:after="0"/>
            </w:pPr>
            <w:r/>
            <w:r>
              <w:rPr>
                <w:rFonts w:ascii="Aptos" w:hAnsi="Aptos"/>
                <w:b w:val="0"/>
                <w:sz w:val="16"/>
              </w:rPr>
              <w:t>India Tax Change: What It Could Mean for Personal Finances</w:t>
            </w:r>
          </w:p>
        </w:tc>
        <w:tc>
          <w:tcPr>
            <w:tcW w:type="dxa" w:w="2016"/>
            <w:vAlign w:val="center"/>
            <w:tcMar>
              <w:top w:w="55" w:type="dxa"/>
              <w:start w:w="65" w:type="dxa"/>
              <w:bottom w:w="55" w:type="dxa"/>
              <w:end w:w="65" w:type="dxa"/>
            </w:tcMar>
            <w:shd w:fill="F4F7FB"/>
          </w:tcPr>
          <w:p>
            <w:pPr>
              <w:spacing w:after="0"/>
            </w:pPr>
            <w:r/>
            <w:r>
              <w:rPr>
                <w:rFonts w:ascii="Aptos" w:hAnsi="Aptos"/>
                <w:b w:val="0"/>
                <w:sz w:val="16"/>
              </w:rPr>
              <w:t>India</w:t>
            </w:r>
          </w:p>
        </w:tc>
        <w:tc>
          <w:tcPr>
            <w:tcW w:type="dxa" w:w="2160"/>
            <w:vAlign w:val="center"/>
            <w:tcMar>
              <w:top w:w="55" w:type="dxa"/>
              <w:start w:w="65" w:type="dxa"/>
              <w:bottom w:w="55" w:type="dxa"/>
              <w:end w:w="65" w:type="dxa"/>
            </w:tcMar>
            <w:shd w:fill="F4F7FB"/>
          </w:tcPr>
          <w:p>
            <w:pPr>
              <w:spacing w:after="0"/>
            </w:pPr>
            <w:r/>
            <w:r>
              <w:rPr>
                <w:rFonts w:ascii="Aptos" w:hAnsi="Aptos"/>
                <w:b w:val="0"/>
                <w:sz w:val="16"/>
              </w:rPr>
              <w:t>Managing Money &amp; Cash Flow</w:t>
            </w:r>
          </w:p>
        </w:tc>
      </w:tr>
      <w:tr>
        <w:tc>
          <w:tcPr>
            <w:tcW w:type="dxa" w:w="1296"/>
            <w:vAlign w:val="center"/>
            <w:tcMar>
              <w:top w:w="55" w:type="dxa"/>
              <w:start w:w="65" w:type="dxa"/>
              <w:bottom w:w="55" w:type="dxa"/>
              <w:end w:w="65" w:type="dxa"/>
            </w:tcMar>
          </w:tcPr>
          <w:p>
            <w:pPr>
              <w:spacing w:after="0"/>
            </w:pPr>
            <w:r/>
            <w:r>
              <w:rPr>
                <w:rFonts w:ascii="Aptos" w:hAnsi="Aptos"/>
                <w:b w:val="0"/>
                <w:sz w:val="16"/>
              </w:rPr>
              <w:t>MU-009</w:t>
            </w:r>
          </w:p>
        </w:tc>
        <w:tc>
          <w:tcPr>
            <w:tcW w:type="dxa" w:w="5616"/>
            <w:vAlign w:val="center"/>
            <w:tcMar>
              <w:top w:w="55" w:type="dxa"/>
              <w:start w:w="65" w:type="dxa"/>
              <w:bottom w:w="55" w:type="dxa"/>
              <w:end w:w="65" w:type="dxa"/>
            </w:tcMar>
          </w:tcPr>
          <w:p>
            <w:pPr>
              <w:spacing w:after="0"/>
            </w:pPr>
            <w:r/>
            <w:r>
              <w:rPr>
                <w:rFonts w:ascii="Aptos" w:hAnsi="Aptos"/>
                <w:b w:val="0"/>
                <w:sz w:val="16"/>
              </w:rPr>
              <w:t>India Retirement / Pension Rule Change: EPF, NPS or PPF Impact Explained</w:t>
            </w:r>
          </w:p>
        </w:tc>
        <w:tc>
          <w:tcPr>
            <w:tcW w:type="dxa" w:w="2016"/>
            <w:vAlign w:val="center"/>
            <w:tcMar>
              <w:top w:w="55" w:type="dxa"/>
              <w:start w:w="65" w:type="dxa"/>
              <w:bottom w:w="55" w:type="dxa"/>
              <w:end w:w="65" w:type="dxa"/>
            </w:tcMar>
          </w:tcPr>
          <w:p>
            <w:pPr>
              <w:spacing w:after="0"/>
            </w:pPr>
            <w:r/>
            <w:r>
              <w:rPr>
                <w:rFonts w:ascii="Aptos" w:hAnsi="Aptos"/>
                <w:b w:val="0"/>
                <w:sz w:val="16"/>
              </w:rPr>
              <w:t>India</w:t>
            </w:r>
          </w:p>
        </w:tc>
        <w:tc>
          <w:tcPr>
            <w:tcW w:type="dxa" w:w="2160"/>
            <w:vAlign w:val="center"/>
            <w:tcMar>
              <w:top w:w="55" w:type="dxa"/>
              <w:start w:w="65" w:type="dxa"/>
              <w:bottom w:w="55" w:type="dxa"/>
              <w:end w:w="65" w:type="dxa"/>
            </w:tcMar>
          </w:tcPr>
          <w:p>
            <w:pPr>
              <w:spacing w:after="0"/>
            </w:pPr>
            <w:r/>
            <w:r>
              <w:rPr>
                <w:rFonts w:ascii="Aptos" w:hAnsi="Aptos"/>
                <w:b w:val="0"/>
                <w:sz w:val="16"/>
              </w:rPr>
              <w:t>Retirement - India</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6"/>
              </w:rPr>
              <w:t>MU-010</w:t>
            </w:r>
          </w:p>
        </w:tc>
        <w:tc>
          <w:tcPr>
            <w:tcW w:type="dxa" w:w="5616"/>
            <w:vAlign w:val="center"/>
            <w:tcMar>
              <w:top w:w="55" w:type="dxa"/>
              <w:start w:w="65" w:type="dxa"/>
              <w:bottom w:w="55" w:type="dxa"/>
              <w:end w:w="65" w:type="dxa"/>
            </w:tcMar>
            <w:shd w:fill="F4F7FB"/>
          </w:tcPr>
          <w:p>
            <w:pPr>
              <w:spacing w:after="0"/>
            </w:pPr>
            <w:r/>
            <w:r>
              <w:rPr>
                <w:rFonts w:ascii="Aptos" w:hAnsi="Aptos"/>
                <w:b w:val="0"/>
                <w:sz w:val="16"/>
              </w:rPr>
              <w:t>SEBI Investor Rule Change: What Retail Investors Should Understand</w:t>
            </w:r>
          </w:p>
        </w:tc>
        <w:tc>
          <w:tcPr>
            <w:tcW w:type="dxa" w:w="2016"/>
            <w:vAlign w:val="center"/>
            <w:tcMar>
              <w:top w:w="55" w:type="dxa"/>
              <w:start w:w="65" w:type="dxa"/>
              <w:bottom w:w="55" w:type="dxa"/>
              <w:end w:w="65" w:type="dxa"/>
            </w:tcMar>
            <w:shd w:fill="F4F7FB"/>
          </w:tcPr>
          <w:p>
            <w:pPr>
              <w:spacing w:after="0"/>
            </w:pPr>
            <w:r/>
            <w:r>
              <w:rPr>
                <w:rFonts w:ascii="Aptos" w:hAnsi="Aptos"/>
                <w:b w:val="0"/>
                <w:sz w:val="16"/>
              </w:rPr>
              <w:t>India</w:t>
            </w:r>
          </w:p>
        </w:tc>
        <w:tc>
          <w:tcPr>
            <w:tcW w:type="dxa" w:w="2160"/>
            <w:vAlign w:val="center"/>
            <w:tcMar>
              <w:top w:w="55" w:type="dxa"/>
              <w:start w:w="65" w:type="dxa"/>
              <w:bottom w:w="55" w:type="dxa"/>
              <w:end w:w="65" w:type="dxa"/>
            </w:tcMar>
            <w:shd w:fill="F4F7FB"/>
          </w:tcPr>
          <w:p>
            <w:pPr>
              <w:spacing w:after="0"/>
            </w:pPr>
            <w:r/>
            <w:r>
              <w:rPr>
                <w:rFonts w:ascii="Aptos" w:hAnsi="Aptos"/>
                <w:b w:val="0"/>
                <w:sz w:val="16"/>
              </w:rPr>
              <w:t>Investing &amp; Building Wealth</w:t>
            </w:r>
          </w:p>
        </w:tc>
      </w:tr>
      <w:tr>
        <w:tc>
          <w:tcPr>
            <w:tcW w:type="dxa" w:w="1296"/>
            <w:vAlign w:val="center"/>
            <w:tcMar>
              <w:top w:w="55" w:type="dxa"/>
              <w:start w:w="65" w:type="dxa"/>
              <w:bottom w:w="55" w:type="dxa"/>
              <w:end w:w="65" w:type="dxa"/>
            </w:tcMar>
          </w:tcPr>
          <w:p>
            <w:pPr>
              <w:spacing w:after="0"/>
            </w:pPr>
            <w:r/>
            <w:r>
              <w:rPr>
                <w:rFonts w:ascii="Aptos" w:hAnsi="Aptos"/>
                <w:b w:val="0"/>
                <w:sz w:val="16"/>
              </w:rPr>
              <w:t>MU-011</w:t>
            </w:r>
          </w:p>
        </w:tc>
        <w:tc>
          <w:tcPr>
            <w:tcW w:type="dxa" w:w="5616"/>
            <w:vAlign w:val="center"/>
            <w:tcMar>
              <w:top w:w="55" w:type="dxa"/>
              <w:start w:w="65" w:type="dxa"/>
              <w:bottom w:w="55" w:type="dxa"/>
              <w:end w:w="65" w:type="dxa"/>
            </w:tcMar>
          </w:tcPr>
          <w:p>
            <w:pPr>
              <w:spacing w:after="0"/>
            </w:pPr>
            <w:r/>
            <w:r>
              <w:rPr>
                <w:rFonts w:ascii="Aptos" w:hAnsi="Aptos"/>
                <w:b w:val="0"/>
                <w:sz w:val="16"/>
              </w:rPr>
              <w:t>AUD/INR Currency Movement: What Cross-Border Households Should Understand</w:t>
            </w:r>
          </w:p>
        </w:tc>
        <w:tc>
          <w:tcPr>
            <w:tcW w:type="dxa" w:w="2016"/>
            <w:vAlign w:val="center"/>
            <w:tcMar>
              <w:top w:w="55" w:type="dxa"/>
              <w:start w:w="65" w:type="dxa"/>
              <w:bottom w:w="55" w:type="dxa"/>
              <w:end w:w="65" w:type="dxa"/>
            </w:tcMar>
          </w:tcPr>
          <w:p>
            <w:pPr>
              <w:spacing w:after="0"/>
            </w:pPr>
            <w:r/>
            <w:r>
              <w:rPr>
                <w:rFonts w:ascii="Aptos" w:hAnsi="Aptos"/>
                <w:b w:val="0"/>
                <w:sz w:val="16"/>
              </w:rPr>
              <w:t>Australia-India Cross-Border</w:t>
            </w:r>
          </w:p>
        </w:tc>
        <w:tc>
          <w:tcPr>
            <w:tcW w:type="dxa" w:w="2160"/>
            <w:vAlign w:val="center"/>
            <w:tcMar>
              <w:top w:w="55" w:type="dxa"/>
              <w:start w:w="65" w:type="dxa"/>
              <w:bottom w:w="55" w:type="dxa"/>
              <w:end w:w="65" w:type="dxa"/>
            </w:tcMar>
          </w:tcPr>
          <w:p>
            <w:pPr>
              <w:spacing w:after="0"/>
            </w:pPr>
            <w:r/>
            <w:r>
              <w:rPr>
                <w:rFonts w:ascii="Aptos" w:hAnsi="Aptos"/>
                <w:b w:val="0"/>
                <w:sz w:val="16"/>
              </w:rPr>
              <w:t>Cross-Border Money</w:t>
            </w:r>
          </w:p>
        </w:tc>
      </w:tr>
      <w:tr>
        <w:tc>
          <w:tcPr>
            <w:tcW w:type="dxa" w:w="1296"/>
            <w:vAlign w:val="center"/>
            <w:tcMar>
              <w:top w:w="55" w:type="dxa"/>
              <w:start w:w="65" w:type="dxa"/>
              <w:bottom w:w="55" w:type="dxa"/>
              <w:end w:w="65" w:type="dxa"/>
            </w:tcMar>
            <w:shd w:fill="F4F7FB"/>
          </w:tcPr>
          <w:p>
            <w:pPr>
              <w:spacing w:after="0"/>
            </w:pPr>
            <w:r/>
            <w:r>
              <w:rPr>
                <w:rFonts w:ascii="Aptos" w:hAnsi="Aptos"/>
                <w:b w:val="0"/>
                <w:sz w:val="16"/>
              </w:rPr>
              <w:t>MU-012</w:t>
            </w:r>
          </w:p>
        </w:tc>
        <w:tc>
          <w:tcPr>
            <w:tcW w:type="dxa" w:w="5616"/>
            <w:vAlign w:val="center"/>
            <w:tcMar>
              <w:top w:w="55" w:type="dxa"/>
              <w:start w:w="65" w:type="dxa"/>
              <w:bottom w:w="55" w:type="dxa"/>
              <w:end w:w="65" w:type="dxa"/>
            </w:tcMar>
            <w:shd w:fill="F4F7FB"/>
          </w:tcPr>
          <w:p>
            <w:pPr>
              <w:spacing w:after="0"/>
            </w:pPr>
            <w:r/>
            <w:r>
              <w:rPr>
                <w:rFonts w:ascii="Aptos" w:hAnsi="Aptos"/>
                <w:b w:val="0"/>
                <w:sz w:val="16"/>
              </w:rPr>
              <w:t>Major Australia-India Cross-Border Finance Rule Change: What Users Should Know</w:t>
            </w:r>
          </w:p>
        </w:tc>
        <w:tc>
          <w:tcPr>
            <w:tcW w:type="dxa" w:w="2016"/>
            <w:vAlign w:val="center"/>
            <w:tcMar>
              <w:top w:w="55" w:type="dxa"/>
              <w:start w:w="65" w:type="dxa"/>
              <w:bottom w:w="55" w:type="dxa"/>
              <w:end w:w="65" w:type="dxa"/>
            </w:tcMar>
            <w:shd w:fill="F4F7FB"/>
          </w:tcPr>
          <w:p>
            <w:pPr>
              <w:spacing w:after="0"/>
            </w:pPr>
            <w:r/>
            <w:r>
              <w:rPr>
                <w:rFonts w:ascii="Aptos" w:hAnsi="Aptos"/>
                <w:b w:val="0"/>
                <w:sz w:val="16"/>
              </w:rPr>
              <w:t>Australia-India Cross-Border</w:t>
            </w:r>
          </w:p>
        </w:tc>
        <w:tc>
          <w:tcPr>
            <w:tcW w:type="dxa" w:w="2160"/>
            <w:vAlign w:val="center"/>
            <w:tcMar>
              <w:top w:w="55" w:type="dxa"/>
              <w:start w:w="65" w:type="dxa"/>
              <w:bottom w:w="55" w:type="dxa"/>
              <w:end w:w="65" w:type="dxa"/>
            </w:tcMar>
            <w:shd w:fill="F4F7FB"/>
          </w:tcPr>
          <w:p>
            <w:pPr>
              <w:spacing w:after="0"/>
            </w:pPr>
            <w:r/>
            <w:r>
              <w:rPr>
                <w:rFonts w:ascii="Aptos" w:hAnsi="Aptos"/>
                <w:b w:val="0"/>
                <w:sz w:val="16"/>
              </w:rPr>
              <w:t>Cross-Border Money</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10224"/>
            <w:shd w:fill="FFF2CC"/>
            <w:tcMar>
              <w:top w:w="110" w:type="dxa"/>
              <w:start w:w="140" w:type="dxa"/>
              <w:bottom w:w="110" w:type="dxa"/>
              <w:end w:w="140" w:type="dxa"/>
            </w:tcMar>
          </w:tcPr>
          <w:p>
            <w:pPr>
              <w:spacing w:after="40"/>
            </w:pPr>
            <w:r>
              <w:rPr>
                <w:b/>
                <w:color w:val="0B1F3A"/>
                <w:sz w:val="21"/>
              </w:rPr>
              <w:t>Publishing rule</w:t>
            </w:r>
          </w:p>
          <w:p>
            <w:pPr>
              <w:spacing w:after="0"/>
            </w:pPr>
            <w:r>
              <w:rPr>
                <w:color w:val="333333"/>
                <w:sz w:val="19"/>
              </w:rPr>
              <w:t>A Money Update must not be published from secondary reporting alone. The final article needs a current primary official source, effective/current-as-at date, author/reviewer, next review date, and a clear update/archive decision when it becomes stale.</w:t>
            </w:r>
          </w:p>
        </w:tc>
      </w:tr>
    </w:tbl>
    <w:p>
      <w:pPr>
        <w:spacing w:after="0"/>
      </w:pPr>
    </w:p>
    <w:p>
      <w:pPr>
        <w:pStyle w:val="Heading1"/>
      </w:pPr>
      <w:r>
        <w:t>10. Glossary &amp; Contextual Help</w:t>
      </w:r>
    </w:p>
    <w:p>
      <w:r>
        <w:t>The 50 glossary records serve two functions: public searchable definitions and reusable in-app contextual help. The same approved definition should be used wherever the term appears in FHIP, avoiding contradictions between the Resources page, reports and tooltips.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160"/>
            <w:vAlign w:val="center"/>
            <w:shd w:fill="0B1F3A"/>
            <w:tcMar>
              <w:top w:w="70" w:type="dxa"/>
              <w:start w:w="70" w:type="dxa"/>
              <w:bottom w:w="70" w:type="dxa"/>
              <w:end w:w="70" w:type="dxa"/>
            </w:tcMar>
          </w:tcPr>
          <w:p>
            <w:pPr>
              <w:spacing w:after="0"/>
            </w:pPr>
            <w:r/>
            <w:r>
              <w:rPr>
                <w:rFonts w:ascii="Aptos" w:hAnsi="Aptos"/>
                <w:b/>
                <w:color w:val="FFFFFF"/>
                <w:sz w:val="15"/>
              </w:rPr>
              <w:t>Term 1</w:t>
            </w:r>
          </w:p>
        </w:tc>
        <w:tc>
          <w:tcPr>
            <w:tcW w:type="dxa" w:w="2160"/>
            <w:vAlign w:val="center"/>
            <w:shd w:fill="0B1F3A"/>
            <w:tcMar>
              <w:top w:w="70" w:type="dxa"/>
              <w:start w:w="70" w:type="dxa"/>
              <w:bottom w:w="70" w:type="dxa"/>
              <w:end w:w="70" w:type="dxa"/>
            </w:tcMar>
          </w:tcPr>
          <w:p>
            <w:pPr>
              <w:spacing w:after="0"/>
            </w:pPr>
            <w:r/>
            <w:r>
              <w:rPr>
                <w:rFonts w:ascii="Aptos" w:hAnsi="Aptos"/>
                <w:b/>
                <w:color w:val="FFFFFF"/>
                <w:sz w:val="15"/>
              </w:rPr>
              <w:t>Term 2</w:t>
            </w:r>
          </w:p>
        </w:tc>
        <w:tc>
          <w:tcPr>
            <w:tcW w:type="dxa" w:w="2160"/>
            <w:vAlign w:val="center"/>
            <w:shd w:fill="0B1F3A"/>
            <w:tcMar>
              <w:top w:w="70" w:type="dxa"/>
              <w:start w:w="70" w:type="dxa"/>
              <w:bottom w:w="70" w:type="dxa"/>
              <w:end w:w="70" w:type="dxa"/>
            </w:tcMar>
          </w:tcPr>
          <w:p>
            <w:pPr>
              <w:spacing w:after="0"/>
            </w:pPr>
            <w:r/>
            <w:r>
              <w:rPr>
                <w:rFonts w:ascii="Aptos" w:hAnsi="Aptos"/>
                <w:b/>
                <w:color w:val="FFFFFF"/>
                <w:sz w:val="15"/>
              </w:rPr>
              <w:t>Term 3</w:t>
            </w:r>
          </w:p>
        </w:tc>
        <w:tc>
          <w:tcPr>
            <w:tcW w:type="dxa" w:w="2160"/>
            <w:vAlign w:val="center"/>
            <w:shd w:fill="0B1F3A"/>
            <w:tcMar>
              <w:top w:w="70" w:type="dxa"/>
              <w:start w:w="70" w:type="dxa"/>
              <w:bottom w:w="70" w:type="dxa"/>
              <w:end w:w="70" w:type="dxa"/>
            </w:tcMar>
          </w:tcPr>
          <w:p>
            <w:pPr>
              <w:spacing w:after="0"/>
            </w:pPr>
            <w:r/>
            <w:r>
              <w:rPr>
                <w:rFonts w:ascii="Aptos" w:hAnsi="Aptos"/>
                <w:b/>
                <w:color w:val="FFFFFF"/>
                <w:sz w:val="15"/>
              </w:rPr>
              <w:t>Term 4</w:t>
            </w:r>
          </w:p>
        </w:tc>
        <w:tc>
          <w:tcPr>
            <w:tcW w:type="dxa" w:w="2160"/>
            <w:vAlign w:val="center"/>
            <w:shd w:fill="0B1F3A"/>
            <w:tcMar>
              <w:top w:w="70" w:type="dxa"/>
              <w:start w:w="70" w:type="dxa"/>
              <w:bottom w:w="70" w:type="dxa"/>
              <w:end w:w="70" w:type="dxa"/>
            </w:tcMar>
          </w:tcPr>
          <w:p>
            <w:pPr>
              <w:spacing w:after="0"/>
            </w:pPr>
            <w:r/>
            <w:r>
              <w:rPr>
                <w:rFonts w:ascii="Aptos" w:hAnsi="Aptos"/>
                <w:b/>
                <w:color w:val="FFFFFF"/>
                <w:sz w:val="15"/>
              </w:rPr>
              <w:t>Term 5</w:t>
            </w:r>
          </w:p>
        </w:tc>
      </w:tr>
      <w:tr>
        <w:tc>
          <w:tcPr>
            <w:tcW w:type="dxa" w:w="2160"/>
            <w:vAlign w:val="center"/>
            <w:tcMar>
              <w:top w:w="55" w:type="dxa"/>
              <w:start w:w="65" w:type="dxa"/>
              <w:bottom w:w="55" w:type="dxa"/>
              <w:end w:w="65" w:type="dxa"/>
            </w:tcMar>
          </w:tcPr>
          <w:p>
            <w:pPr>
              <w:spacing w:after="0"/>
            </w:pPr>
            <w:r/>
            <w:r>
              <w:rPr>
                <w:rFonts w:ascii="Aptos" w:hAnsi="Aptos"/>
                <w:b w:val="0"/>
                <w:sz w:val="15"/>
              </w:rPr>
              <w:t>Asset</w:t>
            </w:r>
          </w:p>
        </w:tc>
        <w:tc>
          <w:tcPr>
            <w:tcW w:type="dxa" w:w="2160"/>
            <w:vAlign w:val="center"/>
            <w:tcMar>
              <w:top w:w="55" w:type="dxa"/>
              <w:start w:w="65" w:type="dxa"/>
              <w:bottom w:w="55" w:type="dxa"/>
              <w:end w:w="65" w:type="dxa"/>
            </w:tcMar>
          </w:tcPr>
          <w:p>
            <w:pPr>
              <w:spacing w:after="0"/>
            </w:pPr>
            <w:r/>
            <w:r>
              <w:rPr>
                <w:rFonts w:ascii="Aptos" w:hAnsi="Aptos"/>
                <w:b w:val="0"/>
                <w:sz w:val="15"/>
              </w:rPr>
              <w:t>Liability</w:t>
            </w:r>
          </w:p>
        </w:tc>
        <w:tc>
          <w:tcPr>
            <w:tcW w:type="dxa" w:w="2160"/>
            <w:vAlign w:val="center"/>
            <w:tcMar>
              <w:top w:w="55" w:type="dxa"/>
              <w:start w:w="65" w:type="dxa"/>
              <w:bottom w:w="55" w:type="dxa"/>
              <w:end w:w="65" w:type="dxa"/>
            </w:tcMar>
          </w:tcPr>
          <w:p>
            <w:pPr>
              <w:spacing w:after="0"/>
            </w:pPr>
            <w:r/>
            <w:r>
              <w:rPr>
                <w:rFonts w:ascii="Aptos" w:hAnsi="Aptos"/>
                <w:b w:val="0"/>
                <w:sz w:val="15"/>
              </w:rPr>
              <w:t>Net Worth</w:t>
            </w:r>
          </w:p>
        </w:tc>
        <w:tc>
          <w:tcPr>
            <w:tcW w:type="dxa" w:w="2160"/>
            <w:vAlign w:val="center"/>
            <w:tcMar>
              <w:top w:w="55" w:type="dxa"/>
              <w:start w:w="65" w:type="dxa"/>
              <w:bottom w:w="55" w:type="dxa"/>
              <w:end w:w="65" w:type="dxa"/>
            </w:tcMar>
          </w:tcPr>
          <w:p>
            <w:pPr>
              <w:spacing w:after="0"/>
            </w:pPr>
            <w:r/>
            <w:r>
              <w:rPr>
                <w:rFonts w:ascii="Aptos" w:hAnsi="Aptos"/>
                <w:b w:val="0"/>
                <w:sz w:val="15"/>
              </w:rPr>
              <w:t>Gross Income</w:t>
            </w:r>
          </w:p>
        </w:tc>
        <w:tc>
          <w:tcPr>
            <w:tcW w:type="dxa" w:w="2160"/>
            <w:vAlign w:val="center"/>
            <w:tcMar>
              <w:top w:w="55" w:type="dxa"/>
              <w:start w:w="65" w:type="dxa"/>
              <w:bottom w:w="55" w:type="dxa"/>
              <w:end w:w="65" w:type="dxa"/>
            </w:tcMar>
          </w:tcPr>
          <w:p>
            <w:pPr>
              <w:spacing w:after="0"/>
            </w:pPr>
            <w:r/>
            <w:r>
              <w:rPr>
                <w:rFonts w:ascii="Aptos" w:hAnsi="Aptos"/>
                <w:b w:val="0"/>
                <w:sz w:val="15"/>
              </w:rPr>
              <w:t>Net Income</w:t>
            </w:r>
          </w:p>
        </w:tc>
      </w:tr>
      <w:tr>
        <w:tc>
          <w:tcPr>
            <w:tcW w:type="dxa" w:w="2160"/>
            <w:vAlign w:val="center"/>
            <w:tcMar>
              <w:top w:w="55" w:type="dxa"/>
              <w:start w:w="65" w:type="dxa"/>
              <w:bottom w:w="55" w:type="dxa"/>
              <w:end w:w="65" w:type="dxa"/>
            </w:tcMar>
            <w:shd w:fill="F4F7FB"/>
          </w:tcPr>
          <w:p>
            <w:pPr>
              <w:spacing w:after="0"/>
            </w:pPr>
            <w:r/>
            <w:r>
              <w:rPr>
                <w:rFonts w:ascii="Aptos" w:hAnsi="Aptos"/>
                <w:b w:val="0"/>
                <w:sz w:val="15"/>
              </w:rPr>
              <w:t>Cash Flow</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Cash Flow Surplus</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Cash Flow Deficit</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Fixed Expense</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Variable Expense</w:t>
            </w:r>
          </w:p>
        </w:tc>
      </w:tr>
      <w:tr>
        <w:tc>
          <w:tcPr>
            <w:tcW w:type="dxa" w:w="2160"/>
            <w:vAlign w:val="center"/>
            <w:tcMar>
              <w:top w:w="55" w:type="dxa"/>
              <w:start w:w="65" w:type="dxa"/>
              <w:bottom w:w="55" w:type="dxa"/>
              <w:end w:w="65" w:type="dxa"/>
            </w:tcMar>
          </w:tcPr>
          <w:p>
            <w:pPr>
              <w:spacing w:after="0"/>
            </w:pPr>
            <w:r/>
            <w:r>
              <w:rPr>
                <w:rFonts w:ascii="Aptos" w:hAnsi="Aptos"/>
                <w:b w:val="0"/>
                <w:sz w:val="15"/>
              </w:rPr>
              <w:t>Essential Expense</w:t>
            </w:r>
          </w:p>
        </w:tc>
        <w:tc>
          <w:tcPr>
            <w:tcW w:type="dxa" w:w="2160"/>
            <w:vAlign w:val="center"/>
            <w:tcMar>
              <w:top w:w="55" w:type="dxa"/>
              <w:start w:w="65" w:type="dxa"/>
              <w:bottom w:w="55" w:type="dxa"/>
              <w:end w:w="65" w:type="dxa"/>
            </w:tcMar>
          </w:tcPr>
          <w:p>
            <w:pPr>
              <w:spacing w:after="0"/>
            </w:pPr>
            <w:r/>
            <w:r>
              <w:rPr>
                <w:rFonts w:ascii="Aptos" w:hAnsi="Aptos"/>
                <w:b w:val="0"/>
                <w:sz w:val="15"/>
              </w:rPr>
              <w:t>Discretionary Expense</w:t>
            </w:r>
          </w:p>
        </w:tc>
        <w:tc>
          <w:tcPr>
            <w:tcW w:type="dxa" w:w="2160"/>
            <w:vAlign w:val="center"/>
            <w:tcMar>
              <w:top w:w="55" w:type="dxa"/>
              <w:start w:w="65" w:type="dxa"/>
              <w:bottom w:w="55" w:type="dxa"/>
              <w:end w:w="65" w:type="dxa"/>
            </w:tcMar>
          </w:tcPr>
          <w:p>
            <w:pPr>
              <w:spacing w:after="0"/>
            </w:pPr>
            <w:r/>
            <w:r>
              <w:rPr>
                <w:rFonts w:ascii="Aptos" w:hAnsi="Aptos"/>
                <w:b w:val="0"/>
                <w:sz w:val="15"/>
              </w:rPr>
              <w:t>Savings Rate</w:t>
            </w:r>
          </w:p>
        </w:tc>
        <w:tc>
          <w:tcPr>
            <w:tcW w:type="dxa" w:w="2160"/>
            <w:vAlign w:val="center"/>
            <w:tcMar>
              <w:top w:w="55" w:type="dxa"/>
              <w:start w:w="65" w:type="dxa"/>
              <w:bottom w:w="55" w:type="dxa"/>
              <w:end w:w="65" w:type="dxa"/>
            </w:tcMar>
          </w:tcPr>
          <w:p>
            <w:pPr>
              <w:spacing w:after="0"/>
            </w:pPr>
            <w:r/>
            <w:r>
              <w:rPr>
                <w:rFonts w:ascii="Aptos" w:hAnsi="Aptos"/>
                <w:b w:val="0"/>
                <w:sz w:val="15"/>
              </w:rPr>
              <w:t>Emergency Fund</w:t>
            </w:r>
          </w:p>
        </w:tc>
        <w:tc>
          <w:tcPr>
            <w:tcW w:type="dxa" w:w="2160"/>
            <w:vAlign w:val="center"/>
            <w:tcMar>
              <w:top w:w="55" w:type="dxa"/>
              <w:start w:w="65" w:type="dxa"/>
              <w:bottom w:w="55" w:type="dxa"/>
              <w:end w:w="65" w:type="dxa"/>
            </w:tcMar>
          </w:tcPr>
          <w:p>
            <w:pPr>
              <w:spacing w:after="0"/>
            </w:pPr>
            <w:r/>
            <w:r>
              <w:rPr>
                <w:rFonts w:ascii="Aptos" w:hAnsi="Aptos"/>
                <w:b w:val="0"/>
                <w:sz w:val="15"/>
              </w:rPr>
              <w:t>Liquidity</w:t>
            </w:r>
          </w:p>
        </w:tc>
      </w:tr>
      <w:tr>
        <w:tc>
          <w:tcPr>
            <w:tcW w:type="dxa" w:w="2160"/>
            <w:vAlign w:val="center"/>
            <w:tcMar>
              <w:top w:w="55" w:type="dxa"/>
              <w:start w:w="65" w:type="dxa"/>
              <w:bottom w:w="55" w:type="dxa"/>
              <w:end w:w="65" w:type="dxa"/>
            </w:tcMar>
            <w:shd w:fill="F4F7FB"/>
          </w:tcPr>
          <w:p>
            <w:pPr>
              <w:spacing w:after="0"/>
            </w:pPr>
            <w:r/>
            <w:r>
              <w:rPr>
                <w:rFonts w:ascii="Aptos" w:hAnsi="Aptos"/>
                <w:b w:val="0"/>
                <w:sz w:val="15"/>
              </w:rPr>
              <w:t>Liquid Asset</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Illiquid Asset</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Principal</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Interest</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Debt</w:t>
            </w:r>
          </w:p>
        </w:tc>
      </w:tr>
      <w:tr>
        <w:tc>
          <w:tcPr>
            <w:tcW w:type="dxa" w:w="2160"/>
            <w:vAlign w:val="center"/>
            <w:tcMar>
              <w:top w:w="55" w:type="dxa"/>
              <w:start w:w="65" w:type="dxa"/>
              <w:bottom w:w="55" w:type="dxa"/>
              <w:end w:w="65" w:type="dxa"/>
            </w:tcMar>
          </w:tcPr>
          <w:p>
            <w:pPr>
              <w:spacing w:after="0"/>
            </w:pPr>
            <w:r/>
            <w:r>
              <w:rPr>
                <w:rFonts w:ascii="Aptos" w:hAnsi="Aptos"/>
                <w:b w:val="0"/>
                <w:sz w:val="15"/>
              </w:rPr>
              <w:t>Mortgage</w:t>
            </w:r>
          </w:p>
        </w:tc>
        <w:tc>
          <w:tcPr>
            <w:tcW w:type="dxa" w:w="2160"/>
            <w:vAlign w:val="center"/>
            <w:tcMar>
              <w:top w:w="55" w:type="dxa"/>
              <w:start w:w="65" w:type="dxa"/>
              <w:bottom w:w="55" w:type="dxa"/>
              <w:end w:w="65" w:type="dxa"/>
            </w:tcMar>
          </w:tcPr>
          <w:p>
            <w:pPr>
              <w:spacing w:after="0"/>
            </w:pPr>
            <w:r/>
            <w:r>
              <w:rPr>
                <w:rFonts w:ascii="Aptos" w:hAnsi="Aptos"/>
                <w:b w:val="0"/>
                <w:sz w:val="15"/>
              </w:rPr>
              <w:t>Credit Card Balance</w:t>
            </w:r>
          </w:p>
        </w:tc>
        <w:tc>
          <w:tcPr>
            <w:tcW w:type="dxa" w:w="2160"/>
            <w:vAlign w:val="center"/>
            <w:tcMar>
              <w:top w:w="55" w:type="dxa"/>
              <w:start w:w="65" w:type="dxa"/>
              <w:bottom w:w="55" w:type="dxa"/>
              <w:end w:w="65" w:type="dxa"/>
            </w:tcMar>
          </w:tcPr>
          <w:p>
            <w:pPr>
              <w:spacing w:after="0"/>
            </w:pPr>
            <w:r/>
            <w:r>
              <w:rPr>
                <w:rFonts w:ascii="Aptos" w:hAnsi="Aptos"/>
                <w:b w:val="0"/>
                <w:sz w:val="15"/>
              </w:rPr>
              <w:t>Debt-to-Income Ratio</w:t>
            </w:r>
          </w:p>
        </w:tc>
        <w:tc>
          <w:tcPr>
            <w:tcW w:type="dxa" w:w="2160"/>
            <w:vAlign w:val="center"/>
            <w:tcMar>
              <w:top w:w="55" w:type="dxa"/>
              <w:start w:w="65" w:type="dxa"/>
              <w:bottom w:w="55" w:type="dxa"/>
              <w:end w:w="65" w:type="dxa"/>
            </w:tcMar>
          </w:tcPr>
          <w:p>
            <w:pPr>
              <w:spacing w:after="0"/>
            </w:pPr>
            <w:r/>
            <w:r>
              <w:rPr>
                <w:rFonts w:ascii="Aptos" w:hAnsi="Aptos"/>
                <w:b w:val="0"/>
                <w:sz w:val="15"/>
              </w:rPr>
              <w:t>Debt Service Ratio</w:t>
            </w:r>
          </w:p>
        </w:tc>
        <w:tc>
          <w:tcPr>
            <w:tcW w:type="dxa" w:w="2160"/>
            <w:vAlign w:val="center"/>
            <w:tcMar>
              <w:top w:w="55" w:type="dxa"/>
              <w:start w:w="65" w:type="dxa"/>
              <w:bottom w:w="55" w:type="dxa"/>
              <w:end w:w="65" w:type="dxa"/>
            </w:tcMar>
          </w:tcPr>
          <w:p>
            <w:pPr>
              <w:spacing w:after="0"/>
            </w:pPr>
            <w:r/>
            <w:r>
              <w:rPr>
                <w:rFonts w:ascii="Aptos" w:hAnsi="Aptos"/>
                <w:b w:val="0"/>
                <w:sz w:val="15"/>
              </w:rPr>
              <w:t>Compounding</w:t>
            </w:r>
          </w:p>
        </w:tc>
      </w:tr>
      <w:tr>
        <w:tc>
          <w:tcPr>
            <w:tcW w:type="dxa" w:w="2160"/>
            <w:vAlign w:val="center"/>
            <w:tcMar>
              <w:top w:w="55" w:type="dxa"/>
              <w:start w:w="65" w:type="dxa"/>
              <w:bottom w:w="55" w:type="dxa"/>
              <w:end w:w="65" w:type="dxa"/>
            </w:tcMar>
            <w:shd w:fill="F4F7FB"/>
          </w:tcPr>
          <w:p>
            <w:pPr>
              <w:spacing w:after="0"/>
            </w:pPr>
            <w:r/>
            <w:r>
              <w:rPr>
                <w:rFonts w:ascii="Aptos" w:hAnsi="Aptos"/>
                <w:b w:val="0"/>
                <w:sz w:val="15"/>
              </w:rPr>
              <w:t>Inflation</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Nominal Return</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Real Return</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Volatility</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Diversification</w:t>
            </w:r>
          </w:p>
        </w:tc>
      </w:tr>
      <w:tr>
        <w:tc>
          <w:tcPr>
            <w:tcW w:type="dxa" w:w="2160"/>
            <w:vAlign w:val="center"/>
            <w:tcMar>
              <w:top w:w="55" w:type="dxa"/>
              <w:start w:w="65" w:type="dxa"/>
              <w:bottom w:w="55" w:type="dxa"/>
              <w:end w:w="65" w:type="dxa"/>
            </w:tcMar>
          </w:tcPr>
          <w:p>
            <w:pPr>
              <w:spacing w:after="0"/>
            </w:pPr>
            <w:r/>
            <w:r>
              <w:rPr>
                <w:rFonts w:ascii="Aptos" w:hAnsi="Aptos"/>
                <w:b w:val="0"/>
                <w:sz w:val="15"/>
              </w:rPr>
              <w:t>Asset Allocation</w:t>
            </w:r>
          </w:p>
        </w:tc>
        <w:tc>
          <w:tcPr>
            <w:tcW w:type="dxa" w:w="2160"/>
            <w:vAlign w:val="center"/>
            <w:tcMar>
              <w:top w:w="55" w:type="dxa"/>
              <w:start w:w="65" w:type="dxa"/>
              <w:bottom w:w="55" w:type="dxa"/>
              <w:end w:w="65" w:type="dxa"/>
            </w:tcMar>
          </w:tcPr>
          <w:p>
            <w:pPr>
              <w:spacing w:after="0"/>
            </w:pPr>
            <w:r/>
            <w:r>
              <w:rPr>
                <w:rFonts w:ascii="Aptos" w:hAnsi="Aptos"/>
                <w:b w:val="0"/>
                <w:sz w:val="15"/>
              </w:rPr>
              <w:t>Time Horizon</w:t>
            </w:r>
          </w:p>
        </w:tc>
        <w:tc>
          <w:tcPr>
            <w:tcW w:type="dxa" w:w="2160"/>
            <w:vAlign w:val="center"/>
            <w:tcMar>
              <w:top w:w="55" w:type="dxa"/>
              <w:start w:w="65" w:type="dxa"/>
              <w:bottom w:w="55" w:type="dxa"/>
              <w:end w:w="65" w:type="dxa"/>
            </w:tcMar>
          </w:tcPr>
          <w:p>
            <w:pPr>
              <w:spacing w:after="0"/>
            </w:pPr>
            <w:r/>
            <w:r>
              <w:rPr>
                <w:rFonts w:ascii="Aptos" w:hAnsi="Aptos"/>
                <w:b w:val="0"/>
                <w:sz w:val="15"/>
              </w:rPr>
              <w:t>Rebalancing</w:t>
            </w:r>
          </w:p>
        </w:tc>
        <w:tc>
          <w:tcPr>
            <w:tcW w:type="dxa" w:w="2160"/>
            <w:vAlign w:val="center"/>
            <w:tcMar>
              <w:top w:w="55" w:type="dxa"/>
              <w:start w:w="65" w:type="dxa"/>
              <w:bottom w:w="55" w:type="dxa"/>
              <w:end w:w="65" w:type="dxa"/>
            </w:tcMar>
          </w:tcPr>
          <w:p>
            <w:pPr>
              <w:spacing w:after="0"/>
            </w:pPr>
            <w:r/>
            <w:r>
              <w:rPr>
                <w:rFonts w:ascii="Aptos" w:hAnsi="Aptos"/>
                <w:b w:val="0"/>
                <w:sz w:val="15"/>
              </w:rPr>
              <w:t>Financial Goal</w:t>
            </w:r>
          </w:p>
        </w:tc>
        <w:tc>
          <w:tcPr>
            <w:tcW w:type="dxa" w:w="2160"/>
            <w:vAlign w:val="center"/>
            <w:tcMar>
              <w:top w:w="55" w:type="dxa"/>
              <w:start w:w="65" w:type="dxa"/>
              <w:bottom w:w="55" w:type="dxa"/>
              <w:end w:w="65" w:type="dxa"/>
            </w:tcMar>
          </w:tcPr>
          <w:p>
            <w:pPr>
              <w:spacing w:after="0"/>
            </w:pPr>
            <w:r/>
            <w:r>
              <w:rPr>
                <w:rFonts w:ascii="Aptos" w:hAnsi="Aptos"/>
                <w:b w:val="0"/>
                <w:sz w:val="15"/>
              </w:rPr>
              <w:t>Goal Funding Ratio</w:t>
            </w:r>
          </w:p>
        </w:tc>
      </w:tr>
      <w:tr>
        <w:tc>
          <w:tcPr>
            <w:tcW w:type="dxa" w:w="2160"/>
            <w:vAlign w:val="center"/>
            <w:tcMar>
              <w:top w:w="55" w:type="dxa"/>
              <w:start w:w="65" w:type="dxa"/>
              <w:bottom w:w="55" w:type="dxa"/>
              <w:end w:w="65" w:type="dxa"/>
            </w:tcMar>
            <w:shd w:fill="F4F7FB"/>
          </w:tcPr>
          <w:p>
            <w:pPr>
              <w:spacing w:after="0"/>
            </w:pPr>
            <w:r/>
            <w:r>
              <w:rPr>
                <w:rFonts w:ascii="Aptos" w:hAnsi="Aptos"/>
                <w:b w:val="0"/>
                <w:sz w:val="15"/>
              </w:rPr>
              <w:t>Superannuation</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EPF</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PPF</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NPS</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Retirement Corpus</w:t>
            </w:r>
          </w:p>
        </w:tc>
      </w:tr>
      <w:tr>
        <w:tc>
          <w:tcPr>
            <w:tcW w:type="dxa" w:w="2160"/>
            <w:vAlign w:val="center"/>
            <w:tcMar>
              <w:top w:w="55" w:type="dxa"/>
              <w:start w:w="65" w:type="dxa"/>
              <w:bottom w:w="55" w:type="dxa"/>
              <w:end w:w="65" w:type="dxa"/>
            </w:tcMar>
          </w:tcPr>
          <w:p>
            <w:pPr>
              <w:spacing w:after="0"/>
            </w:pPr>
            <w:r/>
            <w:r>
              <w:rPr>
                <w:rFonts w:ascii="Aptos" w:hAnsi="Aptos"/>
                <w:b w:val="0"/>
                <w:sz w:val="15"/>
              </w:rPr>
              <w:t>Insurance</w:t>
            </w:r>
          </w:p>
        </w:tc>
        <w:tc>
          <w:tcPr>
            <w:tcW w:type="dxa" w:w="2160"/>
            <w:vAlign w:val="center"/>
            <w:tcMar>
              <w:top w:w="55" w:type="dxa"/>
              <w:start w:w="65" w:type="dxa"/>
              <w:bottom w:w="55" w:type="dxa"/>
              <w:end w:w="65" w:type="dxa"/>
            </w:tcMar>
          </w:tcPr>
          <w:p>
            <w:pPr>
              <w:spacing w:after="0"/>
            </w:pPr>
            <w:r/>
            <w:r>
              <w:rPr>
                <w:rFonts w:ascii="Aptos" w:hAnsi="Aptos"/>
                <w:b w:val="0"/>
                <w:sz w:val="15"/>
              </w:rPr>
              <w:t>Underinsurance</w:t>
            </w:r>
          </w:p>
        </w:tc>
        <w:tc>
          <w:tcPr>
            <w:tcW w:type="dxa" w:w="2160"/>
            <w:vAlign w:val="center"/>
            <w:tcMar>
              <w:top w:w="55" w:type="dxa"/>
              <w:start w:w="65" w:type="dxa"/>
              <w:bottom w:w="55" w:type="dxa"/>
              <w:end w:w="65" w:type="dxa"/>
            </w:tcMar>
          </w:tcPr>
          <w:p>
            <w:pPr>
              <w:spacing w:after="0"/>
            </w:pPr>
            <w:r/>
            <w:r>
              <w:rPr>
                <w:rFonts w:ascii="Aptos" w:hAnsi="Aptos"/>
                <w:b w:val="0"/>
                <w:sz w:val="15"/>
              </w:rPr>
              <w:t>Financial Resilience</w:t>
            </w:r>
          </w:p>
        </w:tc>
        <w:tc>
          <w:tcPr>
            <w:tcW w:type="dxa" w:w="2160"/>
            <w:vAlign w:val="center"/>
            <w:tcMar>
              <w:top w:w="55" w:type="dxa"/>
              <w:start w:w="65" w:type="dxa"/>
              <w:bottom w:w="55" w:type="dxa"/>
              <w:end w:w="65" w:type="dxa"/>
            </w:tcMar>
          </w:tcPr>
          <w:p>
            <w:pPr>
              <w:spacing w:after="0"/>
            </w:pPr>
            <w:r/>
            <w:r>
              <w:rPr>
                <w:rFonts w:ascii="Aptos" w:hAnsi="Aptos"/>
                <w:b w:val="0"/>
                <w:sz w:val="15"/>
              </w:rPr>
              <w:t>Financial Health Score</w:t>
            </w:r>
          </w:p>
        </w:tc>
        <w:tc>
          <w:tcPr>
            <w:tcW w:type="dxa" w:w="2160"/>
            <w:vAlign w:val="center"/>
            <w:tcMar>
              <w:top w:w="55" w:type="dxa"/>
              <w:start w:w="65" w:type="dxa"/>
              <w:bottom w:w="55" w:type="dxa"/>
              <w:end w:w="65" w:type="dxa"/>
            </w:tcMar>
          </w:tcPr>
          <w:p>
            <w:pPr>
              <w:spacing w:after="0"/>
            </w:pPr>
            <w:r/>
            <w:r>
              <w:rPr>
                <w:rFonts w:ascii="Aptos" w:hAnsi="Aptos"/>
                <w:b w:val="0"/>
                <w:sz w:val="15"/>
              </w:rPr>
              <w:t>Benchmark</w:t>
            </w:r>
          </w:p>
        </w:tc>
      </w:tr>
      <w:tr>
        <w:tc>
          <w:tcPr>
            <w:tcW w:type="dxa" w:w="2160"/>
            <w:vAlign w:val="center"/>
            <w:tcMar>
              <w:top w:w="55" w:type="dxa"/>
              <w:start w:w="65" w:type="dxa"/>
              <w:bottom w:w="55" w:type="dxa"/>
              <w:end w:w="65" w:type="dxa"/>
            </w:tcMar>
            <w:shd w:fill="F4F7FB"/>
          </w:tcPr>
          <w:p>
            <w:pPr>
              <w:spacing w:after="0"/>
            </w:pPr>
            <w:r/>
            <w:r>
              <w:rPr>
                <w:rFonts w:ascii="Aptos" w:hAnsi="Aptos"/>
                <w:b w:val="0"/>
                <w:sz w:val="15"/>
              </w:rPr>
              <w:t>Peer Group</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Forecast</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Scenario Analysis</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Currency Risk</w:t>
            </w:r>
          </w:p>
        </w:tc>
        <w:tc>
          <w:tcPr>
            <w:tcW w:type="dxa" w:w="2160"/>
            <w:vAlign w:val="center"/>
            <w:tcMar>
              <w:top w:w="55" w:type="dxa"/>
              <w:start w:w="65" w:type="dxa"/>
              <w:bottom w:w="55" w:type="dxa"/>
              <w:end w:w="65" w:type="dxa"/>
            </w:tcMar>
            <w:shd w:fill="F4F7FB"/>
          </w:tcPr>
          <w:p>
            <w:pPr>
              <w:spacing w:after="0"/>
            </w:pPr>
            <w:r/>
            <w:r>
              <w:rPr>
                <w:rFonts w:ascii="Aptos" w:hAnsi="Aptos"/>
                <w:b w:val="0"/>
                <w:sz w:val="15"/>
              </w:rPr>
              <w:t>Exchange Rate</w:t>
            </w:r>
          </w:p>
        </w:tc>
      </w:tr>
    </w:tbl>
    <w:p>
      <w:pPr>
        <w:spacing w:after="0"/>
      </w:pPr>
    </w:p>
    <w:p>
      <w:pPr>
        <w:pStyle w:val="Heading1"/>
      </w:pPr>
      <w:r>
        <w:t>11. Source Hierarchy &amp; Editorial Governance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vAlign w:val="center"/>
            <w:shd w:fill="0B1F3A"/>
            <w:tcMar>
              <w:top w:w="70" w:type="dxa"/>
              <w:start w:w="70" w:type="dxa"/>
              <w:bottom w:w="70" w:type="dxa"/>
              <w:end w:w="70" w:type="dxa"/>
            </w:tcMar>
          </w:tcPr>
          <w:p>
            <w:pPr>
              <w:spacing w:after="0"/>
            </w:pPr>
            <w:r/>
            <w:r>
              <w:rPr>
                <w:rFonts w:ascii="Aptos" w:hAnsi="Aptos"/>
                <w:b/>
                <w:color w:val="FFFFFF"/>
                <w:sz w:val="16"/>
              </w:rPr>
              <w:t>Jurisdiction</w:t>
            </w:r>
          </w:p>
        </w:tc>
        <w:tc>
          <w:tcPr>
            <w:tcW w:type="dxa" w:w="1008"/>
            <w:vAlign w:val="center"/>
            <w:shd w:fill="0B1F3A"/>
            <w:tcMar>
              <w:top w:w="70" w:type="dxa"/>
              <w:start w:w="70" w:type="dxa"/>
              <w:bottom w:w="70" w:type="dxa"/>
              <w:end w:w="70" w:type="dxa"/>
            </w:tcMar>
          </w:tcPr>
          <w:p>
            <w:pPr>
              <w:spacing w:after="0"/>
            </w:pPr>
            <w:r/>
            <w:r>
              <w:rPr>
                <w:rFonts w:ascii="Aptos" w:hAnsi="Aptos"/>
                <w:b/>
                <w:color w:val="FFFFFF"/>
                <w:sz w:val="16"/>
              </w:rPr>
              <w:t>Priority</w:t>
            </w:r>
          </w:p>
        </w:tc>
        <w:tc>
          <w:tcPr>
            <w:tcW w:type="dxa" w:w="3168"/>
            <w:vAlign w:val="center"/>
            <w:shd w:fill="0B1F3A"/>
            <w:tcMar>
              <w:top w:w="70" w:type="dxa"/>
              <w:start w:w="70" w:type="dxa"/>
              <w:bottom w:w="70" w:type="dxa"/>
              <w:end w:w="70" w:type="dxa"/>
            </w:tcMar>
          </w:tcPr>
          <w:p>
            <w:pPr>
              <w:spacing w:after="0"/>
            </w:pPr>
            <w:r/>
            <w:r>
              <w:rPr>
                <w:rFonts w:ascii="Aptos" w:hAnsi="Aptos"/>
                <w:b/>
                <w:color w:val="FFFFFF"/>
                <w:sz w:val="16"/>
              </w:rPr>
              <w:t>Source Group</w:t>
            </w:r>
          </w:p>
        </w:tc>
        <w:tc>
          <w:tcPr>
            <w:tcW w:type="dxa" w:w="4320"/>
            <w:vAlign w:val="center"/>
            <w:shd w:fill="0B1F3A"/>
            <w:tcMar>
              <w:top w:w="70" w:type="dxa"/>
              <w:start w:w="70" w:type="dxa"/>
              <w:bottom w:w="70" w:type="dxa"/>
              <w:end w:w="70" w:type="dxa"/>
            </w:tcMar>
          </w:tcPr>
          <w:p>
            <w:pPr>
              <w:spacing w:after="0"/>
            </w:pPr>
            <w:r/>
            <w:r>
              <w:rPr>
                <w:rFonts w:ascii="Aptos" w:hAnsi="Aptos"/>
                <w:b/>
                <w:color w:val="FFFFFF"/>
                <w:sz w:val="16"/>
              </w:rPr>
              <w:t>Publishing Rule</w:t>
            </w:r>
          </w:p>
        </w:tc>
      </w:tr>
      <w:tr>
        <w:tc>
          <w:tcPr>
            <w:tcW w:type="dxa" w:w="2304"/>
            <w:vAlign w:val="center"/>
            <w:tcMar>
              <w:top w:w="55" w:type="dxa"/>
              <w:start w:w="65" w:type="dxa"/>
              <w:bottom w:w="55" w:type="dxa"/>
              <w:end w:w="65" w:type="dxa"/>
            </w:tcMar>
          </w:tcPr>
          <w:p>
            <w:pPr>
              <w:spacing w:after="0"/>
            </w:pPr>
            <w:r/>
            <w:r>
              <w:rPr>
                <w:rFonts w:ascii="Aptos" w:hAnsi="Aptos"/>
                <w:b w:val="0"/>
                <w:sz w:val="16"/>
              </w:rPr>
              <w:t>Global</w:t>
            </w:r>
          </w:p>
        </w:tc>
        <w:tc>
          <w:tcPr>
            <w:tcW w:type="dxa" w:w="1008"/>
            <w:vAlign w:val="center"/>
            <w:tcMar>
              <w:top w:w="55" w:type="dxa"/>
              <w:start w:w="65" w:type="dxa"/>
              <w:bottom w:w="55" w:type="dxa"/>
              <w:end w:w="65" w:type="dxa"/>
            </w:tcMar>
          </w:tcPr>
          <w:p>
            <w:pPr>
              <w:spacing w:after="0"/>
            </w:pPr>
            <w:r/>
            <w:r>
              <w:rPr>
                <w:rFonts w:ascii="Aptos" w:hAnsi="Aptos"/>
                <w:b w:val="0"/>
                <w:sz w:val="16"/>
              </w:rPr>
              <w:t>1</w:t>
            </w:r>
          </w:p>
        </w:tc>
        <w:tc>
          <w:tcPr>
            <w:tcW w:type="dxa" w:w="3168"/>
            <w:vAlign w:val="center"/>
            <w:tcMar>
              <w:top w:w="55" w:type="dxa"/>
              <w:start w:w="65" w:type="dxa"/>
              <w:bottom w:w="55" w:type="dxa"/>
              <w:end w:w="65" w:type="dxa"/>
            </w:tcMar>
          </w:tcPr>
          <w:p>
            <w:pPr>
              <w:spacing w:after="0"/>
            </w:pPr>
            <w:r/>
            <w:r>
              <w:rPr>
                <w:rFonts w:ascii="Aptos" w:hAnsi="Aptos"/>
                <w:b w:val="0"/>
                <w:sz w:val="16"/>
              </w:rPr>
              <w:t>Government / regulator / central bank</w:t>
            </w:r>
          </w:p>
        </w:tc>
        <w:tc>
          <w:tcPr>
            <w:tcW w:type="dxa" w:w="4320"/>
            <w:vAlign w:val="center"/>
            <w:tcMar>
              <w:top w:w="55" w:type="dxa"/>
              <w:start w:w="65" w:type="dxa"/>
              <w:bottom w:w="55" w:type="dxa"/>
              <w:end w:w="65" w:type="dxa"/>
            </w:tcMar>
          </w:tcPr>
          <w:p>
            <w:pPr>
              <w:spacing w:after="0"/>
            </w:pPr>
            <w:r/>
            <w:r>
              <w:rPr>
                <w:rFonts w:ascii="Aptos" w:hAnsi="Aptos"/>
                <w:b w:val="0"/>
                <w:sz w:val="16"/>
              </w:rPr>
              <w:t>Use primary source for rules, statistics and regulated definitions.</w:t>
            </w:r>
          </w:p>
        </w:tc>
      </w:tr>
      <w:tr>
        <w:tc>
          <w:tcPr>
            <w:tcW w:type="dxa" w:w="2304"/>
            <w:vAlign w:val="center"/>
            <w:tcMar>
              <w:top w:w="55" w:type="dxa"/>
              <w:start w:w="65" w:type="dxa"/>
              <w:bottom w:w="55" w:type="dxa"/>
              <w:end w:w="65" w:type="dxa"/>
            </w:tcMar>
            <w:shd w:fill="F4F7FB"/>
          </w:tcPr>
          <w:p>
            <w:pPr>
              <w:spacing w:after="0"/>
            </w:pPr>
            <w:r/>
            <w:r>
              <w:rPr>
                <w:rFonts w:ascii="Aptos" w:hAnsi="Aptos"/>
                <w:b w:val="0"/>
                <w:sz w:val="16"/>
              </w:rPr>
              <w:t>Australia</w:t>
            </w:r>
          </w:p>
        </w:tc>
        <w:tc>
          <w:tcPr>
            <w:tcW w:type="dxa" w:w="1008"/>
            <w:vAlign w:val="center"/>
            <w:tcMar>
              <w:top w:w="55" w:type="dxa"/>
              <w:start w:w="65" w:type="dxa"/>
              <w:bottom w:w="55" w:type="dxa"/>
              <w:end w:w="65" w:type="dxa"/>
            </w:tcMar>
            <w:shd w:fill="F4F7FB"/>
          </w:tcPr>
          <w:p>
            <w:pPr>
              <w:spacing w:after="0"/>
            </w:pPr>
            <w:r/>
            <w:r>
              <w:rPr>
                <w:rFonts w:ascii="Aptos" w:hAnsi="Aptos"/>
                <w:b w:val="0"/>
                <w:sz w:val="16"/>
              </w:rPr>
              <w:t>1</w:t>
            </w:r>
          </w:p>
        </w:tc>
        <w:tc>
          <w:tcPr>
            <w:tcW w:type="dxa" w:w="3168"/>
            <w:vAlign w:val="center"/>
            <w:tcMar>
              <w:top w:w="55" w:type="dxa"/>
              <w:start w:w="65" w:type="dxa"/>
              <w:bottom w:w="55" w:type="dxa"/>
              <w:end w:w="65" w:type="dxa"/>
            </w:tcMar>
            <w:shd w:fill="F4F7FB"/>
          </w:tcPr>
          <w:p>
            <w:pPr>
              <w:spacing w:after="0"/>
            </w:pPr>
            <w:r/>
            <w:r>
              <w:rPr>
                <w:rFonts w:ascii="Aptos" w:hAnsi="Aptos"/>
                <w:b w:val="0"/>
                <w:sz w:val="16"/>
              </w:rPr>
              <w:t>Australian official sources</w:t>
            </w:r>
          </w:p>
        </w:tc>
        <w:tc>
          <w:tcPr>
            <w:tcW w:type="dxa" w:w="4320"/>
            <w:vAlign w:val="center"/>
            <w:tcMar>
              <w:top w:w="55" w:type="dxa"/>
              <w:start w:w="65" w:type="dxa"/>
              <w:bottom w:w="55" w:type="dxa"/>
              <w:end w:w="65" w:type="dxa"/>
            </w:tcMar>
            <w:shd w:fill="F4F7FB"/>
          </w:tcPr>
          <w:p>
            <w:pPr>
              <w:spacing w:after="0"/>
            </w:pPr>
            <w:r/>
            <w:r>
              <w:rPr>
                <w:rFonts w:ascii="Aptos" w:hAnsi="Aptos"/>
                <w:b w:val="0"/>
                <w:sz w:val="16"/>
              </w:rPr>
              <w:t>For tax, super, rates, regulation and statistics, verify current official source before publish.</w:t>
            </w:r>
          </w:p>
        </w:tc>
      </w:tr>
      <w:tr>
        <w:tc>
          <w:tcPr>
            <w:tcW w:type="dxa" w:w="2304"/>
            <w:vAlign w:val="center"/>
            <w:tcMar>
              <w:top w:w="55" w:type="dxa"/>
              <w:start w:w="65" w:type="dxa"/>
              <w:bottom w:w="55" w:type="dxa"/>
              <w:end w:w="65" w:type="dxa"/>
            </w:tcMar>
          </w:tcPr>
          <w:p>
            <w:pPr>
              <w:spacing w:after="0"/>
            </w:pPr>
            <w:r/>
            <w:r>
              <w:rPr>
                <w:rFonts w:ascii="Aptos" w:hAnsi="Aptos"/>
                <w:b w:val="0"/>
                <w:sz w:val="16"/>
              </w:rPr>
              <w:t>India</w:t>
            </w:r>
          </w:p>
        </w:tc>
        <w:tc>
          <w:tcPr>
            <w:tcW w:type="dxa" w:w="1008"/>
            <w:vAlign w:val="center"/>
            <w:tcMar>
              <w:top w:w="55" w:type="dxa"/>
              <w:start w:w="65" w:type="dxa"/>
              <w:bottom w:w="55" w:type="dxa"/>
              <w:end w:w="65" w:type="dxa"/>
            </w:tcMar>
          </w:tcPr>
          <w:p>
            <w:pPr>
              <w:spacing w:after="0"/>
            </w:pPr>
            <w:r/>
            <w:r>
              <w:rPr>
                <w:rFonts w:ascii="Aptos" w:hAnsi="Aptos"/>
                <w:b w:val="0"/>
                <w:sz w:val="16"/>
              </w:rPr>
              <w:t>1</w:t>
            </w:r>
          </w:p>
        </w:tc>
        <w:tc>
          <w:tcPr>
            <w:tcW w:type="dxa" w:w="3168"/>
            <w:vAlign w:val="center"/>
            <w:tcMar>
              <w:top w:w="55" w:type="dxa"/>
              <w:start w:w="65" w:type="dxa"/>
              <w:bottom w:w="55" w:type="dxa"/>
              <w:end w:w="65" w:type="dxa"/>
            </w:tcMar>
          </w:tcPr>
          <w:p>
            <w:pPr>
              <w:spacing w:after="0"/>
            </w:pPr>
            <w:r/>
            <w:r>
              <w:rPr>
                <w:rFonts w:ascii="Aptos" w:hAnsi="Aptos"/>
                <w:b w:val="0"/>
                <w:sz w:val="16"/>
              </w:rPr>
              <w:t>Indian official sources</w:t>
            </w:r>
          </w:p>
        </w:tc>
        <w:tc>
          <w:tcPr>
            <w:tcW w:type="dxa" w:w="4320"/>
            <w:vAlign w:val="center"/>
            <w:tcMar>
              <w:top w:w="55" w:type="dxa"/>
              <w:start w:w="65" w:type="dxa"/>
              <w:bottom w:w="55" w:type="dxa"/>
              <w:end w:w="65" w:type="dxa"/>
            </w:tcMar>
          </w:tcPr>
          <w:p>
            <w:pPr>
              <w:spacing w:after="0"/>
            </w:pPr>
            <w:r/>
            <w:r>
              <w:rPr>
                <w:rFonts w:ascii="Aptos" w:hAnsi="Aptos"/>
                <w:b w:val="0"/>
                <w:sz w:val="16"/>
              </w:rPr>
              <w:t>For tax, investment regulation, retirement schemes and monetary policy, verify current official source before publish.</w:t>
            </w:r>
          </w:p>
        </w:tc>
      </w:tr>
      <w:tr>
        <w:tc>
          <w:tcPr>
            <w:tcW w:type="dxa" w:w="2304"/>
            <w:vAlign w:val="center"/>
            <w:tcMar>
              <w:top w:w="55" w:type="dxa"/>
              <w:start w:w="65" w:type="dxa"/>
              <w:bottom w:w="55" w:type="dxa"/>
              <w:end w:w="65" w:type="dxa"/>
            </w:tcMar>
            <w:shd w:fill="F4F7FB"/>
          </w:tcPr>
          <w:p>
            <w:pPr>
              <w:spacing w:after="0"/>
            </w:pPr>
            <w:r/>
            <w:r>
              <w:rPr>
                <w:rFonts w:ascii="Aptos" w:hAnsi="Aptos"/>
                <w:b w:val="0"/>
                <w:sz w:val="16"/>
              </w:rPr>
              <w:t>Australia-India Cross-Border</w:t>
            </w:r>
          </w:p>
        </w:tc>
        <w:tc>
          <w:tcPr>
            <w:tcW w:type="dxa" w:w="1008"/>
            <w:vAlign w:val="center"/>
            <w:tcMar>
              <w:top w:w="55" w:type="dxa"/>
              <w:start w:w="65" w:type="dxa"/>
              <w:bottom w:w="55" w:type="dxa"/>
              <w:end w:w="65" w:type="dxa"/>
            </w:tcMar>
            <w:shd w:fill="F4F7FB"/>
          </w:tcPr>
          <w:p>
            <w:pPr>
              <w:spacing w:after="0"/>
            </w:pPr>
            <w:r/>
            <w:r>
              <w:rPr>
                <w:rFonts w:ascii="Aptos" w:hAnsi="Aptos"/>
                <w:b w:val="0"/>
                <w:sz w:val="16"/>
              </w:rPr>
              <w:t>1</w:t>
            </w:r>
          </w:p>
        </w:tc>
        <w:tc>
          <w:tcPr>
            <w:tcW w:type="dxa" w:w="3168"/>
            <w:vAlign w:val="center"/>
            <w:tcMar>
              <w:top w:w="55" w:type="dxa"/>
              <w:start w:w="65" w:type="dxa"/>
              <w:bottom w:w="55" w:type="dxa"/>
              <w:end w:w="65" w:type="dxa"/>
            </w:tcMar>
            <w:shd w:fill="F4F7FB"/>
          </w:tcPr>
          <w:p>
            <w:pPr>
              <w:spacing w:after="0"/>
            </w:pPr>
            <w:r/>
            <w:r>
              <w:rPr>
                <w:rFonts w:ascii="Aptos" w:hAnsi="Aptos"/>
                <w:b w:val="0"/>
                <w:sz w:val="16"/>
              </w:rPr>
              <w:t>Both-country primary sources</w:t>
            </w:r>
          </w:p>
        </w:tc>
        <w:tc>
          <w:tcPr>
            <w:tcW w:type="dxa" w:w="4320"/>
            <w:vAlign w:val="center"/>
            <w:tcMar>
              <w:top w:w="55" w:type="dxa"/>
              <w:start w:w="65" w:type="dxa"/>
              <w:bottom w:w="55" w:type="dxa"/>
              <w:end w:w="65" w:type="dxa"/>
            </w:tcMar>
            <w:shd w:fill="F4F7FB"/>
          </w:tcPr>
          <w:p>
            <w:pPr>
              <w:spacing w:after="0"/>
            </w:pPr>
            <w:r/>
            <w:r>
              <w:rPr>
                <w:rFonts w:ascii="Aptos" w:hAnsi="Aptos"/>
                <w:b w:val="0"/>
                <w:sz w:val="16"/>
              </w:rPr>
              <w:t>Cross-border content requires source and effective-date checks in each affected jurisdiction.</w:t>
            </w:r>
          </w:p>
        </w:tc>
      </w:tr>
      <w:tr>
        <w:tc>
          <w:tcPr>
            <w:tcW w:type="dxa" w:w="2304"/>
            <w:vAlign w:val="center"/>
            <w:tcMar>
              <w:top w:w="55" w:type="dxa"/>
              <w:start w:w="65" w:type="dxa"/>
              <w:bottom w:w="55" w:type="dxa"/>
              <w:end w:w="65" w:type="dxa"/>
            </w:tcMar>
          </w:tcPr>
          <w:p>
            <w:pPr>
              <w:spacing w:after="0"/>
            </w:pPr>
            <w:r/>
            <w:r>
              <w:rPr>
                <w:rFonts w:ascii="Aptos" w:hAnsi="Aptos"/>
                <w:b w:val="0"/>
                <w:sz w:val="16"/>
              </w:rPr>
              <w:t>All</w:t>
            </w:r>
          </w:p>
        </w:tc>
        <w:tc>
          <w:tcPr>
            <w:tcW w:type="dxa" w:w="1008"/>
            <w:vAlign w:val="center"/>
            <w:tcMar>
              <w:top w:w="55" w:type="dxa"/>
              <w:start w:w="65" w:type="dxa"/>
              <w:bottom w:w="55" w:type="dxa"/>
              <w:end w:w="65" w:type="dxa"/>
            </w:tcMar>
          </w:tcPr>
          <w:p>
            <w:pPr>
              <w:spacing w:after="0"/>
            </w:pPr>
            <w:r/>
            <w:r>
              <w:rPr>
                <w:rFonts w:ascii="Aptos" w:hAnsi="Aptos"/>
                <w:b w:val="0"/>
                <w:sz w:val="16"/>
              </w:rPr>
              <w:t>2</w:t>
            </w:r>
          </w:p>
        </w:tc>
        <w:tc>
          <w:tcPr>
            <w:tcW w:type="dxa" w:w="3168"/>
            <w:vAlign w:val="center"/>
            <w:tcMar>
              <w:top w:w="55" w:type="dxa"/>
              <w:start w:w="65" w:type="dxa"/>
              <w:bottom w:w="55" w:type="dxa"/>
              <w:end w:w="65" w:type="dxa"/>
            </w:tcMar>
          </w:tcPr>
          <w:p>
            <w:pPr>
              <w:spacing w:after="0"/>
            </w:pPr>
            <w:r/>
            <w:r>
              <w:rPr>
                <w:rFonts w:ascii="Aptos" w:hAnsi="Aptos"/>
                <w:b w:val="0"/>
                <w:sz w:val="16"/>
              </w:rPr>
              <w:t>Recognised research / academic sources</w:t>
            </w:r>
          </w:p>
        </w:tc>
        <w:tc>
          <w:tcPr>
            <w:tcW w:type="dxa" w:w="4320"/>
            <w:vAlign w:val="center"/>
            <w:tcMar>
              <w:top w:w="55" w:type="dxa"/>
              <w:start w:w="65" w:type="dxa"/>
              <w:bottom w:w="55" w:type="dxa"/>
              <w:end w:w="65" w:type="dxa"/>
            </w:tcMar>
          </w:tcPr>
          <w:p>
            <w:pPr>
              <w:spacing w:after="0"/>
            </w:pPr>
            <w:r/>
            <w:r>
              <w:rPr>
                <w:rFonts w:ascii="Aptos" w:hAnsi="Aptos"/>
                <w:b w:val="0"/>
                <w:sz w:val="16"/>
              </w:rPr>
              <w:t>Use to add context, not to override primary rules or official statistics.</w:t>
            </w:r>
          </w:p>
        </w:tc>
      </w:tr>
      <w:tr>
        <w:tc>
          <w:tcPr>
            <w:tcW w:type="dxa" w:w="2304"/>
            <w:vAlign w:val="center"/>
            <w:tcMar>
              <w:top w:w="55" w:type="dxa"/>
              <w:start w:w="65" w:type="dxa"/>
              <w:bottom w:w="55" w:type="dxa"/>
              <w:end w:w="65" w:type="dxa"/>
            </w:tcMar>
            <w:shd w:fill="F4F7FB"/>
          </w:tcPr>
          <w:p>
            <w:pPr>
              <w:spacing w:after="0"/>
            </w:pPr>
            <w:r/>
            <w:r>
              <w:rPr>
                <w:rFonts w:ascii="Aptos" w:hAnsi="Aptos"/>
                <w:b w:val="0"/>
                <w:sz w:val="16"/>
              </w:rPr>
              <w:t>All</w:t>
            </w:r>
          </w:p>
        </w:tc>
        <w:tc>
          <w:tcPr>
            <w:tcW w:type="dxa" w:w="1008"/>
            <w:vAlign w:val="center"/>
            <w:tcMar>
              <w:top w:w="55" w:type="dxa"/>
              <w:start w:w="65" w:type="dxa"/>
              <w:bottom w:w="55" w:type="dxa"/>
              <w:end w:w="65" w:type="dxa"/>
            </w:tcMar>
            <w:shd w:fill="F4F7FB"/>
          </w:tcPr>
          <w:p>
            <w:pPr>
              <w:spacing w:after="0"/>
            </w:pPr>
            <w:r/>
            <w:r>
              <w:rPr>
                <w:rFonts w:ascii="Aptos" w:hAnsi="Aptos"/>
                <w:b w:val="0"/>
                <w:sz w:val="16"/>
              </w:rPr>
              <w:t>3</w:t>
            </w:r>
          </w:p>
        </w:tc>
        <w:tc>
          <w:tcPr>
            <w:tcW w:type="dxa" w:w="3168"/>
            <w:vAlign w:val="center"/>
            <w:tcMar>
              <w:top w:w="55" w:type="dxa"/>
              <w:start w:w="65" w:type="dxa"/>
              <w:bottom w:w="55" w:type="dxa"/>
              <w:end w:w="65" w:type="dxa"/>
            </w:tcMar>
            <w:shd w:fill="F4F7FB"/>
          </w:tcPr>
          <w:p>
            <w:pPr>
              <w:spacing w:after="0"/>
            </w:pPr>
            <w:r/>
            <w:r>
              <w:rPr>
                <w:rFonts w:ascii="Aptos" w:hAnsi="Aptos"/>
                <w:b w:val="0"/>
                <w:sz w:val="16"/>
              </w:rPr>
              <w:t>Reputable secondary commentary</w:t>
            </w:r>
          </w:p>
        </w:tc>
        <w:tc>
          <w:tcPr>
            <w:tcW w:type="dxa" w:w="4320"/>
            <w:vAlign w:val="center"/>
            <w:tcMar>
              <w:top w:w="55" w:type="dxa"/>
              <w:start w:w="65" w:type="dxa"/>
              <w:bottom w:w="55" w:type="dxa"/>
              <w:end w:w="65" w:type="dxa"/>
            </w:tcMar>
            <w:shd w:fill="F4F7FB"/>
          </w:tcPr>
          <w:p>
            <w:pPr>
              <w:spacing w:after="0"/>
            </w:pPr>
            <w:r/>
            <w:r>
              <w:rPr>
                <w:rFonts w:ascii="Aptos" w:hAnsi="Aptos"/>
                <w:b w:val="0"/>
                <w:sz w:val="16"/>
              </w:rPr>
              <w:t>Use only as contextual support; do not base rule-change content solely on secondary reporting.</w:t>
            </w:r>
          </w:p>
        </w:tc>
      </w:tr>
    </w:tbl>
    <w:p>
      <w:pPr>
        <w:spacing w:after="0"/>
      </w:pPr>
    </w:p>
    <w:p>
      <w:pPr>
        <w:pStyle w:val="ListBullet"/>
        <w:spacing w:after="40"/>
      </w:pPr>
      <w:r>
        <w:rPr>
          <w:rFonts w:ascii="Aptos" w:hAnsi="Aptos"/>
          <w:sz w:val="20"/>
        </w:rPr>
        <w:t>GREEN content: general education and FHIP methodology. Normal editorial approval.</w:t>
      </w:r>
    </w:p>
    <w:p>
      <w:pPr>
        <w:pStyle w:val="ListBullet"/>
        <w:spacing w:after="40"/>
      </w:pPr>
      <w:r>
        <w:rPr>
          <w:rFonts w:ascii="Aptos" w:hAnsi="Aptos"/>
          <w:sz w:val="20"/>
        </w:rPr>
        <w:t>AMBER content: regulated topics, country-specific rules, current affairs, retirement structures, insurance and cross-border matters. Additional source/compliance review.</w:t>
      </w:r>
    </w:p>
    <w:p>
      <w:pPr>
        <w:pStyle w:val="ListBullet"/>
        <w:spacing w:after="40"/>
      </w:pPr>
      <w:r>
        <w:rPr>
          <w:rFonts w:ascii="Aptos" w:hAnsi="Aptos"/>
          <w:sz w:val="20"/>
        </w:rPr>
        <w:t>RED content: specific product recommendations, buy/sell/hold statements or uncontrolled personalised recommendations. Not part of the initial master; publication should remain restricted unless separately approved.</w:t>
      </w:r>
    </w:p>
    <w:p>
      <w:pPr>
        <w:pStyle w:val="Heading1"/>
      </w:pPr>
      <w:r>
        <w:t>12. Standard Content Brief Requirements</w:t>
      </w:r>
    </w:p>
    <w:p>
      <w:r>
        <w:t>Each article/guide brief in the master should be developed into a standard people-first page with enough structure to be useful to a non-finance user.</w:t>
      </w:r>
    </w:p>
    <w:p>
      <w:pPr>
        <w:pStyle w:val="ListBullet"/>
        <w:spacing w:after="40"/>
      </w:pPr>
      <w:r>
        <w:rPr>
          <w:rFonts w:ascii="Aptos" w:hAnsi="Aptos"/>
          <w:sz w:val="20"/>
        </w:rPr>
        <w:t>30-second answer or quick definition</w:t>
      </w:r>
    </w:p>
    <w:p>
      <w:pPr>
        <w:pStyle w:val="ListBullet"/>
        <w:spacing w:after="40"/>
      </w:pPr>
      <w:r>
        <w:rPr>
          <w:rFonts w:ascii="Aptos" w:hAnsi="Aptos"/>
          <w:sz w:val="20"/>
        </w:rPr>
        <w:t>3-5 key takeaways</w:t>
      </w:r>
    </w:p>
    <w:p>
      <w:pPr>
        <w:pStyle w:val="ListBullet"/>
        <w:spacing w:after="40"/>
      </w:pPr>
      <w:r>
        <w:rPr>
          <w:rFonts w:ascii="Aptos" w:hAnsi="Aptos"/>
          <w:sz w:val="20"/>
        </w:rPr>
        <w:t>Plain-English explanation</w:t>
      </w:r>
    </w:p>
    <w:p>
      <w:pPr>
        <w:pStyle w:val="ListBullet"/>
        <w:spacing w:after="40"/>
      </w:pPr>
      <w:r>
        <w:rPr>
          <w:rFonts w:ascii="Aptos" w:hAnsi="Aptos"/>
          <w:sz w:val="20"/>
        </w:rPr>
        <w:t>Why it matters to household financial health</w:t>
      </w:r>
    </w:p>
    <w:p>
      <w:pPr>
        <w:pStyle w:val="ListBullet"/>
        <w:spacing w:after="40"/>
      </w:pPr>
      <w:r>
        <w:rPr>
          <w:rFonts w:ascii="Aptos" w:hAnsi="Aptos"/>
          <w:sz w:val="20"/>
        </w:rPr>
        <w:t>Worked example</w:t>
      </w:r>
    </w:p>
    <w:p>
      <w:pPr>
        <w:pStyle w:val="ListBullet"/>
        <w:spacing w:after="40"/>
      </w:pPr>
      <w:r>
        <w:rPr>
          <w:rFonts w:ascii="Aptos" w:hAnsi="Aptos"/>
          <w:sz w:val="20"/>
        </w:rPr>
        <w:t>Visual or diagram</w:t>
      </w:r>
    </w:p>
    <w:p>
      <w:pPr>
        <w:pStyle w:val="ListBullet"/>
        <w:spacing w:after="40"/>
      </w:pPr>
      <w:r>
        <w:rPr>
          <w:rFonts w:ascii="Aptos" w:hAnsi="Aptos"/>
          <w:sz w:val="20"/>
        </w:rPr>
        <w:t>Common misunderstanding or limitation</w:t>
      </w:r>
    </w:p>
    <w:p>
      <w:pPr>
        <w:pStyle w:val="ListBullet"/>
        <w:spacing w:after="40"/>
      </w:pPr>
      <w:r>
        <w:rPr>
          <w:rFonts w:ascii="Aptos" w:hAnsi="Aptos"/>
          <w:sz w:val="20"/>
        </w:rPr>
        <w:t>How FHIP uses the concept where relevant</w:t>
      </w:r>
    </w:p>
    <w:p>
      <w:pPr>
        <w:pStyle w:val="ListBullet"/>
        <w:spacing w:after="40"/>
      </w:pPr>
      <w:r>
        <w:rPr>
          <w:rFonts w:ascii="Aptos" w:hAnsi="Aptos"/>
          <w:sz w:val="20"/>
        </w:rPr>
        <w:t>Related @GKTC video where relevant</w:t>
      </w:r>
    </w:p>
    <w:p>
      <w:pPr>
        <w:pStyle w:val="ListBullet"/>
        <w:spacing w:after="40"/>
      </w:pPr>
      <w:r>
        <w:rPr>
          <w:rFonts w:ascii="Aptos" w:hAnsi="Aptos"/>
          <w:sz w:val="20"/>
        </w:rPr>
        <w:t>FAQ</w:t>
      </w:r>
    </w:p>
    <w:p>
      <w:pPr>
        <w:pStyle w:val="ListBullet"/>
        <w:spacing w:after="40"/>
      </w:pPr>
      <w:r>
        <w:rPr>
          <w:rFonts w:ascii="Aptos" w:hAnsi="Aptos"/>
          <w:sz w:val="20"/>
        </w:rPr>
        <w:t>Authoritative sources</w:t>
      </w:r>
    </w:p>
    <w:p>
      <w:pPr>
        <w:pStyle w:val="ListBullet"/>
        <w:spacing w:after="40"/>
      </w:pPr>
      <w:r>
        <w:rPr>
          <w:rFonts w:ascii="Aptos" w:hAnsi="Aptos"/>
          <w:sz w:val="20"/>
        </w:rPr>
        <w:t>General information disclaimer</w:t>
      </w:r>
    </w:p>
    <w:p>
      <w:pPr>
        <w:pStyle w:val="ListBullet"/>
        <w:spacing w:after="40"/>
      </w:pPr>
      <w:r>
        <w:rPr>
          <w:rFonts w:ascii="Aptos" w:hAnsi="Aptos"/>
          <w:sz w:val="20"/>
        </w:rPr>
        <w:t>Contextual FHIP CTA</w:t>
      </w:r>
    </w:p>
    <w:p>
      <w:pPr>
        <w:pStyle w:val="Heading1"/>
      </w:pPr>
      <w:r>
        <w:t>13. CMS / Database Seeding Guidance</w:t>
      </w:r>
    </w:p>
    <w:p>
      <w:r>
        <w:t>The Excel file is intended to become the seed backlog for the Resources CMS, but it should not be inserted directly into production without an implementation mapping. During R1, Claude should create a migration/seed script that maps master fields into the final Supabase schema and preserves the stable Content_ID as an editorial reference.</w:t>
      </w:r>
    </w:p>
    <w:p>
      <w:pPr>
        <w:pStyle w:val="ListBullet"/>
        <w:spacing w:after="40"/>
      </w:pPr>
      <w:r>
        <w:rPr>
          <w:rFonts w:ascii="Aptos" w:hAnsi="Aptos"/>
          <w:sz w:val="20"/>
        </w:rPr>
        <w:t>Do not use the proposed URL as the database primary key; use a UUID or equivalent database ID and preserve Content_ID as a stable business reference.</w:t>
      </w:r>
    </w:p>
    <w:p>
      <w:pPr>
        <w:pStyle w:val="ListBullet"/>
        <w:spacing w:after="40"/>
      </w:pPr>
      <w:r>
        <w:rPr>
          <w:rFonts w:ascii="Aptos" w:hAnsi="Aptos"/>
          <w:sz w:val="20"/>
        </w:rPr>
        <w:t>Do not publish a record simply because it exists in the seed backlog. Initial status is Backlog unless separately approved.</w:t>
      </w:r>
    </w:p>
    <w:p>
      <w:pPr>
        <w:pStyle w:val="ListBullet"/>
        <w:spacing w:after="40"/>
      </w:pPr>
      <w:r>
        <w:rPr>
          <w:rFonts w:ascii="Aptos" w:hAnsi="Aptos"/>
          <w:sz w:val="20"/>
        </w:rPr>
        <w:t>YouTube URL/video ID should be entered only after the corresponding video is uploaded to @GKTC.</w:t>
      </w:r>
    </w:p>
    <w:p>
      <w:pPr>
        <w:pStyle w:val="ListBullet"/>
        <w:spacing w:after="40"/>
      </w:pPr>
      <w:r>
        <w:rPr>
          <w:rFonts w:ascii="Aptos" w:hAnsi="Aptos"/>
          <w:sz w:val="20"/>
        </w:rPr>
        <w:t>FHIP Explainers must be validated against actual in-app formulas and recommendation logic before publish.</w:t>
      </w:r>
    </w:p>
    <w:p>
      <w:pPr>
        <w:pStyle w:val="ListBullet"/>
        <w:spacing w:after="40"/>
      </w:pPr>
      <w:r>
        <w:rPr>
          <w:rFonts w:ascii="Aptos" w:hAnsi="Aptos"/>
          <w:sz w:val="20"/>
        </w:rPr>
        <w:t>Money Update templates should remain inactive until triggered by a real official development.</w:t>
      </w:r>
    </w:p>
    <w:p>
      <w:pPr>
        <w:pStyle w:val="Heading1"/>
      </w:pPr>
      <w:r>
        <w:t>14. Ongoing Content Management</w:t>
      </w:r>
    </w:p>
    <w:p>
      <w:pPr>
        <w:pStyle w:val="ListNumber"/>
        <w:spacing w:after="40"/>
      </w:pPr>
      <w:r>
        <w:rPr>
          <w:rFonts w:ascii="Aptos" w:hAnsi="Aptos"/>
          <w:sz w:val="20"/>
        </w:rPr>
        <w:t>Monthly editorial review: traffic, searches, no-result searches, top articles, GKTC performance and stale content.</w:t>
      </w:r>
    </w:p>
    <w:p>
      <w:pPr>
        <w:pStyle w:val="ListNumber"/>
        <w:spacing w:after="40"/>
      </w:pPr>
      <w:r>
        <w:rPr>
          <w:rFonts w:ascii="Aptos" w:hAnsi="Aptos"/>
          <w:sz w:val="20"/>
        </w:rPr>
        <w:t>Quarterly content-plan refresh: adjust priorities based on user behaviour and product roadmap.</w:t>
      </w:r>
    </w:p>
    <w:p>
      <w:pPr>
        <w:pStyle w:val="ListNumber"/>
        <w:spacing w:after="40"/>
      </w:pPr>
      <w:r>
        <w:rPr>
          <w:rFonts w:ascii="Aptos" w:hAnsi="Aptos"/>
          <w:sz w:val="20"/>
        </w:rPr>
        <w:t>Immediate review trigger: FHIP calculation logic changes, law/regulation changes, product architecture changes or major official data changes.</w:t>
      </w:r>
    </w:p>
    <w:p>
      <w:pPr>
        <w:pStyle w:val="ListNumber"/>
        <w:spacing w:after="40"/>
      </w:pPr>
      <w:r>
        <w:rPr>
          <w:rFonts w:ascii="Aptos" w:hAnsi="Aptos"/>
          <w:sz w:val="20"/>
        </w:rPr>
        <w:t>Do not mass-produce thin AI articles. AI may assist with drafts, summaries, FAQs, video scripts and SEO metadata, but a human must review financial content before publication.</w:t>
      </w:r>
    </w:p>
    <w:p>
      <w:pPr>
        <w:pStyle w:val="Heading1"/>
      </w:pPr>
      <w:r>
        <w:t>15. R0-A Approval Criteria</w:t>
      </w:r>
    </w:p>
    <w:p>
      <w:pPr>
        <w:pStyle w:val="ListBullet"/>
        <w:spacing w:after="40"/>
      </w:pPr>
      <w:r>
        <w:rPr>
          <w:rFonts w:ascii="Aptos" w:hAnsi="Aptos"/>
          <w:sz w:val="20"/>
        </w:rPr>
        <w:t>[ ] Initial 218-record library is approved as the working editorial backlog.</w:t>
      </w:r>
    </w:p>
    <w:p>
      <w:pPr>
        <w:pStyle w:val="ListBullet"/>
        <w:spacing w:after="40"/>
      </w:pPr>
      <w:r>
        <w:rPr>
          <w:rFonts w:ascii="Aptos" w:hAnsi="Aptos"/>
          <w:sz w:val="20"/>
        </w:rPr>
        <w:t>[ ] P0/P1/P2/ongoing sequencing is approved or revised by the Product Owner.</w:t>
      </w:r>
    </w:p>
    <w:p>
      <w:pPr>
        <w:pStyle w:val="ListBullet"/>
        <w:spacing w:after="40"/>
      </w:pPr>
      <w:r>
        <w:rPr>
          <w:rFonts w:ascii="Aptos" w:hAnsi="Aptos"/>
          <w:sz w:val="20"/>
        </w:rPr>
        <w:t>[ ] Consumer-facing categories and jurisdictions are approved.</w:t>
      </w:r>
    </w:p>
    <w:p>
      <w:pPr>
        <w:pStyle w:val="ListBullet"/>
        <w:spacing w:after="40"/>
      </w:pPr>
      <w:r>
        <w:rPr>
          <w:rFonts w:ascii="Aptos" w:hAnsi="Aptos"/>
          <w:sz w:val="20"/>
        </w:rPr>
        <w:t>[ ] FHIP module and CTA mapping approach is approved.</w:t>
      </w:r>
    </w:p>
    <w:p>
      <w:pPr>
        <w:pStyle w:val="ListBullet"/>
        <w:spacing w:after="40"/>
      </w:pPr>
      <w:r>
        <w:rPr>
          <w:rFonts w:ascii="Aptos" w:hAnsi="Aptos"/>
          <w:sz w:val="20"/>
        </w:rPr>
        <w:t>[ ] @GKTC is confirmed as the primary video channel and video source of truth.</w:t>
      </w:r>
    </w:p>
    <w:p>
      <w:pPr>
        <w:pStyle w:val="ListBullet"/>
        <w:spacing w:after="40"/>
      </w:pPr>
      <w:r>
        <w:rPr>
          <w:rFonts w:ascii="Aptos" w:hAnsi="Aptos"/>
          <w:sz w:val="20"/>
        </w:rPr>
        <w:t>[ ] FHIP Explainer list is validated against the current application module set.</w:t>
      </w:r>
    </w:p>
    <w:p>
      <w:pPr>
        <w:pStyle w:val="ListBullet"/>
        <w:spacing w:after="40"/>
      </w:pPr>
      <w:r>
        <w:rPr>
          <w:rFonts w:ascii="Aptos" w:hAnsi="Aptos"/>
          <w:sz w:val="20"/>
        </w:rPr>
        <w:t>[ ] Money Update templates and review rules are accepted.</w:t>
      </w:r>
    </w:p>
    <w:p>
      <w:pPr>
        <w:pStyle w:val="ListBullet"/>
        <w:spacing w:after="40"/>
      </w:pPr>
      <w:r>
        <w:rPr>
          <w:rFonts w:ascii="Aptos" w:hAnsi="Aptos"/>
          <w:sz w:val="20"/>
        </w:rPr>
        <w:t>[ ] Glossary definitions will be reused across public Resources and in-app contextual help.</w:t>
      </w:r>
    </w:p>
    <w:p>
      <w:pPr>
        <w:pStyle w:val="ListBullet"/>
        <w:spacing w:after="40"/>
      </w:pPr>
      <w:r>
        <w:rPr>
          <w:rFonts w:ascii="Aptos" w:hAnsi="Aptos"/>
          <w:sz w:val="20"/>
        </w:rPr>
        <w:t>[ ] Field dictionary is accepted as the basis for R0-B Admin CMS screen design.</w:t>
      </w:r>
    </w:p>
    <w:p>
      <w:pPr>
        <w:pStyle w:val="ListBullet"/>
        <w:spacing w:after="40"/>
      </w:pPr>
      <w:r>
        <w:rPr>
          <w:rFonts w:ascii="Aptos" w:hAnsi="Aptos"/>
          <w:sz w:val="20"/>
        </w:rPr>
        <w:t>[ ] Excel master is accepted as the authoritative content backlog and seed-planning workbook.</w:t>
      </w:r>
    </w:p>
    <w:p>
      <w:pPr>
        <w:pStyle w:val="Heading1"/>
      </w:pPr>
      <w:r>
        <w:t>16. Recommended Next Step</w:t>
      </w:r>
    </w:p>
    <w:p>
      <w:r>
        <w:t>After R0-A review, proceed to R0-B: exact Admin CMS screen-by-screen UX and functional specification. R0-B should use the fields and workflows in this master to define every admin screen, validation rule, permission, preview state, approval action, publish action and analytics requirement. Only after R0-B is approved should the final Claude implementation prompt be produced.</w:t>
      </w:r>
    </w:p>
    <w:p>
      <w:pPr>
        <w:sectPr>
          <w:headerReference w:type="default" r:id="rId9"/>
          <w:footerReference w:type="default" r:id="rId10"/>
          <w:pgSz w:w="12240" w:h="15840"/>
          <w:pgMar w:top="936" w:right="1008" w:bottom="864" w:left="1008" w:header="720" w:footer="720" w:gutter="0"/>
          <w:cols w:space="720"/>
          <w:docGrid w:linePitch="360"/>
        </w:sectPr>
      </w:pPr>
    </w:p>
    <w:p>
      <w:pPr>
        <w:pStyle w:val="Heading1"/>
      </w:pPr>
      <w:r>
        <w:t>Appendix A — Complete Initial 218-Record Inventory</w:t>
      </w:r>
    </w:p>
    <w:p>
      <w:r>
        <w:t>The table below provides a review-friendly inventory. The accompanying Excel workbook contains the complete 31-field metadata record for every item and should be treated as the operational master.</w:t>
      </w:r>
    </w:p>
    <w:p>
      <w:pPr>
        <w:pStyle w:val="Heading2"/>
      </w:pPr>
      <w:r>
        <w:t>Financial Health</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FH-001</w:t>
            </w:r>
          </w:p>
        </w:tc>
        <w:tc>
          <w:tcPr>
            <w:tcW w:type="dxa" w:w="4680"/>
            <w:vAlign w:val="center"/>
            <w:tcMar>
              <w:top w:w="55" w:type="dxa"/>
              <w:start w:w="65" w:type="dxa"/>
              <w:bottom w:w="55" w:type="dxa"/>
              <w:end w:w="65" w:type="dxa"/>
            </w:tcMar>
          </w:tcPr>
          <w:p>
            <w:pPr>
              <w:spacing w:after="0"/>
            </w:pPr>
            <w:r/>
            <w:r>
              <w:rPr>
                <w:rFonts w:ascii="Aptos" w:hAnsi="Aptos"/>
                <w:b w:val="0"/>
                <w:sz w:val="14"/>
              </w:rPr>
              <w:t>What Does Financial Health Actually Mean?</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FH-002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7 Financial Numbers Every Household Should Know</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tcPr>
          <w:p>
            <w:pPr>
              <w:spacing w:after="0"/>
            </w:pPr>
            <w:r/>
            <w:r>
              <w:rPr>
                <w:rFonts w:ascii="Aptos" w:hAnsi="Aptos"/>
                <w:b w:val="0"/>
                <w:sz w:val="14"/>
              </w:rPr>
              <w:t>FH-003</w:t>
            </w:r>
          </w:p>
        </w:tc>
        <w:tc>
          <w:tcPr>
            <w:tcW w:type="dxa" w:w="4680"/>
            <w:vAlign w:val="center"/>
            <w:tcMar>
              <w:top w:w="55" w:type="dxa"/>
              <w:start w:w="65" w:type="dxa"/>
              <w:bottom w:w="55" w:type="dxa"/>
              <w:end w:w="65" w:type="dxa"/>
            </w:tcMar>
          </w:tcPr>
          <w:p>
            <w:pPr>
              <w:spacing w:after="0"/>
            </w:pPr>
            <w:r/>
            <w:r>
              <w:rPr>
                <w:rFonts w:ascii="Aptos" w:hAnsi="Aptos"/>
                <w:b w:val="0"/>
                <w:sz w:val="14"/>
              </w:rPr>
              <w:t>Financial Health vs Wealth: What's the Difference?</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FH-004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Why a High Income Doesn't Automatically Mean Financial Security</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tcPr>
          <w:p>
            <w:pPr>
              <w:spacing w:after="0"/>
            </w:pPr>
            <w:r/>
            <w:r>
              <w:rPr>
                <w:rFonts w:ascii="Aptos" w:hAnsi="Aptos"/>
                <w:b w:val="0"/>
                <w:sz w:val="14"/>
              </w:rPr>
              <w:t>FH-005</w:t>
            </w:r>
          </w:p>
        </w:tc>
        <w:tc>
          <w:tcPr>
            <w:tcW w:type="dxa" w:w="4680"/>
            <w:vAlign w:val="center"/>
            <w:tcMar>
              <w:top w:w="55" w:type="dxa"/>
              <w:start w:w="65" w:type="dxa"/>
              <w:bottom w:w="55" w:type="dxa"/>
              <w:end w:w="65" w:type="dxa"/>
            </w:tcMar>
          </w:tcPr>
          <w:p>
            <w:pPr>
              <w:spacing w:after="0"/>
            </w:pPr>
            <w:r/>
            <w:r>
              <w:rPr>
                <w:rFonts w:ascii="Aptos" w:hAnsi="Aptos"/>
                <w:b w:val="0"/>
                <w:sz w:val="14"/>
              </w:rPr>
              <w:t>How Often Should You Review Your Financial Position?</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FH-006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The Four Foundations of Household Financial Health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tcPr>
          <w:p>
            <w:pPr>
              <w:spacing w:after="0"/>
            </w:pPr>
            <w:r/>
            <w:r>
              <w:rPr>
                <w:rFonts w:ascii="Aptos" w:hAnsi="Aptos"/>
                <w:b w:val="0"/>
                <w:sz w:val="14"/>
              </w:rPr>
              <w:t>FH-007</w:t>
            </w:r>
          </w:p>
        </w:tc>
        <w:tc>
          <w:tcPr>
            <w:tcW w:type="dxa" w:w="4680"/>
            <w:vAlign w:val="center"/>
            <w:tcMar>
              <w:top w:w="55" w:type="dxa"/>
              <w:start w:w="65" w:type="dxa"/>
              <w:bottom w:w="55" w:type="dxa"/>
              <w:end w:w="65" w:type="dxa"/>
            </w:tcMar>
          </w:tcPr>
          <w:p>
            <w:pPr>
              <w:spacing w:after="0"/>
            </w:pPr>
            <w:r/>
            <w:r>
              <w:rPr>
                <w:rFonts w:ascii="Aptos" w:hAnsi="Aptos"/>
                <w:b w:val="0"/>
                <w:sz w:val="14"/>
              </w:rPr>
              <w:t>How to Do a Personal Financial Health Check-Up</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FH-008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Makes Financial Health Improve Over Time?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Health</w:t>
            </w:r>
          </w:p>
        </w:tc>
      </w:tr>
    </w:tbl>
    <w:p>
      <w:pPr>
        <w:spacing w:after="0"/>
      </w:pPr>
    </w:p>
    <w:p>
      <w:pPr>
        <w:pStyle w:val="Heading2"/>
      </w:pPr>
      <w:r>
        <w:t>Managing Money &amp; Cash Flow</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MM-001</w:t>
            </w:r>
          </w:p>
        </w:tc>
        <w:tc>
          <w:tcPr>
            <w:tcW w:type="dxa" w:w="4680"/>
            <w:vAlign w:val="center"/>
            <w:tcMar>
              <w:top w:w="55" w:type="dxa"/>
              <w:start w:w="65" w:type="dxa"/>
              <w:bottom w:w="55" w:type="dxa"/>
              <w:end w:w="65" w:type="dxa"/>
            </w:tcMar>
          </w:tcPr>
          <w:p>
            <w:pPr>
              <w:spacing w:after="0"/>
            </w:pPr>
            <w:r/>
            <w:r>
              <w:rPr>
                <w:rFonts w:ascii="Aptos" w:hAnsi="Aptos"/>
                <w:b w:val="0"/>
                <w:sz w:val="14"/>
              </w:rPr>
              <w:t>Household Cash Flow Explained</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MM-002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Gross Income vs Take-Home Income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tcPr>
          <w:p>
            <w:pPr>
              <w:spacing w:after="0"/>
            </w:pPr>
            <w:r/>
            <w:r>
              <w:rPr>
                <w:rFonts w:ascii="Aptos" w:hAnsi="Aptos"/>
                <w:b w:val="0"/>
                <w:sz w:val="14"/>
              </w:rPr>
              <w:t>MM-003</w:t>
            </w:r>
          </w:p>
        </w:tc>
        <w:tc>
          <w:tcPr>
            <w:tcW w:type="dxa" w:w="4680"/>
            <w:vAlign w:val="center"/>
            <w:tcMar>
              <w:top w:w="55" w:type="dxa"/>
              <w:start w:w="65" w:type="dxa"/>
              <w:bottom w:w="55" w:type="dxa"/>
              <w:end w:w="65" w:type="dxa"/>
            </w:tcMar>
          </w:tcPr>
          <w:p>
            <w:pPr>
              <w:spacing w:after="0"/>
            </w:pPr>
            <w:r/>
            <w:r>
              <w:rPr>
                <w:rFonts w:ascii="Aptos" w:hAnsi="Aptos"/>
                <w:b w:val="0"/>
                <w:sz w:val="14"/>
              </w:rPr>
              <w:t>Fixed, Variable, Essential and Discretionary Expenses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MM-004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Calculate and Improve Your Savings Rate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tcPr>
          <w:p>
            <w:pPr>
              <w:spacing w:after="0"/>
            </w:pPr>
            <w:r/>
            <w:r>
              <w:rPr>
                <w:rFonts w:ascii="Aptos" w:hAnsi="Aptos"/>
                <w:b w:val="0"/>
                <w:sz w:val="14"/>
              </w:rPr>
              <w:t>MM-005</w:t>
            </w:r>
          </w:p>
        </w:tc>
        <w:tc>
          <w:tcPr>
            <w:tcW w:type="dxa" w:w="4680"/>
            <w:vAlign w:val="center"/>
            <w:tcMar>
              <w:top w:w="55" w:type="dxa"/>
              <w:start w:w="65" w:type="dxa"/>
              <w:bottom w:w="55" w:type="dxa"/>
              <w:end w:w="65" w:type="dxa"/>
            </w:tcMar>
          </w:tcPr>
          <w:p>
            <w:pPr>
              <w:spacing w:after="0"/>
            </w:pPr>
            <w:r/>
            <w:r>
              <w:rPr>
                <w:rFonts w:ascii="Aptos" w:hAnsi="Aptos"/>
                <w:b w:val="0"/>
                <w:sz w:val="14"/>
              </w:rPr>
              <w:t>Why Your Bank Balance Doesn't Tell the Whole Financial Story</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MM-006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Lifestyle Inflation: How Spending Rises With Income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tcPr>
          <w:p>
            <w:pPr>
              <w:spacing w:after="0"/>
            </w:pPr>
            <w:r/>
            <w:r>
              <w:rPr>
                <w:rFonts w:ascii="Aptos" w:hAnsi="Aptos"/>
                <w:b w:val="0"/>
                <w:sz w:val="14"/>
              </w:rPr>
              <w:t>MM-007</w:t>
            </w:r>
          </w:p>
        </w:tc>
        <w:tc>
          <w:tcPr>
            <w:tcW w:type="dxa" w:w="4680"/>
            <w:vAlign w:val="center"/>
            <w:tcMar>
              <w:top w:w="55" w:type="dxa"/>
              <w:start w:w="65" w:type="dxa"/>
              <w:bottom w:w="55" w:type="dxa"/>
              <w:end w:w="65" w:type="dxa"/>
            </w:tcMar>
          </w:tcPr>
          <w:p>
            <w:pPr>
              <w:spacing w:after="0"/>
            </w:pPr>
            <w:r/>
            <w:r>
              <w:rPr>
                <w:rFonts w:ascii="Aptos" w:hAnsi="Aptos"/>
                <w:b w:val="0"/>
                <w:sz w:val="14"/>
              </w:rPr>
              <w:t>How to Build a Spending Plan That You Can Actually Maintain</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MM-008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Irregular Expenses: How to Plan for Bills That Don't Arrive Monthly</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tcPr>
          <w:p>
            <w:pPr>
              <w:spacing w:after="0"/>
            </w:pPr>
            <w:r/>
            <w:r>
              <w:rPr>
                <w:rFonts w:ascii="Aptos" w:hAnsi="Aptos"/>
                <w:b w:val="0"/>
                <w:sz w:val="14"/>
              </w:rPr>
              <w:t>MM-009</w:t>
            </w:r>
          </w:p>
        </w:tc>
        <w:tc>
          <w:tcPr>
            <w:tcW w:type="dxa" w:w="4680"/>
            <w:vAlign w:val="center"/>
            <w:tcMar>
              <w:top w:w="55" w:type="dxa"/>
              <w:start w:w="65" w:type="dxa"/>
              <w:bottom w:w="55" w:type="dxa"/>
              <w:end w:w="65" w:type="dxa"/>
            </w:tcMar>
          </w:tcPr>
          <w:p>
            <w:pPr>
              <w:spacing w:after="0"/>
            </w:pPr>
            <w:r/>
            <w:r>
              <w:rPr>
                <w:rFonts w:ascii="Aptos" w:hAnsi="Aptos"/>
                <w:b w:val="0"/>
                <w:sz w:val="14"/>
              </w:rPr>
              <w:t>Cash Flow Surplus vs Financial Progress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MM-010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Review a Month of Income and Expenses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Cash Flow</w:t>
            </w:r>
          </w:p>
        </w:tc>
      </w:tr>
    </w:tbl>
    <w:p>
      <w:pPr>
        <w:spacing w:after="0"/>
      </w:pPr>
    </w:p>
    <w:p>
      <w:pPr>
        <w:pStyle w:val="Heading2"/>
      </w:pPr>
      <w:r>
        <w:t>Emergency &amp; Resilience</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ER-001</w:t>
            </w:r>
          </w:p>
        </w:tc>
        <w:tc>
          <w:tcPr>
            <w:tcW w:type="dxa" w:w="4680"/>
            <w:vAlign w:val="center"/>
            <w:tcMar>
              <w:top w:w="55" w:type="dxa"/>
              <w:start w:w="65" w:type="dxa"/>
              <w:bottom w:w="55" w:type="dxa"/>
              <w:end w:w="65" w:type="dxa"/>
            </w:tcMar>
          </w:tcPr>
          <w:p>
            <w:pPr>
              <w:spacing w:after="0"/>
            </w:pPr>
            <w:r/>
            <w:r>
              <w:rPr>
                <w:rFonts w:ascii="Aptos" w:hAnsi="Aptos"/>
                <w:b w:val="0"/>
                <w:sz w:val="14"/>
              </w:rPr>
              <w:t>What Is an Emergency Fund?</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Resilience</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ER-002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Many Months of Expenses Should You Keep?</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Resilience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tcPr>
          <w:p>
            <w:pPr>
              <w:spacing w:after="0"/>
            </w:pPr>
            <w:r/>
            <w:r>
              <w:rPr>
                <w:rFonts w:ascii="Aptos" w:hAnsi="Aptos"/>
                <w:b w:val="0"/>
                <w:sz w:val="14"/>
              </w:rPr>
              <w:t>ER-003</w:t>
            </w:r>
          </w:p>
        </w:tc>
        <w:tc>
          <w:tcPr>
            <w:tcW w:type="dxa" w:w="4680"/>
            <w:vAlign w:val="center"/>
            <w:tcMar>
              <w:top w:w="55" w:type="dxa"/>
              <w:start w:w="65" w:type="dxa"/>
              <w:bottom w:w="55" w:type="dxa"/>
              <w:end w:w="65" w:type="dxa"/>
            </w:tcMar>
          </w:tcPr>
          <w:p>
            <w:pPr>
              <w:spacing w:after="0"/>
            </w:pPr>
            <w:r/>
            <w:r>
              <w:rPr>
                <w:rFonts w:ascii="Aptos" w:hAnsi="Aptos"/>
                <w:b w:val="0"/>
                <w:sz w:val="14"/>
              </w:rPr>
              <w:t>Emergency Savings vs Investments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Resilience</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ER-004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Happens Financially If Your Income Stops?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Resilience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tcPr>
          <w:p>
            <w:pPr>
              <w:spacing w:after="0"/>
            </w:pPr>
            <w:r/>
            <w:r>
              <w:rPr>
                <w:rFonts w:ascii="Aptos" w:hAnsi="Aptos"/>
                <w:b w:val="0"/>
                <w:sz w:val="14"/>
              </w:rPr>
              <w:t>ER-005</w:t>
            </w:r>
          </w:p>
        </w:tc>
        <w:tc>
          <w:tcPr>
            <w:tcW w:type="dxa" w:w="4680"/>
            <w:vAlign w:val="center"/>
            <w:tcMar>
              <w:top w:w="55" w:type="dxa"/>
              <w:start w:w="65" w:type="dxa"/>
              <w:bottom w:w="55" w:type="dxa"/>
              <w:end w:w="65" w:type="dxa"/>
            </w:tcMar>
          </w:tcPr>
          <w:p>
            <w:pPr>
              <w:spacing w:after="0"/>
            </w:pPr>
            <w:r/>
            <w:r>
              <w:rPr>
                <w:rFonts w:ascii="Aptos" w:hAnsi="Aptos"/>
                <w:b w:val="0"/>
                <w:sz w:val="14"/>
              </w:rPr>
              <w:t>Financial Resilience Explained</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Resilience</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ER-006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Build Financial Resilience Step by Step</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Resilience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tcPr>
          <w:p>
            <w:pPr>
              <w:spacing w:after="0"/>
            </w:pPr>
            <w:r/>
            <w:r>
              <w:rPr>
                <w:rFonts w:ascii="Aptos" w:hAnsi="Aptos"/>
                <w:b w:val="0"/>
                <w:sz w:val="14"/>
              </w:rPr>
              <w:t>ER-007</w:t>
            </w:r>
          </w:p>
        </w:tc>
        <w:tc>
          <w:tcPr>
            <w:tcW w:type="dxa" w:w="4680"/>
            <w:vAlign w:val="center"/>
            <w:tcMar>
              <w:top w:w="55" w:type="dxa"/>
              <w:start w:w="65" w:type="dxa"/>
              <w:bottom w:w="55" w:type="dxa"/>
              <w:end w:w="65" w:type="dxa"/>
            </w:tcMar>
          </w:tcPr>
          <w:p>
            <w:pPr>
              <w:spacing w:after="0"/>
            </w:pPr>
            <w:r/>
            <w:r>
              <w:rPr>
                <w:rFonts w:ascii="Aptos" w:hAnsi="Aptos"/>
                <w:b w:val="0"/>
                <w:sz w:val="14"/>
              </w:rPr>
              <w:t>Why Liquidity Matters Even When You Have Significant Assets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Resilience</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ER-008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Stress-Test Your Household Finances for an Emergency</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Resilience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Resilience</w:t>
            </w:r>
          </w:p>
        </w:tc>
      </w:tr>
    </w:tbl>
    <w:p>
      <w:pPr>
        <w:spacing w:after="0"/>
      </w:pPr>
    </w:p>
    <w:p>
      <w:pPr>
        <w:pStyle w:val="Heading2"/>
      </w:pPr>
      <w:r>
        <w:t>Debt &amp; Borrowing</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DB-001</w:t>
            </w:r>
          </w:p>
        </w:tc>
        <w:tc>
          <w:tcPr>
            <w:tcW w:type="dxa" w:w="4680"/>
            <w:vAlign w:val="center"/>
            <w:tcMar>
              <w:top w:w="55" w:type="dxa"/>
              <w:start w:w="65" w:type="dxa"/>
              <w:bottom w:w="55" w:type="dxa"/>
              <w:end w:w="65" w:type="dxa"/>
            </w:tcMar>
          </w:tcPr>
          <w:p>
            <w:pPr>
              <w:spacing w:after="0"/>
            </w:pPr>
            <w:r/>
            <w:r>
              <w:rPr>
                <w:rFonts w:ascii="Aptos" w:hAnsi="Aptos"/>
                <w:b w:val="0"/>
                <w:sz w:val="14"/>
              </w:rPr>
              <w:t>Good Debt vs Bad Debt</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DB-002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Understanding Your Debt-to-Income Ratio</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DB-003</w:t>
            </w:r>
          </w:p>
        </w:tc>
        <w:tc>
          <w:tcPr>
            <w:tcW w:type="dxa" w:w="4680"/>
            <w:vAlign w:val="center"/>
            <w:tcMar>
              <w:top w:w="55" w:type="dxa"/>
              <w:start w:w="65" w:type="dxa"/>
              <w:bottom w:w="55" w:type="dxa"/>
              <w:end w:w="65" w:type="dxa"/>
            </w:tcMar>
          </w:tcPr>
          <w:p>
            <w:pPr>
              <w:spacing w:after="0"/>
            </w:pPr>
            <w:r/>
            <w:r>
              <w:rPr>
                <w:rFonts w:ascii="Aptos" w:hAnsi="Aptos"/>
                <w:b w:val="0"/>
                <w:sz w:val="14"/>
              </w:rPr>
              <w:t>Understanding Your Debt Service Ratio</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DB-004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Interest Rates Affect Your Loan Repayments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DB-005</w:t>
            </w:r>
          </w:p>
        </w:tc>
        <w:tc>
          <w:tcPr>
            <w:tcW w:type="dxa" w:w="4680"/>
            <w:vAlign w:val="center"/>
            <w:tcMar>
              <w:top w:w="55" w:type="dxa"/>
              <w:start w:w="65" w:type="dxa"/>
              <w:bottom w:w="55" w:type="dxa"/>
              <w:end w:w="65" w:type="dxa"/>
            </w:tcMar>
          </w:tcPr>
          <w:p>
            <w:pPr>
              <w:spacing w:after="0"/>
            </w:pPr>
            <w:r/>
            <w:r>
              <w:rPr>
                <w:rFonts w:ascii="Aptos" w:hAnsi="Aptos"/>
                <w:b w:val="0"/>
                <w:sz w:val="14"/>
              </w:rPr>
              <w:t>Credit Card Debt Explained</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DB-006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Why Minimum Credit Card Payments Can Become Expensive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DB-007</w:t>
            </w:r>
          </w:p>
        </w:tc>
        <w:tc>
          <w:tcPr>
            <w:tcW w:type="dxa" w:w="4680"/>
            <w:vAlign w:val="center"/>
            <w:tcMar>
              <w:top w:w="55" w:type="dxa"/>
              <w:start w:w="65" w:type="dxa"/>
              <w:bottom w:w="55" w:type="dxa"/>
              <w:end w:w="65" w:type="dxa"/>
            </w:tcMar>
          </w:tcPr>
          <w:p>
            <w:pPr>
              <w:spacing w:after="0"/>
            </w:pPr>
            <w:r/>
            <w:r>
              <w:rPr>
                <w:rFonts w:ascii="Aptos" w:hAnsi="Aptos"/>
                <w:b w:val="0"/>
                <w:sz w:val="14"/>
              </w:rPr>
              <w:t>Snowball vs Avalanche Debt Repayment Methods</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DB-008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Mortgage Repayment vs Investing: Understanding the Trade-Off</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DB-009</w:t>
            </w:r>
          </w:p>
        </w:tc>
        <w:tc>
          <w:tcPr>
            <w:tcW w:type="dxa" w:w="4680"/>
            <w:vAlign w:val="center"/>
            <w:tcMar>
              <w:top w:w="55" w:type="dxa"/>
              <w:start w:w="65" w:type="dxa"/>
              <w:bottom w:w="55" w:type="dxa"/>
              <w:end w:w="65" w:type="dxa"/>
            </w:tcMar>
          </w:tcPr>
          <w:p>
            <w:pPr>
              <w:spacing w:after="0"/>
            </w:pPr>
            <w:r/>
            <w:r>
              <w:rPr>
                <w:rFonts w:ascii="Aptos" w:hAnsi="Aptos"/>
                <w:b w:val="0"/>
                <w:sz w:val="14"/>
              </w:rPr>
              <w:t>How to Prioritise Multiple Debts</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DB-010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Debt Affects Your Financial Resilience and Future Goals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Debt Position</w:t>
            </w:r>
          </w:p>
        </w:tc>
      </w:tr>
    </w:tbl>
    <w:p>
      <w:pPr>
        <w:spacing w:after="0"/>
      </w:pPr>
    </w:p>
    <w:p>
      <w:pPr>
        <w:pStyle w:val="Heading2"/>
      </w:pPr>
      <w:r>
        <w:t>Assets &amp; Net Worth</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NW-001</w:t>
            </w:r>
          </w:p>
        </w:tc>
        <w:tc>
          <w:tcPr>
            <w:tcW w:type="dxa" w:w="4680"/>
            <w:vAlign w:val="center"/>
            <w:tcMar>
              <w:top w:w="55" w:type="dxa"/>
              <w:start w:w="65" w:type="dxa"/>
              <w:bottom w:w="55" w:type="dxa"/>
              <w:end w:w="65" w:type="dxa"/>
            </w:tcMar>
          </w:tcPr>
          <w:p>
            <w:pPr>
              <w:spacing w:after="0"/>
            </w:pPr>
            <w:r/>
            <w:r>
              <w:rPr>
                <w:rFonts w:ascii="Aptos" w:hAnsi="Aptos"/>
                <w:b w:val="0"/>
                <w:sz w:val="14"/>
              </w:rPr>
              <w:t>What Is Net Worth?</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Input Data - Assets</w:t>
            </w:r>
          </w:p>
        </w:tc>
        <w:tc>
          <w:tcPr>
            <w:tcW w:type="dxa" w:w="2520"/>
            <w:vAlign w:val="center"/>
            <w:tcMar>
              <w:top w:w="55" w:type="dxa"/>
              <w:start w:w="65" w:type="dxa"/>
              <w:bottom w:w="55" w:type="dxa"/>
              <w:end w:w="65" w:type="dxa"/>
            </w:tcMar>
          </w:tcPr>
          <w:p>
            <w:pPr>
              <w:spacing w:after="0"/>
            </w:pPr>
            <w:r/>
            <w:r>
              <w:rPr>
                <w:rFonts w:ascii="Aptos" w:hAnsi="Aptos"/>
                <w:b w:val="0"/>
                <w:sz w:val="14"/>
              </w:rPr>
              <w:t>See My Net Worth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NW-002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Assets vs Liabilities: The Building Blocks of Net Worth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Assets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See My Net Worth</w:t>
            </w:r>
          </w:p>
        </w:tc>
      </w:tr>
      <w:tr>
        <w:tc>
          <w:tcPr>
            <w:tcW w:type="dxa" w:w="1037"/>
            <w:vAlign w:val="center"/>
            <w:tcMar>
              <w:top w:w="55" w:type="dxa"/>
              <w:start w:w="65" w:type="dxa"/>
              <w:bottom w:w="55" w:type="dxa"/>
              <w:end w:w="65" w:type="dxa"/>
            </w:tcMar>
          </w:tcPr>
          <w:p>
            <w:pPr>
              <w:spacing w:after="0"/>
            </w:pPr>
            <w:r/>
            <w:r>
              <w:rPr>
                <w:rFonts w:ascii="Aptos" w:hAnsi="Aptos"/>
                <w:b w:val="0"/>
                <w:sz w:val="14"/>
              </w:rPr>
              <w:t>NW-003</w:t>
            </w:r>
          </w:p>
        </w:tc>
        <w:tc>
          <w:tcPr>
            <w:tcW w:type="dxa" w:w="4680"/>
            <w:vAlign w:val="center"/>
            <w:tcMar>
              <w:top w:w="55" w:type="dxa"/>
              <w:start w:w="65" w:type="dxa"/>
              <w:bottom w:w="55" w:type="dxa"/>
              <w:end w:w="65" w:type="dxa"/>
            </w:tcMar>
          </w:tcPr>
          <w:p>
            <w:pPr>
              <w:spacing w:after="0"/>
            </w:pPr>
            <w:r/>
            <w:r>
              <w:rPr>
                <w:rFonts w:ascii="Aptos" w:hAnsi="Aptos"/>
                <w:b w:val="0"/>
                <w:sz w:val="14"/>
              </w:rPr>
              <w:t>Why Net Worth Can Matter More Than Salary</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Input Data - Assets</w:t>
            </w:r>
          </w:p>
        </w:tc>
        <w:tc>
          <w:tcPr>
            <w:tcW w:type="dxa" w:w="2520"/>
            <w:vAlign w:val="center"/>
            <w:tcMar>
              <w:top w:w="55" w:type="dxa"/>
              <w:start w:w="65" w:type="dxa"/>
              <w:bottom w:w="55" w:type="dxa"/>
              <w:end w:w="65" w:type="dxa"/>
            </w:tcMar>
          </w:tcPr>
          <w:p>
            <w:pPr>
              <w:spacing w:after="0"/>
            </w:pPr>
            <w:r/>
            <w:r>
              <w:rPr>
                <w:rFonts w:ascii="Aptos" w:hAnsi="Aptos"/>
                <w:b w:val="0"/>
                <w:sz w:val="14"/>
              </w:rPr>
              <w:t>See My Net Worth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NW-004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Does Negative Net Worth Mean?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Assets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See My Net Worth</w:t>
            </w:r>
          </w:p>
        </w:tc>
      </w:tr>
      <w:tr>
        <w:tc>
          <w:tcPr>
            <w:tcW w:type="dxa" w:w="1037"/>
            <w:vAlign w:val="center"/>
            <w:tcMar>
              <w:top w:w="55" w:type="dxa"/>
              <w:start w:w="65" w:type="dxa"/>
              <w:bottom w:w="55" w:type="dxa"/>
              <w:end w:w="65" w:type="dxa"/>
            </w:tcMar>
          </w:tcPr>
          <w:p>
            <w:pPr>
              <w:spacing w:after="0"/>
            </w:pPr>
            <w:r/>
            <w:r>
              <w:rPr>
                <w:rFonts w:ascii="Aptos" w:hAnsi="Aptos"/>
                <w:b w:val="0"/>
                <w:sz w:val="14"/>
              </w:rPr>
              <w:t>NW-005</w:t>
            </w:r>
          </w:p>
        </w:tc>
        <w:tc>
          <w:tcPr>
            <w:tcW w:type="dxa" w:w="4680"/>
            <w:vAlign w:val="center"/>
            <w:tcMar>
              <w:top w:w="55" w:type="dxa"/>
              <w:start w:w="65" w:type="dxa"/>
              <w:bottom w:w="55" w:type="dxa"/>
              <w:end w:w="65" w:type="dxa"/>
            </w:tcMar>
          </w:tcPr>
          <w:p>
            <w:pPr>
              <w:spacing w:after="0"/>
            </w:pPr>
            <w:r/>
            <w:r>
              <w:rPr>
                <w:rFonts w:ascii="Aptos" w:hAnsi="Aptos"/>
                <w:b w:val="0"/>
                <w:sz w:val="14"/>
              </w:rPr>
              <w:t>How to Track Net Worth Over Time</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Input Data - Assets</w:t>
            </w:r>
          </w:p>
        </w:tc>
        <w:tc>
          <w:tcPr>
            <w:tcW w:type="dxa" w:w="2520"/>
            <w:vAlign w:val="center"/>
            <w:tcMar>
              <w:top w:w="55" w:type="dxa"/>
              <w:start w:w="65" w:type="dxa"/>
              <w:bottom w:w="55" w:type="dxa"/>
              <w:end w:w="65" w:type="dxa"/>
            </w:tcMar>
          </w:tcPr>
          <w:p>
            <w:pPr>
              <w:spacing w:after="0"/>
            </w:pPr>
            <w:r/>
            <w:r>
              <w:rPr>
                <w:rFonts w:ascii="Aptos" w:hAnsi="Aptos"/>
                <w:b w:val="0"/>
                <w:sz w:val="14"/>
              </w:rPr>
              <w:t>See My Net Worth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NW-006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Liquid Assets vs Illiquid Assets: Why the Difference Matters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Assets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See My Net Worth</w:t>
            </w:r>
          </w:p>
        </w:tc>
      </w:tr>
    </w:tbl>
    <w:p>
      <w:pPr>
        <w:spacing w:after="0"/>
      </w:pPr>
    </w:p>
    <w:p>
      <w:pPr>
        <w:pStyle w:val="Heading2"/>
      </w:pPr>
      <w:r>
        <w:t>Goals &amp; Planning</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GL-001</w:t>
            </w:r>
          </w:p>
        </w:tc>
        <w:tc>
          <w:tcPr>
            <w:tcW w:type="dxa" w:w="4680"/>
            <w:vAlign w:val="center"/>
            <w:tcMar>
              <w:top w:w="55" w:type="dxa"/>
              <w:start w:w="65" w:type="dxa"/>
              <w:bottom w:w="55" w:type="dxa"/>
              <w:end w:w="65" w:type="dxa"/>
            </w:tcMar>
          </w:tcPr>
          <w:p>
            <w:pPr>
              <w:spacing w:after="0"/>
            </w:pPr>
            <w:r/>
            <w:r>
              <w:rPr>
                <w:rFonts w:ascii="Aptos" w:hAnsi="Aptos"/>
                <w:b w:val="0"/>
                <w:sz w:val="14"/>
              </w:rPr>
              <w:t>How to Turn Financial Dreams into Measurable Goals</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Goals</w:t>
            </w:r>
          </w:p>
        </w:tc>
        <w:tc>
          <w:tcPr>
            <w:tcW w:type="dxa" w:w="2520"/>
            <w:vAlign w:val="center"/>
            <w:tcMar>
              <w:top w:w="55" w:type="dxa"/>
              <w:start w:w="65" w:type="dxa"/>
              <w:bottom w:w="55" w:type="dxa"/>
              <w:end w:w="65" w:type="dxa"/>
            </w:tcMar>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Short-, Medium- and Long-Term Financial Goals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Goals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tcPr>
          <w:p>
            <w:pPr>
              <w:spacing w:after="0"/>
            </w:pPr>
            <w:r/>
            <w:r>
              <w:rPr>
                <w:rFonts w:ascii="Aptos" w:hAnsi="Aptos"/>
                <w:b w:val="0"/>
                <w:sz w:val="14"/>
              </w:rPr>
              <w:t>GL-003</w:t>
            </w:r>
          </w:p>
        </w:tc>
        <w:tc>
          <w:tcPr>
            <w:tcW w:type="dxa" w:w="4680"/>
            <w:vAlign w:val="center"/>
            <w:tcMar>
              <w:top w:w="55" w:type="dxa"/>
              <w:start w:w="65" w:type="dxa"/>
              <w:bottom w:w="55" w:type="dxa"/>
              <w:end w:w="65" w:type="dxa"/>
            </w:tcMar>
          </w:tcPr>
          <w:p>
            <w:pPr>
              <w:spacing w:after="0"/>
            </w:pPr>
            <w:r/>
            <w:r>
              <w:rPr>
                <w:rFonts w:ascii="Aptos" w:hAnsi="Aptos"/>
                <w:b w:val="0"/>
                <w:sz w:val="14"/>
              </w:rPr>
              <w:t>How Inflation Changes the Future Cost of Your Goals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Goals</w:t>
            </w:r>
          </w:p>
        </w:tc>
        <w:tc>
          <w:tcPr>
            <w:tcW w:type="dxa" w:w="2520"/>
            <w:vAlign w:val="center"/>
            <w:tcMar>
              <w:top w:w="55" w:type="dxa"/>
              <w:start w:w="65" w:type="dxa"/>
              <w:bottom w:w="55" w:type="dxa"/>
              <w:end w:w="65" w:type="dxa"/>
            </w:tcMar>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Prioritise Competing Financial Goals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Goals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tcPr>
          <w:p>
            <w:pPr>
              <w:spacing w:after="0"/>
            </w:pPr>
            <w:r/>
            <w:r>
              <w:rPr>
                <w:rFonts w:ascii="Aptos" w:hAnsi="Aptos"/>
                <w:b w:val="0"/>
                <w:sz w:val="14"/>
              </w:rPr>
              <w:t>GL-005</w:t>
            </w:r>
          </w:p>
        </w:tc>
        <w:tc>
          <w:tcPr>
            <w:tcW w:type="dxa" w:w="4680"/>
            <w:vAlign w:val="center"/>
            <w:tcMar>
              <w:top w:w="55" w:type="dxa"/>
              <w:start w:w="65" w:type="dxa"/>
              <w:bottom w:w="55" w:type="dxa"/>
              <w:end w:w="65" w:type="dxa"/>
            </w:tcMar>
          </w:tcPr>
          <w:p>
            <w:pPr>
              <w:spacing w:after="0"/>
            </w:pPr>
            <w:r/>
            <w:r>
              <w:rPr>
                <w:rFonts w:ascii="Aptos" w:hAnsi="Aptos"/>
                <w:b w:val="0"/>
                <w:sz w:val="14"/>
              </w:rPr>
              <w:t>How to Measure Whether a Goal Is On Track</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Goals</w:t>
            </w:r>
          </w:p>
        </w:tc>
        <w:tc>
          <w:tcPr>
            <w:tcW w:type="dxa" w:w="2520"/>
            <w:vAlign w:val="center"/>
            <w:tcMar>
              <w:top w:w="55" w:type="dxa"/>
              <w:start w:w="65" w:type="dxa"/>
              <w:bottom w:w="55" w:type="dxa"/>
              <w:end w:w="65" w:type="dxa"/>
            </w:tcMar>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Saving for a Home Deposit: Building a Goal Plan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Goals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tcPr>
          <w:p>
            <w:pPr>
              <w:spacing w:after="0"/>
            </w:pPr>
            <w:r/>
            <w:r>
              <w:rPr>
                <w:rFonts w:ascii="Aptos" w:hAnsi="Aptos"/>
                <w:b w:val="0"/>
                <w:sz w:val="14"/>
              </w:rPr>
              <w:t>GL-007</w:t>
            </w:r>
          </w:p>
        </w:tc>
        <w:tc>
          <w:tcPr>
            <w:tcW w:type="dxa" w:w="4680"/>
            <w:vAlign w:val="center"/>
            <w:tcMar>
              <w:top w:w="55" w:type="dxa"/>
              <w:start w:w="65" w:type="dxa"/>
              <w:bottom w:w="55" w:type="dxa"/>
              <w:end w:w="65" w:type="dxa"/>
            </w:tcMar>
          </w:tcPr>
          <w:p>
            <w:pPr>
              <w:spacing w:after="0"/>
            </w:pPr>
            <w:r/>
            <w:r>
              <w:rPr>
                <w:rFonts w:ascii="Aptos" w:hAnsi="Aptos"/>
                <w:b w:val="0"/>
                <w:sz w:val="14"/>
              </w:rPr>
              <w:t>Planning for Children's Education Costs</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Goals</w:t>
            </w:r>
          </w:p>
        </w:tc>
        <w:tc>
          <w:tcPr>
            <w:tcW w:type="dxa" w:w="2520"/>
            <w:vAlign w:val="center"/>
            <w:tcMar>
              <w:top w:w="55" w:type="dxa"/>
              <w:start w:w="65" w:type="dxa"/>
              <w:bottom w:w="55" w:type="dxa"/>
              <w:end w:w="65" w:type="dxa"/>
            </w:tcMar>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Link Investments to Specific Financial Goals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Goals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Goals</w:t>
            </w:r>
          </w:p>
        </w:tc>
      </w:tr>
    </w:tbl>
    <w:p>
      <w:pPr>
        <w:spacing w:after="0"/>
      </w:pPr>
    </w:p>
    <w:p>
      <w:pPr>
        <w:pStyle w:val="Heading2"/>
      </w:pPr>
      <w:r>
        <w:t>Investing &amp; Building Wealth</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IN-001</w:t>
            </w:r>
          </w:p>
        </w:tc>
        <w:tc>
          <w:tcPr>
            <w:tcW w:type="dxa" w:w="4680"/>
            <w:vAlign w:val="center"/>
            <w:tcMar>
              <w:top w:w="55" w:type="dxa"/>
              <w:start w:w="65" w:type="dxa"/>
              <w:bottom w:w="55" w:type="dxa"/>
              <w:end w:w="65" w:type="dxa"/>
            </w:tcMar>
          </w:tcPr>
          <w:p>
            <w:pPr>
              <w:spacing w:after="0"/>
            </w:pPr>
            <w:r/>
            <w:r>
              <w:rPr>
                <w:rFonts w:ascii="Aptos" w:hAnsi="Aptos"/>
                <w:b w:val="0"/>
                <w:sz w:val="14"/>
              </w:rPr>
              <w:t>Saving vs Investing: When Does Each Make Sense?</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Investments</w:t>
            </w:r>
          </w:p>
        </w:tc>
        <w:tc>
          <w:tcPr>
            <w:tcW w:type="dxa" w:w="2520"/>
            <w:vAlign w:val="center"/>
            <w:tcMar>
              <w:top w:w="55" w:type="dxa"/>
              <w:start w:w="65" w:type="dxa"/>
              <w:bottom w:w="55" w:type="dxa"/>
              <w:end w:w="65" w:type="dxa"/>
            </w:tcMar>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IN-002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Investment Risk Explained in Plain English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tcPr>
          <w:p>
            <w:pPr>
              <w:spacing w:after="0"/>
            </w:pPr>
            <w:r/>
            <w:r>
              <w:rPr>
                <w:rFonts w:ascii="Aptos" w:hAnsi="Aptos"/>
                <w:b w:val="0"/>
                <w:sz w:val="14"/>
              </w:rPr>
              <w:t>IN-003</w:t>
            </w:r>
          </w:p>
        </w:tc>
        <w:tc>
          <w:tcPr>
            <w:tcW w:type="dxa" w:w="4680"/>
            <w:vAlign w:val="center"/>
            <w:tcMar>
              <w:top w:w="55" w:type="dxa"/>
              <w:start w:w="65" w:type="dxa"/>
              <w:bottom w:w="55" w:type="dxa"/>
              <w:end w:w="65" w:type="dxa"/>
            </w:tcMar>
          </w:tcPr>
          <w:p>
            <w:pPr>
              <w:spacing w:after="0"/>
            </w:pPr>
            <w:r/>
            <w:r>
              <w:rPr>
                <w:rFonts w:ascii="Aptos" w:hAnsi="Aptos"/>
                <w:b w:val="0"/>
                <w:sz w:val="14"/>
              </w:rPr>
              <w:t>Risk and Return: Why They Usually Move Together</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Investments</w:t>
            </w:r>
          </w:p>
        </w:tc>
        <w:tc>
          <w:tcPr>
            <w:tcW w:type="dxa" w:w="2520"/>
            <w:vAlign w:val="center"/>
            <w:tcMar>
              <w:top w:w="55" w:type="dxa"/>
              <w:start w:w="65" w:type="dxa"/>
              <w:bottom w:w="55" w:type="dxa"/>
              <w:end w:w="65" w:type="dxa"/>
            </w:tcMar>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IN-004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Diversification Explained</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tcPr>
          <w:p>
            <w:pPr>
              <w:spacing w:after="0"/>
            </w:pPr>
            <w:r/>
            <w:r>
              <w:rPr>
                <w:rFonts w:ascii="Aptos" w:hAnsi="Aptos"/>
                <w:b w:val="0"/>
                <w:sz w:val="14"/>
              </w:rPr>
              <w:t>IN-005</w:t>
            </w:r>
          </w:p>
        </w:tc>
        <w:tc>
          <w:tcPr>
            <w:tcW w:type="dxa" w:w="4680"/>
            <w:vAlign w:val="center"/>
            <w:tcMar>
              <w:top w:w="55" w:type="dxa"/>
              <w:start w:w="65" w:type="dxa"/>
              <w:bottom w:w="55" w:type="dxa"/>
              <w:end w:w="65" w:type="dxa"/>
            </w:tcMar>
          </w:tcPr>
          <w:p>
            <w:pPr>
              <w:spacing w:after="0"/>
            </w:pPr>
            <w:r/>
            <w:r>
              <w:rPr>
                <w:rFonts w:ascii="Aptos" w:hAnsi="Aptos"/>
                <w:b w:val="0"/>
                <w:sz w:val="14"/>
              </w:rPr>
              <w:t>Asset Allocation Explained</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Investments</w:t>
            </w:r>
          </w:p>
        </w:tc>
        <w:tc>
          <w:tcPr>
            <w:tcW w:type="dxa" w:w="2520"/>
            <w:vAlign w:val="center"/>
            <w:tcMar>
              <w:top w:w="55" w:type="dxa"/>
              <w:start w:w="65" w:type="dxa"/>
              <w:bottom w:w="55" w:type="dxa"/>
              <w:end w:w="65" w:type="dxa"/>
            </w:tcMar>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IN-006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Compounding: How Growth Builds on Growth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tcPr>
          <w:p>
            <w:pPr>
              <w:spacing w:after="0"/>
            </w:pPr>
            <w:r/>
            <w:r>
              <w:rPr>
                <w:rFonts w:ascii="Aptos" w:hAnsi="Aptos"/>
                <w:b w:val="0"/>
                <w:sz w:val="14"/>
              </w:rPr>
              <w:t>IN-007</w:t>
            </w:r>
          </w:p>
        </w:tc>
        <w:tc>
          <w:tcPr>
            <w:tcW w:type="dxa" w:w="4680"/>
            <w:vAlign w:val="center"/>
            <w:tcMar>
              <w:top w:w="55" w:type="dxa"/>
              <w:start w:w="65" w:type="dxa"/>
              <w:bottom w:w="55" w:type="dxa"/>
              <w:end w:w="65" w:type="dxa"/>
            </w:tcMar>
          </w:tcPr>
          <w:p>
            <w:pPr>
              <w:spacing w:after="0"/>
            </w:pPr>
            <w:r/>
            <w:r>
              <w:rPr>
                <w:rFonts w:ascii="Aptos" w:hAnsi="Aptos"/>
                <w:b w:val="0"/>
                <w:sz w:val="14"/>
              </w:rPr>
              <w:t>Understanding Your Investment Time Horizon</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Investments</w:t>
            </w:r>
          </w:p>
        </w:tc>
        <w:tc>
          <w:tcPr>
            <w:tcW w:type="dxa" w:w="2520"/>
            <w:vAlign w:val="center"/>
            <w:tcMar>
              <w:top w:w="55" w:type="dxa"/>
              <w:start w:w="65" w:type="dxa"/>
              <w:bottom w:w="55" w:type="dxa"/>
              <w:end w:w="65" w:type="dxa"/>
            </w:tcMar>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IN-008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Liquidity in Investments: Why Access to Your Money Matters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tcPr>
          <w:p>
            <w:pPr>
              <w:spacing w:after="0"/>
            </w:pPr>
            <w:r/>
            <w:r>
              <w:rPr>
                <w:rFonts w:ascii="Aptos" w:hAnsi="Aptos"/>
                <w:b w:val="0"/>
                <w:sz w:val="14"/>
              </w:rPr>
              <w:t>IN-009</w:t>
            </w:r>
          </w:p>
        </w:tc>
        <w:tc>
          <w:tcPr>
            <w:tcW w:type="dxa" w:w="4680"/>
            <w:vAlign w:val="center"/>
            <w:tcMar>
              <w:top w:w="55" w:type="dxa"/>
              <w:start w:w="65" w:type="dxa"/>
              <w:bottom w:w="55" w:type="dxa"/>
              <w:end w:w="65" w:type="dxa"/>
            </w:tcMar>
          </w:tcPr>
          <w:p>
            <w:pPr>
              <w:spacing w:after="0"/>
            </w:pPr>
            <w:r/>
            <w:r>
              <w:rPr>
                <w:rFonts w:ascii="Aptos" w:hAnsi="Aptos"/>
                <w:b w:val="0"/>
                <w:sz w:val="14"/>
              </w:rPr>
              <w:t>Market Volatility Explained</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Investments</w:t>
            </w:r>
          </w:p>
        </w:tc>
        <w:tc>
          <w:tcPr>
            <w:tcW w:type="dxa" w:w="2520"/>
            <w:vAlign w:val="center"/>
            <w:tcMar>
              <w:top w:w="55" w:type="dxa"/>
              <w:start w:w="65" w:type="dxa"/>
              <w:bottom w:w="55" w:type="dxa"/>
              <w:end w:w="65" w:type="dxa"/>
            </w:tcMar>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IN-010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Nominal Return vs Real Return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tcPr>
          <w:p>
            <w:pPr>
              <w:spacing w:after="0"/>
            </w:pPr>
            <w:r/>
            <w:r>
              <w:rPr>
                <w:rFonts w:ascii="Aptos" w:hAnsi="Aptos"/>
                <w:b w:val="0"/>
                <w:sz w:val="14"/>
              </w:rPr>
              <w:t>IN-011</w:t>
            </w:r>
          </w:p>
        </w:tc>
        <w:tc>
          <w:tcPr>
            <w:tcW w:type="dxa" w:w="4680"/>
            <w:vAlign w:val="center"/>
            <w:tcMar>
              <w:top w:w="55" w:type="dxa"/>
              <w:start w:w="65" w:type="dxa"/>
              <w:bottom w:w="55" w:type="dxa"/>
              <w:end w:w="65" w:type="dxa"/>
            </w:tcMar>
          </w:tcPr>
          <w:p>
            <w:pPr>
              <w:spacing w:after="0"/>
            </w:pPr>
            <w:r/>
            <w:r>
              <w:rPr>
                <w:rFonts w:ascii="Aptos" w:hAnsi="Aptos"/>
                <w:b w:val="0"/>
                <w:sz w:val="14"/>
              </w:rPr>
              <w:t>How Fees Can Affect Long-Term Investment Outcomes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Investments</w:t>
            </w:r>
          </w:p>
        </w:tc>
        <w:tc>
          <w:tcPr>
            <w:tcW w:type="dxa" w:w="2520"/>
            <w:vAlign w:val="center"/>
            <w:tcMar>
              <w:top w:w="55" w:type="dxa"/>
              <w:start w:w="65" w:type="dxa"/>
              <w:bottom w:w="55" w:type="dxa"/>
              <w:end w:w="65" w:type="dxa"/>
            </w:tcMar>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IN-012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Rebalancing: Why Your Asset Mix Changes Over Time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Investments</w:t>
            </w:r>
          </w:p>
        </w:tc>
      </w:tr>
    </w:tbl>
    <w:p>
      <w:pPr>
        <w:spacing w:after="0"/>
      </w:pPr>
    </w:p>
    <w:p>
      <w:pPr>
        <w:pStyle w:val="Heading2"/>
      </w:pPr>
      <w:r>
        <w:t>Retirement - Australia</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RAU-001</w:t>
            </w:r>
          </w:p>
        </w:tc>
        <w:tc>
          <w:tcPr>
            <w:tcW w:type="dxa" w:w="4680"/>
            <w:vAlign w:val="center"/>
            <w:tcMar>
              <w:top w:w="55" w:type="dxa"/>
              <w:start w:w="65" w:type="dxa"/>
              <w:bottom w:w="55" w:type="dxa"/>
              <w:end w:w="65" w:type="dxa"/>
            </w:tcMar>
          </w:tcPr>
          <w:p>
            <w:pPr>
              <w:spacing w:after="0"/>
            </w:pPr>
            <w:r/>
            <w:r>
              <w:rPr>
                <w:rFonts w:ascii="Aptos" w:hAnsi="Aptos"/>
                <w:b w:val="0"/>
                <w:sz w:val="14"/>
              </w:rPr>
              <w:t>Superannuation Explained for Beginners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RAU-002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Superannuation Contributions Build Retirement Savings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tcPr>
          <w:p>
            <w:pPr>
              <w:spacing w:after="0"/>
            </w:pPr>
            <w:r/>
            <w:r>
              <w:rPr>
                <w:rFonts w:ascii="Aptos" w:hAnsi="Aptos"/>
                <w:b w:val="0"/>
                <w:sz w:val="14"/>
              </w:rPr>
              <w:t>RAU-003</w:t>
            </w:r>
          </w:p>
        </w:tc>
        <w:tc>
          <w:tcPr>
            <w:tcW w:type="dxa" w:w="4680"/>
            <w:vAlign w:val="center"/>
            <w:tcMar>
              <w:top w:w="55" w:type="dxa"/>
              <w:start w:w="65" w:type="dxa"/>
              <w:bottom w:w="55" w:type="dxa"/>
              <w:end w:w="65" w:type="dxa"/>
            </w:tcMar>
          </w:tcPr>
          <w:p>
            <w:pPr>
              <w:spacing w:after="0"/>
            </w:pPr>
            <w:r/>
            <w:r>
              <w:rPr>
                <w:rFonts w:ascii="Aptos" w:hAnsi="Aptos"/>
                <w:b w:val="0"/>
                <w:sz w:val="14"/>
              </w:rPr>
              <w:t>Understanding Retirement Readiness in Australia</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RAU-004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Inflation Affects Retirement Income Needs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tcPr>
          <w:p>
            <w:pPr>
              <w:spacing w:after="0"/>
            </w:pPr>
            <w:r/>
            <w:r>
              <w:rPr>
                <w:rFonts w:ascii="Aptos" w:hAnsi="Aptos"/>
                <w:b w:val="0"/>
                <w:sz w:val="14"/>
              </w:rPr>
              <w:t>RAU-005</w:t>
            </w:r>
          </w:p>
        </w:tc>
        <w:tc>
          <w:tcPr>
            <w:tcW w:type="dxa" w:w="4680"/>
            <w:vAlign w:val="center"/>
            <w:tcMar>
              <w:top w:w="55" w:type="dxa"/>
              <w:start w:w="65" w:type="dxa"/>
              <w:bottom w:w="55" w:type="dxa"/>
              <w:end w:w="65" w:type="dxa"/>
            </w:tcMar>
          </w:tcPr>
          <w:p>
            <w:pPr>
              <w:spacing w:after="0"/>
            </w:pPr>
            <w:r/>
            <w:r>
              <w:rPr>
                <w:rFonts w:ascii="Aptos" w:hAnsi="Aptos"/>
                <w:b w:val="0"/>
                <w:sz w:val="14"/>
              </w:rPr>
              <w:t>Accumulation vs Retirement Phase: The Big Picture</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RAU-006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Think About Your Retirement Time Horizon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tcPr>
          <w:p>
            <w:pPr>
              <w:spacing w:after="0"/>
            </w:pPr>
            <w:r/>
            <w:r>
              <w:rPr>
                <w:rFonts w:ascii="Aptos" w:hAnsi="Aptos"/>
                <w:b w:val="0"/>
                <w:sz w:val="14"/>
              </w:rPr>
              <w:t>RAU-007</w:t>
            </w:r>
          </w:p>
        </w:tc>
        <w:tc>
          <w:tcPr>
            <w:tcW w:type="dxa" w:w="4680"/>
            <w:vAlign w:val="center"/>
            <w:tcMar>
              <w:top w:w="55" w:type="dxa"/>
              <w:start w:w="65" w:type="dxa"/>
              <w:bottom w:w="55" w:type="dxa"/>
              <w:end w:w="65" w:type="dxa"/>
            </w:tcMar>
          </w:tcPr>
          <w:p>
            <w:pPr>
              <w:spacing w:after="0"/>
            </w:pPr>
            <w:r/>
            <w:r>
              <w:rPr>
                <w:rFonts w:ascii="Aptos" w:hAnsi="Aptos"/>
                <w:b w:val="0"/>
                <w:sz w:val="14"/>
              </w:rPr>
              <w:t>Consolidating Super: What to Understand Before You Act</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RAU-008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Retirement Income Sources in Australia: A High-Level Guide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bl>
    <w:p>
      <w:pPr>
        <w:spacing w:after="0"/>
      </w:pPr>
    </w:p>
    <w:p>
      <w:pPr>
        <w:pStyle w:val="Heading2"/>
      </w:pPr>
      <w:r>
        <w:t>Retirement - India</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RIN-001</w:t>
            </w:r>
          </w:p>
        </w:tc>
        <w:tc>
          <w:tcPr>
            <w:tcW w:type="dxa" w:w="4680"/>
            <w:vAlign w:val="center"/>
            <w:tcMar>
              <w:top w:w="55" w:type="dxa"/>
              <w:start w:w="65" w:type="dxa"/>
              <w:bottom w:w="55" w:type="dxa"/>
              <w:end w:w="65" w:type="dxa"/>
            </w:tcMar>
          </w:tcPr>
          <w:p>
            <w:pPr>
              <w:spacing w:after="0"/>
            </w:pPr>
            <w:r/>
            <w:r>
              <w:rPr>
                <w:rFonts w:ascii="Aptos" w:hAnsi="Aptos"/>
                <w:b w:val="0"/>
                <w:sz w:val="14"/>
              </w:rPr>
              <w:t>EPF Explained for Beginners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India</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RIN-002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PPF Explained for Beginners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tcPr>
          <w:p>
            <w:pPr>
              <w:spacing w:after="0"/>
            </w:pPr>
            <w:r/>
            <w:r>
              <w:rPr>
                <w:rFonts w:ascii="Aptos" w:hAnsi="Aptos"/>
                <w:b w:val="0"/>
                <w:sz w:val="14"/>
              </w:rPr>
              <w:t>RIN-003</w:t>
            </w:r>
          </w:p>
        </w:tc>
        <w:tc>
          <w:tcPr>
            <w:tcW w:type="dxa" w:w="4680"/>
            <w:vAlign w:val="center"/>
            <w:tcMar>
              <w:top w:w="55" w:type="dxa"/>
              <w:start w:w="65" w:type="dxa"/>
              <w:bottom w:w="55" w:type="dxa"/>
              <w:end w:w="65" w:type="dxa"/>
            </w:tcMar>
          </w:tcPr>
          <w:p>
            <w:pPr>
              <w:spacing w:after="0"/>
            </w:pPr>
            <w:r/>
            <w:r>
              <w:rPr>
                <w:rFonts w:ascii="Aptos" w:hAnsi="Aptos"/>
                <w:b w:val="0"/>
                <w:sz w:val="14"/>
              </w:rPr>
              <w:t>NPS Explained for Beginners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India</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RIN-004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Is a Retirement Corpus?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tcPr>
          <w:p>
            <w:pPr>
              <w:spacing w:after="0"/>
            </w:pPr>
            <w:r/>
            <w:r>
              <w:rPr>
                <w:rFonts w:ascii="Aptos" w:hAnsi="Aptos"/>
                <w:b w:val="0"/>
                <w:sz w:val="14"/>
              </w:rPr>
              <w:t>RIN-005</w:t>
            </w:r>
          </w:p>
        </w:tc>
        <w:tc>
          <w:tcPr>
            <w:tcW w:type="dxa" w:w="4680"/>
            <w:vAlign w:val="center"/>
            <w:tcMar>
              <w:top w:w="55" w:type="dxa"/>
              <w:start w:w="65" w:type="dxa"/>
              <w:bottom w:w="55" w:type="dxa"/>
              <w:end w:w="65" w:type="dxa"/>
            </w:tcMar>
          </w:tcPr>
          <w:p>
            <w:pPr>
              <w:spacing w:after="0"/>
            </w:pPr>
            <w:r/>
            <w:r>
              <w:rPr>
                <w:rFonts w:ascii="Aptos" w:hAnsi="Aptos"/>
                <w:b w:val="0"/>
                <w:sz w:val="14"/>
              </w:rPr>
              <w:t>Understanding Retirement Readiness in India</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RIN-006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Inflation Affects Retirement Planning in India</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tcPr>
          <w:p>
            <w:pPr>
              <w:spacing w:after="0"/>
            </w:pPr>
            <w:r/>
            <w:r>
              <w:rPr>
                <w:rFonts w:ascii="Aptos" w:hAnsi="Aptos"/>
                <w:b w:val="0"/>
                <w:sz w:val="14"/>
              </w:rPr>
              <w:t>RIN-007</w:t>
            </w:r>
          </w:p>
        </w:tc>
        <w:tc>
          <w:tcPr>
            <w:tcW w:type="dxa" w:w="4680"/>
            <w:vAlign w:val="center"/>
            <w:tcMar>
              <w:top w:w="55" w:type="dxa"/>
              <w:start w:w="65" w:type="dxa"/>
              <w:bottom w:w="55" w:type="dxa"/>
              <w:end w:w="65" w:type="dxa"/>
            </w:tcMar>
          </w:tcPr>
          <w:p>
            <w:pPr>
              <w:spacing w:after="0"/>
            </w:pPr>
            <w:r/>
            <w:r>
              <w:rPr>
                <w:rFonts w:ascii="Aptos" w:hAnsi="Aptos"/>
                <w:b w:val="0"/>
                <w:sz w:val="14"/>
              </w:rPr>
              <w:t>How to Combine Multiple Retirement Accounts Into One View</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RIN-008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Retirement Income Planning: From Accumulation to Drawdown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Guide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bl>
    <w:p>
      <w:pPr>
        <w:spacing w:after="0"/>
      </w:pPr>
    </w:p>
    <w:p>
      <w:pPr>
        <w:pStyle w:val="Heading2"/>
      </w:pPr>
      <w:r>
        <w:t>Insurance &amp; Protection</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IP-001</w:t>
            </w:r>
          </w:p>
        </w:tc>
        <w:tc>
          <w:tcPr>
            <w:tcW w:type="dxa" w:w="4680"/>
            <w:vAlign w:val="center"/>
            <w:tcMar>
              <w:top w:w="55" w:type="dxa"/>
              <w:start w:w="65" w:type="dxa"/>
              <w:bottom w:w="55" w:type="dxa"/>
              <w:end w:w="65" w:type="dxa"/>
            </w:tcMar>
          </w:tcPr>
          <w:p>
            <w:pPr>
              <w:spacing w:after="0"/>
            </w:pPr>
            <w:r/>
            <w:r>
              <w:rPr>
                <w:rFonts w:ascii="Aptos" w:hAnsi="Aptos"/>
                <w:b w:val="0"/>
                <w:sz w:val="14"/>
              </w:rPr>
              <w:t>Why Insurance Is Part of Financial Health</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Insurance</w:t>
            </w:r>
          </w:p>
        </w:tc>
        <w:tc>
          <w:tcPr>
            <w:tcW w:type="dxa" w:w="2520"/>
            <w:vAlign w:val="center"/>
            <w:tcMar>
              <w:top w:w="55" w:type="dxa"/>
              <w:start w:w="65" w:type="dxa"/>
              <w:bottom w:w="55" w:type="dxa"/>
              <w:end w:w="65" w:type="dxa"/>
            </w:tcMar>
          </w:tcPr>
          <w:p>
            <w:pPr>
              <w:spacing w:after="0"/>
            </w:pPr>
            <w:r/>
            <w:r>
              <w:rPr>
                <w:rFonts w:ascii="Aptos" w:hAnsi="Aptos"/>
                <w:b w:val="0"/>
                <w:sz w:val="14"/>
              </w:rPr>
              <w:t>Review My Protection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IP-002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Life Insurance Explained in Plain English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Insurance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Protection</w:t>
            </w:r>
          </w:p>
        </w:tc>
      </w:tr>
      <w:tr>
        <w:tc>
          <w:tcPr>
            <w:tcW w:type="dxa" w:w="1037"/>
            <w:vAlign w:val="center"/>
            <w:tcMar>
              <w:top w:w="55" w:type="dxa"/>
              <w:start w:w="65" w:type="dxa"/>
              <w:bottom w:w="55" w:type="dxa"/>
              <w:end w:w="65" w:type="dxa"/>
            </w:tcMar>
          </w:tcPr>
          <w:p>
            <w:pPr>
              <w:spacing w:after="0"/>
            </w:pPr>
            <w:r/>
            <w:r>
              <w:rPr>
                <w:rFonts w:ascii="Aptos" w:hAnsi="Aptos"/>
                <w:b w:val="0"/>
                <w:sz w:val="14"/>
              </w:rPr>
              <w:t>IP-003</w:t>
            </w:r>
          </w:p>
        </w:tc>
        <w:tc>
          <w:tcPr>
            <w:tcW w:type="dxa" w:w="4680"/>
            <w:vAlign w:val="center"/>
            <w:tcMar>
              <w:top w:w="55" w:type="dxa"/>
              <w:start w:w="65" w:type="dxa"/>
              <w:bottom w:w="55" w:type="dxa"/>
              <w:end w:w="65" w:type="dxa"/>
            </w:tcMar>
          </w:tcPr>
          <w:p>
            <w:pPr>
              <w:spacing w:after="0"/>
            </w:pPr>
            <w:r/>
            <w:r>
              <w:rPr>
                <w:rFonts w:ascii="Aptos" w:hAnsi="Aptos"/>
                <w:b w:val="0"/>
                <w:sz w:val="14"/>
              </w:rPr>
              <w:t>Income Protection and Income Replacement Risk</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Insurance</w:t>
            </w:r>
          </w:p>
        </w:tc>
        <w:tc>
          <w:tcPr>
            <w:tcW w:type="dxa" w:w="2520"/>
            <w:vAlign w:val="center"/>
            <w:tcMar>
              <w:top w:w="55" w:type="dxa"/>
              <w:start w:w="65" w:type="dxa"/>
              <w:bottom w:w="55" w:type="dxa"/>
              <w:end w:w="65" w:type="dxa"/>
            </w:tcMar>
          </w:tcPr>
          <w:p>
            <w:pPr>
              <w:spacing w:after="0"/>
            </w:pPr>
            <w:r/>
            <w:r>
              <w:rPr>
                <w:rFonts w:ascii="Aptos" w:hAnsi="Aptos"/>
                <w:b w:val="0"/>
                <w:sz w:val="14"/>
              </w:rPr>
              <w:t>Review My Protection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IP-004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Health Insurance and Household Financial Risk</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Insurance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Protection</w:t>
            </w:r>
          </w:p>
        </w:tc>
      </w:tr>
      <w:tr>
        <w:tc>
          <w:tcPr>
            <w:tcW w:type="dxa" w:w="1037"/>
            <w:vAlign w:val="center"/>
            <w:tcMar>
              <w:top w:w="55" w:type="dxa"/>
              <w:start w:w="65" w:type="dxa"/>
              <w:bottom w:w="55" w:type="dxa"/>
              <w:end w:w="65" w:type="dxa"/>
            </w:tcMar>
          </w:tcPr>
          <w:p>
            <w:pPr>
              <w:spacing w:after="0"/>
            </w:pPr>
            <w:r/>
            <w:r>
              <w:rPr>
                <w:rFonts w:ascii="Aptos" w:hAnsi="Aptos"/>
                <w:b w:val="0"/>
                <w:sz w:val="14"/>
              </w:rPr>
              <w:t>IP-005</w:t>
            </w:r>
          </w:p>
        </w:tc>
        <w:tc>
          <w:tcPr>
            <w:tcW w:type="dxa" w:w="4680"/>
            <w:vAlign w:val="center"/>
            <w:tcMar>
              <w:top w:w="55" w:type="dxa"/>
              <w:start w:w="65" w:type="dxa"/>
              <w:bottom w:w="55" w:type="dxa"/>
              <w:end w:w="65" w:type="dxa"/>
            </w:tcMar>
          </w:tcPr>
          <w:p>
            <w:pPr>
              <w:spacing w:after="0"/>
            </w:pPr>
            <w:r/>
            <w:r>
              <w:rPr>
                <w:rFonts w:ascii="Aptos" w:hAnsi="Aptos"/>
                <w:b w:val="0"/>
                <w:sz w:val="14"/>
              </w:rPr>
              <w:t>Underinsurance: What It Means and Why It Matters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Insurance</w:t>
            </w:r>
          </w:p>
        </w:tc>
        <w:tc>
          <w:tcPr>
            <w:tcW w:type="dxa" w:w="2520"/>
            <w:vAlign w:val="center"/>
            <w:tcMar>
              <w:top w:w="55" w:type="dxa"/>
              <w:start w:w="65" w:type="dxa"/>
              <w:bottom w:w="55" w:type="dxa"/>
              <w:end w:w="65" w:type="dxa"/>
            </w:tcMar>
          </w:tcPr>
          <w:p>
            <w:pPr>
              <w:spacing w:after="0"/>
            </w:pPr>
            <w:r/>
            <w:r>
              <w:rPr>
                <w:rFonts w:ascii="Aptos" w:hAnsi="Aptos"/>
                <w:b w:val="0"/>
                <w:sz w:val="14"/>
              </w:rPr>
              <w:t>Review My Protection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IP-006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Insurance Needs Change Across Life Stages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Insurance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Protection</w:t>
            </w:r>
          </w:p>
        </w:tc>
      </w:tr>
    </w:tbl>
    <w:p>
      <w:pPr>
        <w:spacing w:after="0"/>
      </w:pPr>
    </w:p>
    <w:p>
      <w:pPr>
        <w:pStyle w:val="Heading2"/>
      </w:pPr>
      <w:r>
        <w:t>Money Behaviour &amp; DNA</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DN-001</w:t>
            </w:r>
          </w:p>
        </w:tc>
        <w:tc>
          <w:tcPr>
            <w:tcW w:type="dxa" w:w="4680"/>
            <w:vAlign w:val="center"/>
            <w:tcMar>
              <w:top w:w="55" w:type="dxa"/>
              <w:start w:w="65" w:type="dxa"/>
              <w:bottom w:w="55" w:type="dxa"/>
              <w:end w:w="65" w:type="dxa"/>
            </w:tcMar>
          </w:tcPr>
          <w:p>
            <w:pPr>
              <w:spacing w:after="0"/>
            </w:pPr>
            <w:r/>
            <w:r>
              <w:rPr>
                <w:rFonts w:ascii="Aptos" w:hAnsi="Aptos"/>
                <w:b w:val="0"/>
                <w:sz w:val="14"/>
              </w:rPr>
              <w:t>Why Financial Decisions Aren't Just About Mathematics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DNA</w:t>
            </w:r>
          </w:p>
        </w:tc>
        <w:tc>
          <w:tcPr>
            <w:tcW w:type="dxa" w:w="2520"/>
            <w:vAlign w:val="center"/>
            <w:tcMar>
              <w:top w:w="55" w:type="dxa"/>
              <w:start w:w="65" w:type="dxa"/>
              <w:bottom w:w="55" w:type="dxa"/>
              <w:end w:w="65" w:type="dxa"/>
            </w:tcMar>
          </w:tcPr>
          <w:p>
            <w:pPr>
              <w:spacing w:after="0"/>
            </w:pPr>
            <w:r/>
            <w:r>
              <w:rPr>
                <w:rFonts w:ascii="Aptos" w:hAnsi="Aptos"/>
                <w:b w:val="0"/>
                <w:sz w:val="14"/>
              </w:rPr>
              <w:t>Explore My Financial DNA</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DN-002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Spending Habits Affect Financial Health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DNA</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Financial DNA</w:t>
            </w:r>
          </w:p>
        </w:tc>
      </w:tr>
      <w:tr>
        <w:tc>
          <w:tcPr>
            <w:tcW w:type="dxa" w:w="1037"/>
            <w:vAlign w:val="center"/>
            <w:tcMar>
              <w:top w:w="55" w:type="dxa"/>
              <w:start w:w="65" w:type="dxa"/>
              <w:bottom w:w="55" w:type="dxa"/>
              <w:end w:w="65" w:type="dxa"/>
            </w:tcMar>
          </w:tcPr>
          <w:p>
            <w:pPr>
              <w:spacing w:after="0"/>
            </w:pPr>
            <w:r/>
            <w:r>
              <w:rPr>
                <w:rFonts w:ascii="Aptos" w:hAnsi="Aptos"/>
                <w:b w:val="0"/>
                <w:sz w:val="14"/>
              </w:rPr>
              <w:t>DN-003</w:t>
            </w:r>
          </w:p>
        </w:tc>
        <w:tc>
          <w:tcPr>
            <w:tcW w:type="dxa" w:w="4680"/>
            <w:vAlign w:val="center"/>
            <w:tcMar>
              <w:top w:w="55" w:type="dxa"/>
              <w:start w:w="65" w:type="dxa"/>
              <w:bottom w:w="55" w:type="dxa"/>
              <w:end w:w="65" w:type="dxa"/>
            </w:tcMar>
          </w:tcPr>
          <w:p>
            <w:pPr>
              <w:spacing w:after="0"/>
            </w:pPr>
            <w:r/>
            <w:r>
              <w:rPr>
                <w:rFonts w:ascii="Aptos" w:hAnsi="Aptos"/>
                <w:b w:val="0"/>
                <w:sz w:val="14"/>
              </w:rPr>
              <w:t>Understanding Financial Risk Behaviour</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DNA</w:t>
            </w:r>
          </w:p>
        </w:tc>
        <w:tc>
          <w:tcPr>
            <w:tcW w:type="dxa" w:w="2520"/>
            <w:vAlign w:val="center"/>
            <w:tcMar>
              <w:top w:w="55" w:type="dxa"/>
              <w:start w:w="65" w:type="dxa"/>
              <w:bottom w:w="55" w:type="dxa"/>
              <w:end w:w="65" w:type="dxa"/>
            </w:tcMar>
          </w:tcPr>
          <w:p>
            <w:pPr>
              <w:spacing w:after="0"/>
            </w:pPr>
            <w:r/>
            <w:r>
              <w:rPr>
                <w:rFonts w:ascii="Aptos" w:hAnsi="Aptos"/>
                <w:b w:val="0"/>
                <w:sz w:val="14"/>
              </w:rPr>
              <w:t>Explore My Financial DNA</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DN-004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Emotional Investing and Common Behavioural Traps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DNA</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Financial DNA</w:t>
            </w:r>
          </w:p>
        </w:tc>
      </w:tr>
      <w:tr>
        <w:tc>
          <w:tcPr>
            <w:tcW w:type="dxa" w:w="1037"/>
            <w:vAlign w:val="center"/>
            <w:tcMar>
              <w:top w:w="55" w:type="dxa"/>
              <w:start w:w="65" w:type="dxa"/>
              <w:bottom w:w="55" w:type="dxa"/>
              <w:end w:w="65" w:type="dxa"/>
            </w:tcMar>
          </w:tcPr>
          <w:p>
            <w:pPr>
              <w:spacing w:after="0"/>
            </w:pPr>
            <w:r/>
            <w:r>
              <w:rPr>
                <w:rFonts w:ascii="Aptos" w:hAnsi="Aptos"/>
                <w:b w:val="0"/>
                <w:sz w:val="14"/>
              </w:rPr>
              <w:t>DN-005</w:t>
            </w:r>
          </w:p>
        </w:tc>
        <w:tc>
          <w:tcPr>
            <w:tcW w:type="dxa" w:w="4680"/>
            <w:vAlign w:val="center"/>
            <w:tcMar>
              <w:top w:w="55" w:type="dxa"/>
              <w:start w:w="65" w:type="dxa"/>
              <w:bottom w:w="55" w:type="dxa"/>
              <w:end w:w="65" w:type="dxa"/>
            </w:tcMar>
          </w:tcPr>
          <w:p>
            <w:pPr>
              <w:spacing w:after="0"/>
            </w:pPr>
            <w:r/>
            <w:r>
              <w:rPr>
                <w:rFonts w:ascii="Aptos" w:hAnsi="Aptos"/>
                <w:b w:val="0"/>
                <w:sz w:val="14"/>
              </w:rPr>
              <w:t>Present Bias: Why Future Goals Lose to Today's Spending</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DNA</w:t>
            </w:r>
          </w:p>
        </w:tc>
        <w:tc>
          <w:tcPr>
            <w:tcW w:type="dxa" w:w="2520"/>
            <w:vAlign w:val="center"/>
            <w:tcMar>
              <w:top w:w="55" w:type="dxa"/>
              <w:start w:w="65" w:type="dxa"/>
              <w:bottom w:w="55" w:type="dxa"/>
              <w:end w:w="65" w:type="dxa"/>
            </w:tcMar>
          </w:tcPr>
          <w:p>
            <w:pPr>
              <w:spacing w:after="0"/>
            </w:pPr>
            <w:r/>
            <w:r>
              <w:rPr>
                <w:rFonts w:ascii="Aptos" w:hAnsi="Aptos"/>
                <w:b w:val="0"/>
                <w:sz w:val="14"/>
              </w:rPr>
              <w:t>Explore My Financial DNA</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DN-006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Financial Confidence vs Financial Capability</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DNA</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Financial DNA</w:t>
            </w:r>
          </w:p>
        </w:tc>
      </w:tr>
    </w:tbl>
    <w:p>
      <w:pPr>
        <w:spacing w:after="0"/>
      </w:pPr>
    </w:p>
    <w:p>
      <w:pPr>
        <w:pStyle w:val="Heading2"/>
      </w:pPr>
      <w:r>
        <w:t>Forecasting &amp; Scenario Planning</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FC-001</w:t>
            </w:r>
          </w:p>
        </w:tc>
        <w:tc>
          <w:tcPr>
            <w:tcW w:type="dxa" w:w="4680"/>
            <w:vAlign w:val="center"/>
            <w:tcMar>
              <w:top w:w="55" w:type="dxa"/>
              <w:start w:w="65" w:type="dxa"/>
              <w:bottom w:w="55" w:type="dxa"/>
              <w:end w:w="65" w:type="dxa"/>
            </w:tcMar>
          </w:tcPr>
          <w:p>
            <w:pPr>
              <w:spacing w:after="0"/>
            </w:pPr>
            <w:r/>
            <w:r>
              <w:rPr>
                <w:rFonts w:ascii="Aptos" w:hAnsi="Aptos"/>
                <w:b w:val="0"/>
                <w:sz w:val="14"/>
              </w:rPr>
              <w:t>Why Financial Forecasting Matters</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Forecasting</w:t>
            </w:r>
          </w:p>
        </w:tc>
        <w:tc>
          <w:tcPr>
            <w:tcW w:type="dxa" w:w="2520"/>
            <w:vAlign w:val="center"/>
            <w:tcMar>
              <w:top w:w="55" w:type="dxa"/>
              <w:start w:w="65" w:type="dxa"/>
              <w:bottom w:w="55" w:type="dxa"/>
              <w:end w:w="65" w:type="dxa"/>
            </w:tcMar>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FC-002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Forecast vs Prediction: What's the Difference?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tcPr>
          <w:p>
            <w:pPr>
              <w:spacing w:after="0"/>
            </w:pPr>
            <w:r/>
            <w:r>
              <w:rPr>
                <w:rFonts w:ascii="Aptos" w:hAnsi="Aptos"/>
                <w:b w:val="0"/>
                <w:sz w:val="14"/>
              </w:rPr>
              <w:t>FC-003</w:t>
            </w:r>
          </w:p>
        </w:tc>
        <w:tc>
          <w:tcPr>
            <w:tcW w:type="dxa" w:w="4680"/>
            <w:vAlign w:val="center"/>
            <w:tcMar>
              <w:top w:w="55" w:type="dxa"/>
              <w:start w:w="65" w:type="dxa"/>
              <w:bottom w:w="55" w:type="dxa"/>
              <w:end w:w="65" w:type="dxa"/>
            </w:tcMar>
          </w:tcPr>
          <w:p>
            <w:pPr>
              <w:spacing w:after="0"/>
            </w:pPr>
            <w:r/>
            <w:r>
              <w:rPr>
                <w:rFonts w:ascii="Aptos" w:hAnsi="Aptos"/>
                <w:b w:val="0"/>
                <w:sz w:val="14"/>
              </w:rPr>
              <w:t>How Future Net Worth Can Be Estimated</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Forecasting</w:t>
            </w:r>
          </w:p>
        </w:tc>
        <w:tc>
          <w:tcPr>
            <w:tcW w:type="dxa" w:w="2520"/>
            <w:vAlign w:val="center"/>
            <w:tcMar>
              <w:top w:w="55" w:type="dxa"/>
              <w:start w:w="65" w:type="dxa"/>
              <w:bottom w:w="55" w:type="dxa"/>
              <w:end w:w="65" w:type="dxa"/>
            </w:tcMar>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FC-004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Inflation Changes Financial Forecasts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tcPr>
          <w:p>
            <w:pPr>
              <w:spacing w:after="0"/>
            </w:pPr>
            <w:r/>
            <w:r>
              <w:rPr>
                <w:rFonts w:ascii="Aptos" w:hAnsi="Aptos"/>
                <w:b w:val="0"/>
                <w:sz w:val="14"/>
              </w:rPr>
              <w:t>FC-005</w:t>
            </w:r>
          </w:p>
        </w:tc>
        <w:tc>
          <w:tcPr>
            <w:tcW w:type="dxa" w:w="4680"/>
            <w:vAlign w:val="center"/>
            <w:tcMar>
              <w:top w:w="55" w:type="dxa"/>
              <w:start w:w="65" w:type="dxa"/>
              <w:bottom w:w="55" w:type="dxa"/>
              <w:end w:w="65" w:type="dxa"/>
            </w:tcMar>
          </w:tcPr>
          <w:p>
            <w:pPr>
              <w:spacing w:after="0"/>
            </w:pPr>
            <w:r/>
            <w:r>
              <w:rPr>
                <w:rFonts w:ascii="Aptos" w:hAnsi="Aptos"/>
                <w:b w:val="0"/>
                <w:sz w:val="14"/>
              </w:rPr>
              <w:t>Base, Better and Stress Scenarios Explained</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Forecasting</w:t>
            </w:r>
          </w:p>
        </w:tc>
        <w:tc>
          <w:tcPr>
            <w:tcW w:type="dxa" w:w="2520"/>
            <w:vAlign w:val="center"/>
            <w:tcMar>
              <w:top w:w="55" w:type="dxa"/>
              <w:start w:w="65" w:type="dxa"/>
              <w:bottom w:w="55" w:type="dxa"/>
              <w:end w:w="65" w:type="dxa"/>
            </w:tcMar>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FC-006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Why Financial Forecasts Need Regular Updating</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Forecast</w:t>
            </w:r>
          </w:p>
        </w:tc>
      </w:tr>
    </w:tbl>
    <w:p>
      <w:pPr>
        <w:spacing w:after="0"/>
      </w:pPr>
    </w:p>
    <w:p>
      <w:pPr>
        <w:pStyle w:val="Heading2"/>
      </w:pPr>
      <w:r>
        <w:t>Cross-Border Money</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CB-001</w:t>
            </w:r>
          </w:p>
        </w:tc>
        <w:tc>
          <w:tcPr>
            <w:tcW w:type="dxa" w:w="4680"/>
            <w:vAlign w:val="center"/>
            <w:tcMar>
              <w:top w:w="55" w:type="dxa"/>
              <w:start w:w="65" w:type="dxa"/>
              <w:bottom w:w="55" w:type="dxa"/>
              <w:end w:w="65" w:type="dxa"/>
            </w:tcMar>
          </w:tcPr>
          <w:p>
            <w:pPr>
              <w:spacing w:after="0"/>
            </w:pPr>
            <w:r/>
            <w:r>
              <w:rPr>
                <w:rFonts w:ascii="Aptos" w:hAnsi="Aptos"/>
                <w:b w:val="0"/>
                <w:sz w:val="14"/>
              </w:rPr>
              <w:t>Understanding Your Financial Life Across Australia and India</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CB-002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AUD and INR Currency Risk Explained</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CB-003</w:t>
            </w:r>
          </w:p>
        </w:tc>
        <w:tc>
          <w:tcPr>
            <w:tcW w:type="dxa" w:w="4680"/>
            <w:vAlign w:val="center"/>
            <w:tcMar>
              <w:top w:w="55" w:type="dxa"/>
              <w:start w:w="65" w:type="dxa"/>
              <w:bottom w:w="55" w:type="dxa"/>
              <w:end w:w="65" w:type="dxa"/>
            </w:tcMar>
          </w:tcPr>
          <w:p>
            <w:pPr>
              <w:spacing w:after="0"/>
            </w:pPr>
            <w:r/>
            <w:r>
              <w:rPr>
                <w:rFonts w:ascii="Aptos" w:hAnsi="Aptos"/>
                <w:b w:val="0"/>
                <w:sz w:val="14"/>
              </w:rPr>
              <w:t>How to Track Assets Held in Different Countries</w:t>
            </w:r>
          </w:p>
        </w:tc>
        <w:tc>
          <w:tcPr>
            <w:tcW w:type="dxa" w:w="1656"/>
            <w:vAlign w:val="center"/>
            <w:tcMar>
              <w:top w:w="55" w:type="dxa"/>
              <w:start w:w="65" w:type="dxa"/>
              <w:bottom w:w="55" w:type="dxa"/>
              <w:end w:w="65" w:type="dxa"/>
            </w:tcMar>
          </w:tcPr>
          <w:p>
            <w:pPr>
              <w:spacing w:after="0"/>
            </w:pPr>
            <w:r/>
            <w:r>
              <w:rPr>
                <w:rFonts w:ascii="Aptos" w:hAnsi="Aptos"/>
                <w:b w:val="0"/>
                <w:sz w:val="14"/>
              </w:rPr>
              <w:t>Guide</w:t>
            </w:r>
          </w:p>
        </w:tc>
        <w:tc>
          <w:tcPr>
            <w:tcW w:type="dxa" w:w="1944"/>
            <w:vAlign w:val="center"/>
            <w:tcMar>
              <w:top w:w="55" w:type="dxa"/>
              <w:start w:w="65" w:type="dxa"/>
              <w:bottom w:w="55" w:type="dxa"/>
              <w:end w:w="65" w:type="dxa"/>
            </w:tcMar>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CB-004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Is Cross-Border Net Worth?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CB-005</w:t>
            </w:r>
          </w:p>
        </w:tc>
        <w:tc>
          <w:tcPr>
            <w:tcW w:type="dxa" w:w="4680"/>
            <w:vAlign w:val="center"/>
            <w:tcMar>
              <w:top w:w="55" w:type="dxa"/>
              <w:start w:w="65" w:type="dxa"/>
              <w:bottom w:w="55" w:type="dxa"/>
              <w:end w:w="65" w:type="dxa"/>
            </w:tcMar>
          </w:tcPr>
          <w:p>
            <w:pPr>
              <w:spacing w:after="0"/>
            </w:pPr>
            <w:r/>
            <w:r>
              <w:rPr>
                <w:rFonts w:ascii="Aptos" w:hAnsi="Aptos"/>
                <w:b w:val="0"/>
                <w:sz w:val="14"/>
              </w:rPr>
              <w:t>How Exchange Rates Can Change Your Net Worth</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E4DFEC"/>
          </w:tcPr>
          <w:p>
            <w:pPr>
              <w:spacing w:after="0"/>
            </w:pPr>
            <w:r/>
            <w:r>
              <w:rPr>
                <w:rFonts w:ascii="Aptos" w:hAnsi="Aptos"/>
                <w:b w:val="0"/>
                <w:sz w:val="14"/>
              </w:rPr>
              <w:t>P2</w:t>
            </w:r>
          </w:p>
        </w:tc>
        <w:tc>
          <w:tcPr>
            <w:tcW w:type="dxa" w:w="2376"/>
            <w:vAlign w:val="center"/>
            <w:tcMar>
              <w:top w:w="55" w:type="dxa"/>
              <w:start w:w="65" w:type="dxa"/>
              <w:bottom w:w="55" w:type="dxa"/>
              <w:end w:w="65" w:type="dxa"/>
            </w:tcMar>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CB-006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Managing Financial Goals in Different Currencies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E4DFEC"/>
          </w:tcPr>
          <w:p>
            <w:pPr>
              <w:spacing w:after="0"/>
            </w:pPr>
            <w:r/>
            <w:r>
              <w:rPr>
                <w:rFonts w:ascii="Aptos" w:hAnsi="Aptos"/>
                <w:b w:val="0"/>
                <w:sz w:val="14"/>
              </w:rPr>
              <w:t>P2</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CB-007</w:t>
            </w:r>
          </w:p>
        </w:tc>
        <w:tc>
          <w:tcPr>
            <w:tcW w:type="dxa" w:w="4680"/>
            <w:vAlign w:val="center"/>
            <w:tcMar>
              <w:top w:w="55" w:type="dxa"/>
              <w:start w:w="65" w:type="dxa"/>
              <w:bottom w:w="55" w:type="dxa"/>
              <w:end w:w="65" w:type="dxa"/>
            </w:tcMar>
          </w:tcPr>
          <w:p>
            <w:pPr>
              <w:spacing w:after="0"/>
            </w:pPr>
            <w:r/>
            <w:r>
              <w:rPr>
                <w:rFonts w:ascii="Aptos" w:hAnsi="Aptos"/>
                <w:b w:val="0"/>
                <w:sz w:val="14"/>
              </w:rPr>
              <w:t>Australian Residents Holding Assets in India: A Financial-Health View</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E4DFEC"/>
          </w:tcPr>
          <w:p>
            <w:pPr>
              <w:spacing w:after="0"/>
            </w:pPr>
            <w:r/>
            <w:r>
              <w:rPr>
                <w:rFonts w:ascii="Aptos" w:hAnsi="Aptos"/>
                <w:b w:val="0"/>
                <w:sz w:val="14"/>
              </w:rPr>
              <w:t>P2</w:t>
            </w:r>
          </w:p>
        </w:tc>
        <w:tc>
          <w:tcPr>
            <w:tcW w:type="dxa" w:w="2376"/>
            <w:vAlign w:val="center"/>
            <w:tcMar>
              <w:top w:w="55" w:type="dxa"/>
              <w:start w:w="65" w:type="dxa"/>
              <w:bottom w:w="55" w:type="dxa"/>
              <w:end w:w="65" w:type="dxa"/>
            </w:tcMar>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CB-008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NRI Financial Health: Bringing Indian and Overseas Finances Together</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E4DFEC"/>
          </w:tcPr>
          <w:p>
            <w:pPr>
              <w:spacing w:after="0"/>
            </w:pPr>
            <w:r/>
            <w:r>
              <w:rPr>
                <w:rFonts w:ascii="Aptos" w:hAnsi="Aptos"/>
                <w:b w:val="0"/>
                <w:sz w:val="14"/>
              </w:rPr>
              <w:t>P2</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Consolidated Financial Position</w:t>
            </w:r>
          </w:p>
        </w:tc>
      </w:tr>
    </w:tbl>
    <w:p>
      <w:pPr>
        <w:spacing w:after="0"/>
      </w:pPr>
    </w:p>
    <w:p>
      <w:pPr>
        <w:pStyle w:val="Heading2"/>
      </w:pPr>
      <w:r>
        <w:t>Scores &amp; Benchmarks</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SB-001</w:t>
            </w:r>
          </w:p>
        </w:tc>
        <w:tc>
          <w:tcPr>
            <w:tcW w:type="dxa" w:w="4680"/>
            <w:vAlign w:val="center"/>
            <w:tcMar>
              <w:top w:w="55" w:type="dxa"/>
              <w:start w:w="65" w:type="dxa"/>
              <w:bottom w:w="55" w:type="dxa"/>
              <w:end w:w="65" w:type="dxa"/>
            </w:tcMar>
          </w:tcPr>
          <w:p>
            <w:pPr>
              <w:spacing w:after="0"/>
            </w:pPr>
            <w:r/>
            <w:r>
              <w:rPr>
                <w:rFonts w:ascii="Aptos" w:hAnsi="Aptos"/>
                <w:b w:val="0"/>
                <w:sz w:val="14"/>
              </w:rPr>
              <w:t>What Is a Financial Health Score?</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Scores</w:t>
            </w:r>
          </w:p>
        </w:tc>
        <w:tc>
          <w:tcPr>
            <w:tcW w:type="dxa" w:w="2520"/>
            <w:vAlign w:val="center"/>
            <w:tcMar>
              <w:top w:w="55" w:type="dxa"/>
              <w:start w:w="65" w:type="dxa"/>
              <w:bottom w:w="55" w:type="dxa"/>
              <w:end w:w="65" w:type="dxa"/>
            </w:tcMar>
          </w:tcPr>
          <w:p>
            <w:pPr>
              <w:spacing w:after="0"/>
            </w:pPr>
            <w:r/>
            <w:r>
              <w:rPr>
                <w:rFonts w:ascii="Aptos" w:hAnsi="Aptos"/>
                <w:b w:val="0"/>
                <w:sz w:val="14"/>
              </w:rPr>
              <w:t>View My Financial Health Score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SB-002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Why One Score Cannot Describe Your Entire Financial Position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Scores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Financial Health Score</w:t>
            </w:r>
          </w:p>
        </w:tc>
      </w:tr>
      <w:tr>
        <w:tc>
          <w:tcPr>
            <w:tcW w:type="dxa" w:w="1037"/>
            <w:vAlign w:val="center"/>
            <w:tcMar>
              <w:top w:w="55" w:type="dxa"/>
              <w:start w:w="65" w:type="dxa"/>
              <w:bottom w:w="55" w:type="dxa"/>
              <w:end w:w="65" w:type="dxa"/>
            </w:tcMar>
          </w:tcPr>
          <w:p>
            <w:pPr>
              <w:spacing w:after="0"/>
            </w:pPr>
            <w:r/>
            <w:r>
              <w:rPr>
                <w:rFonts w:ascii="Aptos" w:hAnsi="Aptos"/>
                <w:b w:val="0"/>
                <w:sz w:val="14"/>
              </w:rPr>
              <w:t>SB-003</w:t>
            </w:r>
          </w:p>
        </w:tc>
        <w:tc>
          <w:tcPr>
            <w:tcW w:type="dxa" w:w="4680"/>
            <w:vAlign w:val="center"/>
            <w:tcMar>
              <w:top w:w="55" w:type="dxa"/>
              <w:start w:w="65" w:type="dxa"/>
              <w:bottom w:w="55" w:type="dxa"/>
              <w:end w:w="65" w:type="dxa"/>
            </w:tcMar>
          </w:tcPr>
          <w:p>
            <w:pPr>
              <w:spacing w:after="0"/>
            </w:pPr>
            <w:r/>
            <w:r>
              <w:rPr>
                <w:rFonts w:ascii="Aptos" w:hAnsi="Aptos"/>
                <w:b w:val="0"/>
                <w:sz w:val="14"/>
              </w:rPr>
              <w:t>Understanding Savings, Debt and Liquidity Ratios Together</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Scores</w:t>
            </w:r>
          </w:p>
        </w:tc>
        <w:tc>
          <w:tcPr>
            <w:tcW w:type="dxa" w:w="2520"/>
            <w:vAlign w:val="center"/>
            <w:tcMar>
              <w:top w:w="55" w:type="dxa"/>
              <w:start w:w="65" w:type="dxa"/>
              <w:bottom w:w="55" w:type="dxa"/>
              <w:end w:w="65" w:type="dxa"/>
            </w:tcMar>
          </w:tcPr>
          <w:p>
            <w:pPr>
              <w:spacing w:after="0"/>
            </w:pPr>
            <w:r/>
            <w:r>
              <w:rPr>
                <w:rFonts w:ascii="Aptos" w:hAnsi="Aptos"/>
                <w:b w:val="0"/>
                <w:sz w:val="14"/>
              </w:rPr>
              <w:t>View My Financial Health Score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SB-004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Does Financial Benchmarking Mean?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Scores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Financial Health Score</w:t>
            </w:r>
          </w:p>
        </w:tc>
      </w:tr>
      <w:tr>
        <w:tc>
          <w:tcPr>
            <w:tcW w:type="dxa" w:w="1037"/>
            <w:vAlign w:val="center"/>
            <w:tcMar>
              <w:top w:w="55" w:type="dxa"/>
              <w:start w:w="65" w:type="dxa"/>
              <w:bottom w:w="55" w:type="dxa"/>
              <w:end w:w="65" w:type="dxa"/>
            </w:tcMar>
          </w:tcPr>
          <w:p>
            <w:pPr>
              <w:spacing w:after="0"/>
            </w:pPr>
            <w:r/>
            <w:r>
              <w:rPr>
                <w:rFonts w:ascii="Aptos" w:hAnsi="Aptos"/>
                <w:b w:val="0"/>
                <w:sz w:val="14"/>
              </w:rPr>
              <w:t>SB-005</w:t>
            </w:r>
          </w:p>
        </w:tc>
        <w:tc>
          <w:tcPr>
            <w:tcW w:type="dxa" w:w="4680"/>
            <w:vAlign w:val="center"/>
            <w:tcMar>
              <w:top w:w="55" w:type="dxa"/>
              <w:start w:w="65" w:type="dxa"/>
              <w:bottom w:w="55" w:type="dxa"/>
              <w:end w:w="65" w:type="dxa"/>
            </w:tcMar>
          </w:tcPr>
          <w:p>
            <w:pPr>
              <w:spacing w:after="0"/>
            </w:pPr>
            <w:r/>
            <w:r>
              <w:rPr>
                <w:rFonts w:ascii="Aptos" w:hAnsi="Aptos"/>
                <w:b w:val="0"/>
                <w:sz w:val="14"/>
              </w:rPr>
              <w:t>What Does "People Like Me" Mean in Financial Benchmarking?</w:t>
            </w:r>
          </w:p>
        </w:tc>
        <w:tc>
          <w:tcPr>
            <w:tcW w:type="dxa" w:w="1656"/>
            <w:vAlign w:val="center"/>
            <w:tcMar>
              <w:top w:w="55" w:type="dxa"/>
              <w:start w:w="65" w:type="dxa"/>
              <w:bottom w:w="55" w:type="dxa"/>
              <w:end w:w="65" w:type="dxa"/>
            </w:tcMar>
          </w:tcPr>
          <w:p>
            <w:pPr>
              <w:spacing w:after="0"/>
            </w:pPr>
            <w:r/>
            <w:r>
              <w:rPr>
                <w:rFonts w:ascii="Aptos" w:hAnsi="Aptos"/>
                <w:b w:val="0"/>
                <w:sz w:val="14"/>
              </w:rPr>
              <w:t>Article</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Scores</w:t>
            </w:r>
          </w:p>
        </w:tc>
        <w:tc>
          <w:tcPr>
            <w:tcW w:type="dxa" w:w="2520"/>
            <w:vAlign w:val="center"/>
            <w:tcMar>
              <w:top w:w="55" w:type="dxa"/>
              <w:start w:w="65" w:type="dxa"/>
              <w:bottom w:w="55" w:type="dxa"/>
              <w:end w:w="65" w:type="dxa"/>
            </w:tcMar>
          </w:tcPr>
          <w:p>
            <w:pPr>
              <w:spacing w:after="0"/>
            </w:pPr>
            <w:r/>
            <w:r>
              <w:rPr>
                <w:rFonts w:ascii="Aptos" w:hAnsi="Aptos"/>
                <w:b w:val="0"/>
                <w:sz w:val="14"/>
              </w:rPr>
              <w:t>View My Financial Health Score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SB-006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Why Your Financial Health Score Can Change Even When Your Income Doesn't</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Article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Scores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Financial Health Score</w:t>
            </w:r>
          </w:p>
        </w:tc>
      </w:tr>
    </w:tbl>
    <w:p>
      <w:pPr>
        <w:spacing w:after="0"/>
      </w:pPr>
    </w:p>
    <w:p>
      <w:pPr>
        <w:pStyle w:val="Heading2"/>
      </w:pPr>
      <w:r>
        <w:t>FHIP Explained</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EX-001</w:t>
            </w:r>
          </w:p>
        </w:tc>
        <w:tc>
          <w:tcPr>
            <w:tcW w:type="dxa" w:w="4680"/>
            <w:vAlign w:val="center"/>
            <w:tcMar>
              <w:top w:w="55" w:type="dxa"/>
              <w:start w:w="65" w:type="dxa"/>
              <w:bottom w:w="55" w:type="dxa"/>
              <w:end w:w="65" w:type="dxa"/>
            </w:tcMar>
          </w:tcPr>
          <w:p>
            <w:pPr>
              <w:spacing w:after="0"/>
            </w:pPr>
            <w:r/>
            <w:r>
              <w:rPr>
                <w:rFonts w:ascii="Aptos" w:hAnsi="Aptos"/>
                <w:b w:val="0"/>
                <w:sz w:val="14"/>
              </w:rPr>
              <w:t>How FHIP Calculates Net Worth</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tcPr>
          <w:p>
            <w:pPr>
              <w:spacing w:after="0"/>
            </w:pPr>
            <w:r/>
            <w:r>
              <w:rPr>
                <w:rFonts w:ascii="Aptos" w:hAnsi="Aptos"/>
                <w:b w:val="0"/>
                <w:sz w:val="14"/>
              </w:rPr>
              <w:t>See My Net Worth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Calculates Cash Flow Surplus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tcPr>
          <w:p>
            <w:pPr>
              <w:spacing w:after="0"/>
            </w:pPr>
            <w:r/>
            <w:r>
              <w:rPr>
                <w:rFonts w:ascii="Aptos" w:hAnsi="Aptos"/>
                <w:b w:val="0"/>
                <w:sz w:val="14"/>
              </w:rPr>
              <w:t>EX-003</w:t>
            </w:r>
          </w:p>
        </w:tc>
        <w:tc>
          <w:tcPr>
            <w:tcW w:type="dxa" w:w="4680"/>
            <w:vAlign w:val="center"/>
            <w:tcMar>
              <w:top w:w="55" w:type="dxa"/>
              <w:start w:w="65" w:type="dxa"/>
              <w:bottom w:w="55" w:type="dxa"/>
              <w:end w:w="65" w:type="dxa"/>
            </w:tcMar>
          </w:tcPr>
          <w:p>
            <w:pPr>
              <w:spacing w:after="0"/>
            </w:pPr>
            <w:r/>
            <w:r>
              <w:rPr>
                <w:rFonts w:ascii="Aptos" w:hAnsi="Aptos"/>
                <w:b w:val="0"/>
                <w:sz w:val="14"/>
              </w:rPr>
              <w:t>How FHIP Calculates Savings Rate</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Measures Emergency Fund Coverage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Resilience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tcPr>
          <w:p>
            <w:pPr>
              <w:spacing w:after="0"/>
            </w:pPr>
            <w:r/>
            <w:r>
              <w:rPr>
                <w:rFonts w:ascii="Aptos" w:hAnsi="Aptos"/>
                <w:b w:val="0"/>
                <w:sz w:val="14"/>
              </w:rPr>
              <w:t>EX-005</w:t>
            </w:r>
          </w:p>
        </w:tc>
        <w:tc>
          <w:tcPr>
            <w:tcW w:type="dxa" w:w="4680"/>
            <w:vAlign w:val="center"/>
            <w:tcMar>
              <w:top w:w="55" w:type="dxa"/>
              <w:start w:w="65" w:type="dxa"/>
              <w:bottom w:w="55" w:type="dxa"/>
              <w:end w:w="65" w:type="dxa"/>
            </w:tcMar>
          </w:tcPr>
          <w:p>
            <w:pPr>
              <w:spacing w:after="0"/>
            </w:pPr>
            <w:r/>
            <w:r>
              <w:rPr>
                <w:rFonts w:ascii="Aptos" w:hAnsi="Aptos"/>
                <w:b w:val="0"/>
                <w:sz w:val="14"/>
              </w:rPr>
              <w:t>How FHIP Calculates Debt-to-Income Ratio</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Scores / Liabilities</w:t>
            </w:r>
          </w:p>
        </w:tc>
        <w:tc>
          <w:tcPr>
            <w:tcW w:type="dxa" w:w="2520"/>
            <w:vAlign w:val="center"/>
            <w:tcMar>
              <w:top w:w="55" w:type="dxa"/>
              <w:start w:w="65" w:type="dxa"/>
              <w:bottom w:w="55" w:type="dxa"/>
              <w:end w:w="65" w:type="dxa"/>
            </w:tcMar>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Calculates Debt Service Ratio</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Scores / Liabilities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EX-007</w:t>
            </w:r>
          </w:p>
        </w:tc>
        <w:tc>
          <w:tcPr>
            <w:tcW w:type="dxa" w:w="4680"/>
            <w:vAlign w:val="center"/>
            <w:tcMar>
              <w:top w:w="55" w:type="dxa"/>
              <w:start w:w="65" w:type="dxa"/>
              <w:bottom w:w="55" w:type="dxa"/>
              <w:end w:w="65" w:type="dxa"/>
            </w:tcMar>
          </w:tcPr>
          <w:p>
            <w:pPr>
              <w:spacing w:after="0"/>
            </w:pPr>
            <w:r/>
            <w:r>
              <w:rPr>
                <w:rFonts w:ascii="Aptos" w:hAnsi="Aptos"/>
                <w:b w:val="0"/>
                <w:sz w:val="14"/>
              </w:rPr>
              <w:t>How FHIP Measures Financial Resilience</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Resilience</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Calculates the Financial Health Score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Scores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Financial Health Score</w:t>
            </w:r>
          </w:p>
        </w:tc>
      </w:tr>
      <w:tr>
        <w:tc>
          <w:tcPr>
            <w:tcW w:type="dxa" w:w="1037"/>
            <w:vAlign w:val="center"/>
            <w:tcMar>
              <w:top w:w="55" w:type="dxa"/>
              <w:start w:w="65" w:type="dxa"/>
              <w:bottom w:w="55" w:type="dxa"/>
              <w:end w:w="65" w:type="dxa"/>
            </w:tcMar>
          </w:tcPr>
          <w:p>
            <w:pPr>
              <w:spacing w:after="0"/>
            </w:pPr>
            <w:r/>
            <w:r>
              <w:rPr>
                <w:rFonts w:ascii="Aptos" w:hAnsi="Aptos"/>
                <w:b w:val="0"/>
                <w:sz w:val="14"/>
              </w:rPr>
              <w:t>EX-009</w:t>
            </w:r>
          </w:p>
        </w:tc>
        <w:tc>
          <w:tcPr>
            <w:tcW w:type="dxa" w:w="4680"/>
            <w:vAlign w:val="center"/>
            <w:tcMar>
              <w:top w:w="55" w:type="dxa"/>
              <w:start w:w="65" w:type="dxa"/>
              <w:bottom w:w="55" w:type="dxa"/>
              <w:end w:w="65" w:type="dxa"/>
            </w:tcMar>
          </w:tcPr>
          <w:p>
            <w:pPr>
              <w:spacing w:after="0"/>
            </w:pPr>
            <w:r/>
            <w:r>
              <w:rPr>
                <w:rFonts w:ascii="Aptos" w:hAnsi="Aptos"/>
                <w:b w:val="0"/>
                <w:sz w:val="14"/>
              </w:rPr>
              <w:t>How to Read the FHIP Financial Health Score</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Scores</w:t>
            </w:r>
          </w:p>
        </w:tc>
        <w:tc>
          <w:tcPr>
            <w:tcW w:type="dxa" w:w="2520"/>
            <w:vAlign w:val="center"/>
            <w:tcMar>
              <w:top w:w="55" w:type="dxa"/>
              <w:start w:w="65" w:type="dxa"/>
              <w:bottom w:w="55" w:type="dxa"/>
              <w:end w:w="65" w:type="dxa"/>
            </w:tcMar>
          </w:tcPr>
          <w:p>
            <w:pPr>
              <w:spacing w:after="0"/>
            </w:pPr>
            <w:r/>
            <w:r>
              <w:rPr>
                <w:rFonts w:ascii="Aptos" w:hAnsi="Aptos"/>
                <w:b w:val="0"/>
                <w:sz w:val="14"/>
              </w:rPr>
              <w:t>View My Financial Health Score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EX-010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Measures Goal Readiness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Goals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tcPr>
          <w:p>
            <w:pPr>
              <w:spacing w:after="0"/>
            </w:pPr>
            <w:r/>
            <w:r>
              <w:rPr>
                <w:rFonts w:ascii="Aptos" w:hAnsi="Aptos"/>
                <w:b w:val="0"/>
                <w:sz w:val="14"/>
              </w:rPr>
              <w:t>EX-011</w:t>
            </w:r>
          </w:p>
        </w:tc>
        <w:tc>
          <w:tcPr>
            <w:tcW w:type="dxa" w:w="4680"/>
            <w:vAlign w:val="center"/>
            <w:tcMar>
              <w:top w:w="55" w:type="dxa"/>
              <w:start w:w="65" w:type="dxa"/>
              <w:bottom w:w="55" w:type="dxa"/>
              <w:end w:w="65" w:type="dxa"/>
            </w:tcMar>
          </w:tcPr>
          <w:p>
            <w:pPr>
              <w:spacing w:after="0"/>
            </w:pPr>
            <w:r/>
            <w:r>
              <w:rPr>
                <w:rFonts w:ascii="Aptos" w:hAnsi="Aptos"/>
                <w:b w:val="0"/>
                <w:sz w:val="14"/>
              </w:rPr>
              <w:t>How FHIP Tracks Goal Funding Progress</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Goals</w:t>
            </w:r>
          </w:p>
        </w:tc>
        <w:tc>
          <w:tcPr>
            <w:tcW w:type="dxa" w:w="2520"/>
            <w:vAlign w:val="center"/>
            <w:tcMar>
              <w:top w:w="55" w:type="dxa"/>
              <w:start w:w="65" w:type="dxa"/>
              <w:bottom w:w="55" w:type="dxa"/>
              <w:end w:w="65" w:type="dxa"/>
            </w:tcMar>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EX-012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Measures Retirement Readiness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Forecasting / Retirement</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tcPr>
          <w:p>
            <w:pPr>
              <w:spacing w:after="0"/>
            </w:pPr>
            <w:r/>
            <w:r>
              <w:rPr>
                <w:rFonts w:ascii="Aptos" w:hAnsi="Aptos"/>
                <w:b w:val="0"/>
                <w:sz w:val="14"/>
              </w:rPr>
              <w:t>EX-013</w:t>
            </w:r>
          </w:p>
        </w:tc>
        <w:tc>
          <w:tcPr>
            <w:tcW w:type="dxa" w:w="4680"/>
            <w:vAlign w:val="center"/>
            <w:tcMar>
              <w:top w:w="55" w:type="dxa"/>
              <w:start w:w="65" w:type="dxa"/>
              <w:bottom w:w="55" w:type="dxa"/>
              <w:end w:w="65" w:type="dxa"/>
            </w:tcMar>
          </w:tcPr>
          <w:p>
            <w:pPr>
              <w:spacing w:after="0"/>
            </w:pPr>
            <w:r/>
            <w:r>
              <w:rPr>
                <w:rFonts w:ascii="Aptos" w:hAnsi="Aptos"/>
                <w:b w:val="0"/>
                <w:sz w:val="14"/>
              </w:rPr>
              <w:t>How FHIP Assesses Insurance Adequacy</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Insurance</w:t>
            </w:r>
          </w:p>
        </w:tc>
        <w:tc>
          <w:tcPr>
            <w:tcW w:type="dxa" w:w="2520"/>
            <w:vAlign w:val="center"/>
            <w:tcMar>
              <w:top w:w="55" w:type="dxa"/>
              <w:start w:w="65" w:type="dxa"/>
              <w:bottom w:w="55" w:type="dxa"/>
              <w:end w:w="65" w:type="dxa"/>
            </w:tcMar>
          </w:tcPr>
          <w:p>
            <w:pPr>
              <w:spacing w:after="0"/>
            </w:pPr>
            <w:r/>
            <w:r>
              <w:rPr>
                <w:rFonts w:ascii="Aptos" w:hAnsi="Aptos"/>
                <w:b w:val="0"/>
                <w:sz w:val="14"/>
              </w:rPr>
              <w:t>Review My Protection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EX-014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FHIP Financial DNA Is Designed to Show</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DNA</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Financial DNA</w:t>
            </w:r>
          </w:p>
        </w:tc>
      </w:tr>
      <w:tr>
        <w:tc>
          <w:tcPr>
            <w:tcW w:type="dxa" w:w="1037"/>
            <w:vAlign w:val="center"/>
            <w:tcMar>
              <w:top w:w="55" w:type="dxa"/>
              <w:start w:w="65" w:type="dxa"/>
              <w:bottom w:w="55" w:type="dxa"/>
              <w:end w:w="65" w:type="dxa"/>
            </w:tcMar>
          </w:tcPr>
          <w:p>
            <w:pPr>
              <w:spacing w:after="0"/>
            </w:pPr>
            <w:r/>
            <w:r>
              <w:rPr>
                <w:rFonts w:ascii="Aptos" w:hAnsi="Aptos"/>
                <w:b w:val="0"/>
                <w:sz w:val="14"/>
              </w:rPr>
              <w:t>EX-015</w:t>
            </w:r>
          </w:p>
        </w:tc>
        <w:tc>
          <w:tcPr>
            <w:tcW w:type="dxa" w:w="4680"/>
            <w:vAlign w:val="center"/>
            <w:tcMar>
              <w:top w:w="55" w:type="dxa"/>
              <w:start w:w="65" w:type="dxa"/>
              <w:bottom w:w="55" w:type="dxa"/>
              <w:end w:w="65" w:type="dxa"/>
            </w:tcMar>
          </w:tcPr>
          <w:p>
            <w:pPr>
              <w:spacing w:after="0"/>
            </w:pPr>
            <w:r/>
            <w:r>
              <w:rPr>
                <w:rFonts w:ascii="Aptos" w:hAnsi="Aptos"/>
                <w:b w:val="0"/>
                <w:sz w:val="14"/>
              </w:rPr>
              <w:t>How FHIP Benchmarking Works</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Twin / Benchmark</w:t>
            </w:r>
          </w:p>
        </w:tc>
        <w:tc>
          <w:tcPr>
            <w:tcW w:type="dxa" w:w="2520"/>
            <w:vAlign w:val="center"/>
            <w:tcMar>
              <w:top w:w="55" w:type="dxa"/>
              <w:start w:w="65" w:type="dxa"/>
              <w:bottom w:w="55" w:type="dxa"/>
              <w:end w:w="65" w:type="dxa"/>
            </w:tcMar>
          </w:tcPr>
          <w:p>
            <w:pPr>
              <w:spacing w:after="0"/>
            </w:pPr>
            <w:r/>
            <w:r>
              <w:rPr>
                <w:rFonts w:ascii="Aptos" w:hAnsi="Aptos"/>
                <w:b w:val="0"/>
                <w:sz w:val="14"/>
              </w:rPr>
              <w:t>View My Benchmark</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EX-016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"People Like Me" Means Inside FHIP</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Twin / Benchmark</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Benchmark</w:t>
            </w:r>
          </w:p>
        </w:tc>
      </w:tr>
      <w:tr>
        <w:tc>
          <w:tcPr>
            <w:tcW w:type="dxa" w:w="1037"/>
            <w:vAlign w:val="center"/>
            <w:tcMar>
              <w:top w:w="55" w:type="dxa"/>
              <w:start w:w="65" w:type="dxa"/>
              <w:bottom w:w="55" w:type="dxa"/>
              <w:end w:w="65" w:type="dxa"/>
            </w:tcMar>
          </w:tcPr>
          <w:p>
            <w:pPr>
              <w:spacing w:after="0"/>
            </w:pPr>
            <w:r/>
            <w:r>
              <w:rPr>
                <w:rFonts w:ascii="Aptos" w:hAnsi="Aptos"/>
                <w:b w:val="0"/>
                <w:sz w:val="14"/>
              </w:rPr>
              <w:t>EX-017</w:t>
            </w:r>
          </w:p>
        </w:tc>
        <w:tc>
          <w:tcPr>
            <w:tcW w:type="dxa" w:w="4680"/>
            <w:vAlign w:val="center"/>
            <w:tcMar>
              <w:top w:w="55" w:type="dxa"/>
              <w:start w:w="65" w:type="dxa"/>
              <w:bottom w:w="55" w:type="dxa"/>
              <w:end w:w="65" w:type="dxa"/>
            </w:tcMar>
          </w:tcPr>
          <w:p>
            <w:pPr>
              <w:spacing w:after="0"/>
            </w:pPr>
            <w:r/>
            <w:r>
              <w:rPr>
                <w:rFonts w:ascii="Aptos" w:hAnsi="Aptos"/>
                <w:b w:val="0"/>
                <w:sz w:val="14"/>
              </w:rPr>
              <w:t>How FHIP Forecasts Future Net Worth</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Forecasting</w:t>
            </w:r>
          </w:p>
        </w:tc>
        <w:tc>
          <w:tcPr>
            <w:tcW w:type="dxa" w:w="2520"/>
            <w:vAlign w:val="center"/>
            <w:tcMar>
              <w:top w:w="55" w:type="dxa"/>
              <w:start w:w="65" w:type="dxa"/>
              <w:bottom w:w="55" w:type="dxa"/>
              <w:end w:w="65" w:type="dxa"/>
            </w:tcMar>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EX-018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Forecasts Investment Growth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Forecasting / 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tcPr>
          <w:p>
            <w:pPr>
              <w:spacing w:after="0"/>
            </w:pPr>
            <w:r/>
            <w:r>
              <w:rPr>
                <w:rFonts w:ascii="Aptos" w:hAnsi="Aptos"/>
                <w:b w:val="0"/>
                <w:sz w:val="14"/>
              </w:rPr>
              <w:t>EX-019</w:t>
            </w:r>
          </w:p>
        </w:tc>
        <w:tc>
          <w:tcPr>
            <w:tcW w:type="dxa" w:w="4680"/>
            <w:vAlign w:val="center"/>
            <w:tcMar>
              <w:top w:w="55" w:type="dxa"/>
              <w:start w:w="65" w:type="dxa"/>
              <w:bottom w:w="55" w:type="dxa"/>
              <w:end w:w="65" w:type="dxa"/>
            </w:tcMar>
          </w:tcPr>
          <w:p>
            <w:pPr>
              <w:spacing w:after="0"/>
            </w:pPr>
            <w:r/>
            <w:r>
              <w:rPr>
                <w:rFonts w:ascii="Aptos" w:hAnsi="Aptos"/>
                <w:b w:val="0"/>
                <w:sz w:val="14"/>
              </w:rPr>
              <w:t>How FHIP Forecasts Debt Reduction</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Forecasting / Liabilities</w:t>
            </w:r>
          </w:p>
        </w:tc>
        <w:tc>
          <w:tcPr>
            <w:tcW w:type="dxa" w:w="2520"/>
            <w:vAlign w:val="center"/>
            <w:tcMar>
              <w:top w:w="55" w:type="dxa"/>
              <w:start w:w="65" w:type="dxa"/>
              <w:bottom w:w="55" w:type="dxa"/>
              <w:end w:w="65" w:type="dxa"/>
            </w:tcMar>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EX-020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Forecasts Retirement Outcomes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Forecasting / Retirement</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tcPr>
          <w:p>
            <w:pPr>
              <w:spacing w:after="0"/>
            </w:pPr>
            <w:r/>
            <w:r>
              <w:rPr>
                <w:rFonts w:ascii="Aptos" w:hAnsi="Aptos"/>
                <w:b w:val="0"/>
                <w:sz w:val="14"/>
              </w:rPr>
              <w:t>EX-021</w:t>
            </w:r>
          </w:p>
        </w:tc>
        <w:tc>
          <w:tcPr>
            <w:tcW w:type="dxa" w:w="4680"/>
            <w:vAlign w:val="center"/>
            <w:tcMar>
              <w:top w:w="55" w:type="dxa"/>
              <w:start w:w="65" w:type="dxa"/>
              <w:bottom w:w="55" w:type="dxa"/>
              <w:end w:w="65" w:type="dxa"/>
            </w:tcMar>
          </w:tcPr>
          <w:p>
            <w:pPr>
              <w:spacing w:after="0"/>
            </w:pPr>
            <w:r/>
            <w:r>
              <w:rPr>
                <w:rFonts w:ascii="Aptos" w:hAnsi="Aptos"/>
                <w:b w:val="0"/>
                <w:sz w:val="14"/>
              </w:rPr>
              <w:t>How FHIP Forecasts Financial Goals</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Forecasting / Goals</w:t>
            </w:r>
          </w:p>
        </w:tc>
        <w:tc>
          <w:tcPr>
            <w:tcW w:type="dxa" w:w="2520"/>
            <w:vAlign w:val="center"/>
            <w:tcMar>
              <w:top w:w="55" w:type="dxa"/>
              <w:start w:w="65" w:type="dxa"/>
              <w:bottom w:w="55" w:type="dxa"/>
              <w:end w:w="65" w:type="dxa"/>
            </w:tcMar>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EX-022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What Base, Better and Stress Scenarios Mean in FHIP</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tcPr>
          <w:p>
            <w:pPr>
              <w:spacing w:after="0"/>
            </w:pPr>
            <w:r/>
            <w:r>
              <w:rPr>
                <w:rFonts w:ascii="Aptos" w:hAnsi="Aptos"/>
                <w:b w:val="0"/>
                <w:sz w:val="14"/>
              </w:rPr>
              <w:t>EX-023</w:t>
            </w:r>
          </w:p>
        </w:tc>
        <w:tc>
          <w:tcPr>
            <w:tcW w:type="dxa" w:w="4680"/>
            <w:vAlign w:val="center"/>
            <w:tcMar>
              <w:top w:w="55" w:type="dxa"/>
              <w:start w:w="65" w:type="dxa"/>
              <w:bottom w:w="55" w:type="dxa"/>
              <w:end w:w="65" w:type="dxa"/>
            </w:tcMar>
          </w:tcPr>
          <w:p>
            <w:pPr>
              <w:spacing w:after="0"/>
            </w:pPr>
            <w:r/>
            <w:r>
              <w:rPr>
                <w:rFonts w:ascii="Aptos" w:hAnsi="Aptos"/>
                <w:b w:val="0"/>
                <w:sz w:val="14"/>
              </w:rPr>
              <w:t>How FHIP Handles Cross-Border Assets and Currencies</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EX-024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FHIP Uses Data Confidence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Reports &amp; Exports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Data Confidence</w:t>
            </w:r>
          </w:p>
        </w:tc>
      </w:tr>
      <w:tr>
        <w:tc>
          <w:tcPr>
            <w:tcW w:type="dxa" w:w="1037"/>
            <w:vAlign w:val="center"/>
            <w:tcMar>
              <w:top w:w="55" w:type="dxa"/>
              <w:start w:w="65" w:type="dxa"/>
              <w:bottom w:w="55" w:type="dxa"/>
              <w:end w:w="65" w:type="dxa"/>
            </w:tcMar>
          </w:tcPr>
          <w:p>
            <w:pPr>
              <w:spacing w:after="0"/>
            </w:pPr>
            <w:r/>
            <w:r>
              <w:rPr>
                <w:rFonts w:ascii="Aptos" w:hAnsi="Aptos"/>
                <w:b w:val="0"/>
                <w:sz w:val="14"/>
              </w:rPr>
              <w:t>EX-025</w:t>
            </w:r>
          </w:p>
        </w:tc>
        <w:tc>
          <w:tcPr>
            <w:tcW w:type="dxa" w:w="4680"/>
            <w:vAlign w:val="center"/>
            <w:tcMar>
              <w:top w:w="55" w:type="dxa"/>
              <w:start w:w="65" w:type="dxa"/>
              <w:bottom w:w="55" w:type="dxa"/>
              <w:end w:w="65" w:type="dxa"/>
            </w:tcMar>
          </w:tcPr>
          <w:p>
            <w:pPr>
              <w:spacing w:after="0"/>
            </w:pPr>
            <w:r/>
            <w:r>
              <w:rPr>
                <w:rFonts w:ascii="Aptos" w:hAnsi="Aptos"/>
                <w:b w:val="0"/>
                <w:sz w:val="14"/>
              </w:rPr>
              <w:t>How to Read Your FHIP Free Report</w:t>
            </w:r>
          </w:p>
        </w:tc>
        <w:tc>
          <w:tcPr>
            <w:tcW w:type="dxa" w:w="1656"/>
            <w:vAlign w:val="center"/>
            <w:tcMar>
              <w:top w:w="55" w:type="dxa"/>
              <w:start w:w="65" w:type="dxa"/>
              <w:bottom w:w="55" w:type="dxa"/>
              <w:end w:w="65" w:type="dxa"/>
            </w:tcMar>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Reports &amp; Exports</w:t>
            </w:r>
          </w:p>
        </w:tc>
        <w:tc>
          <w:tcPr>
            <w:tcW w:type="dxa" w:w="2520"/>
            <w:vAlign w:val="center"/>
            <w:tcMar>
              <w:top w:w="55" w:type="dxa"/>
              <w:start w:w="65" w:type="dxa"/>
              <w:bottom w:w="55" w:type="dxa"/>
              <w:end w:w="65" w:type="dxa"/>
            </w:tcMar>
          </w:tcPr>
          <w:p>
            <w:pPr>
              <w:spacing w:after="0"/>
            </w:pPr>
            <w:r/>
            <w:r>
              <w:rPr>
                <w:rFonts w:ascii="Aptos" w:hAnsi="Aptos"/>
                <w:b w:val="0"/>
                <w:sz w:val="14"/>
              </w:rPr>
              <w:t>Open My Report</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EX-026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Read Your FHIP Premium Report</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FHIP Explainer</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Reports &amp; Exports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Open My Premium Report</w:t>
            </w:r>
          </w:p>
        </w:tc>
      </w:tr>
    </w:tbl>
    <w:p>
      <w:pPr>
        <w:spacing w:after="0"/>
      </w:pPr>
    </w:p>
    <w:p>
      <w:pPr>
        <w:pStyle w:val="Heading2"/>
      </w:pPr>
      <w:r>
        <w:t>Video</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VID-001</w:t>
            </w:r>
          </w:p>
        </w:tc>
        <w:tc>
          <w:tcPr>
            <w:tcW w:type="dxa" w:w="4680"/>
            <w:vAlign w:val="center"/>
            <w:tcMar>
              <w:top w:w="55" w:type="dxa"/>
              <w:start w:w="65" w:type="dxa"/>
              <w:bottom w:w="55" w:type="dxa"/>
              <w:end w:w="65" w:type="dxa"/>
            </w:tcMar>
          </w:tcPr>
          <w:p>
            <w:pPr>
              <w:spacing w:after="0"/>
            </w:pPr>
            <w:r/>
            <w:r>
              <w:rPr>
                <w:rFonts w:ascii="Aptos" w:hAnsi="Aptos"/>
                <w:b w:val="0"/>
                <w:sz w:val="14"/>
              </w:rPr>
              <w:t>What Is Financial Health? | GKTC x FHIP</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7 Numbers Every Household Should Know</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tcPr>
          <w:p>
            <w:pPr>
              <w:spacing w:after="0"/>
            </w:pPr>
            <w:r/>
            <w:r>
              <w:rPr>
                <w:rFonts w:ascii="Aptos" w:hAnsi="Aptos"/>
                <w:b w:val="0"/>
                <w:sz w:val="14"/>
              </w:rPr>
              <w:t>VID-003</w:t>
            </w:r>
          </w:p>
        </w:tc>
        <w:tc>
          <w:tcPr>
            <w:tcW w:type="dxa" w:w="4680"/>
            <w:vAlign w:val="center"/>
            <w:tcMar>
              <w:top w:w="55" w:type="dxa"/>
              <w:start w:w="65" w:type="dxa"/>
              <w:bottom w:w="55" w:type="dxa"/>
              <w:end w:w="65" w:type="dxa"/>
            </w:tcMar>
          </w:tcPr>
          <w:p>
            <w:pPr>
              <w:spacing w:after="0"/>
            </w:pPr>
            <w:r/>
            <w:r>
              <w:rPr>
                <w:rFonts w:ascii="Aptos" w:hAnsi="Aptos"/>
                <w:b w:val="0"/>
                <w:sz w:val="14"/>
              </w:rPr>
              <w:t>Net Worth Explained in 5 Minutes</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Input Data - Assets</w:t>
            </w:r>
          </w:p>
        </w:tc>
        <w:tc>
          <w:tcPr>
            <w:tcW w:type="dxa" w:w="2520"/>
            <w:vAlign w:val="center"/>
            <w:tcMar>
              <w:top w:w="55" w:type="dxa"/>
              <w:start w:w="65" w:type="dxa"/>
              <w:bottom w:w="55" w:type="dxa"/>
              <w:end w:w="65" w:type="dxa"/>
            </w:tcMar>
          </w:tcPr>
          <w:p>
            <w:pPr>
              <w:spacing w:after="0"/>
            </w:pPr>
            <w:r/>
            <w:r>
              <w:rPr>
                <w:rFonts w:ascii="Aptos" w:hAnsi="Aptos"/>
                <w:b w:val="0"/>
                <w:sz w:val="14"/>
              </w:rPr>
              <w:t>See My Net Worth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Savings Rate: The Number That Shows What You Keep</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Cash Flow</w:t>
            </w:r>
          </w:p>
        </w:tc>
      </w:tr>
      <w:tr>
        <w:tc>
          <w:tcPr>
            <w:tcW w:type="dxa" w:w="1037"/>
            <w:vAlign w:val="center"/>
            <w:tcMar>
              <w:top w:w="55" w:type="dxa"/>
              <w:start w:w="65" w:type="dxa"/>
              <w:bottom w:w="55" w:type="dxa"/>
              <w:end w:w="65" w:type="dxa"/>
            </w:tcMar>
          </w:tcPr>
          <w:p>
            <w:pPr>
              <w:spacing w:after="0"/>
            </w:pPr>
            <w:r/>
            <w:r>
              <w:rPr>
                <w:rFonts w:ascii="Aptos" w:hAnsi="Aptos"/>
                <w:b w:val="0"/>
                <w:sz w:val="14"/>
              </w:rPr>
              <w:t>VID-005</w:t>
            </w:r>
          </w:p>
        </w:tc>
        <w:tc>
          <w:tcPr>
            <w:tcW w:type="dxa" w:w="4680"/>
            <w:vAlign w:val="center"/>
            <w:tcMar>
              <w:top w:w="55" w:type="dxa"/>
              <w:start w:w="65" w:type="dxa"/>
              <w:bottom w:w="55" w:type="dxa"/>
              <w:end w:w="65" w:type="dxa"/>
            </w:tcMar>
          </w:tcPr>
          <w:p>
            <w:pPr>
              <w:spacing w:after="0"/>
            </w:pPr>
            <w:r/>
            <w:r>
              <w:rPr>
                <w:rFonts w:ascii="Aptos" w:hAnsi="Aptos"/>
                <w:b w:val="0"/>
                <w:sz w:val="14"/>
              </w:rPr>
              <w:t>How Much Emergency Fund Do You Really Need?</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Resilience</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Debt-to-Income Ratio Explained</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Debt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VID-007</w:t>
            </w:r>
          </w:p>
        </w:tc>
        <w:tc>
          <w:tcPr>
            <w:tcW w:type="dxa" w:w="4680"/>
            <w:vAlign w:val="center"/>
            <w:tcMar>
              <w:top w:w="55" w:type="dxa"/>
              <w:start w:w="65" w:type="dxa"/>
              <w:bottom w:w="55" w:type="dxa"/>
              <w:end w:w="65" w:type="dxa"/>
            </w:tcMar>
          </w:tcPr>
          <w:p>
            <w:pPr>
              <w:spacing w:after="0"/>
            </w:pPr>
            <w:r/>
            <w:r>
              <w:rPr>
                <w:rFonts w:ascii="Aptos" w:hAnsi="Aptos"/>
                <w:b w:val="0"/>
                <w:sz w:val="14"/>
              </w:rPr>
              <w:t>Financial Resilience: Can Your Finances Absorb a Shock?</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Resilience</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Resilience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Compounding Explained Visually</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tcPr>
          <w:p>
            <w:pPr>
              <w:spacing w:after="0"/>
            </w:pPr>
            <w:r/>
            <w:r>
              <w:rPr>
                <w:rFonts w:ascii="Aptos" w:hAnsi="Aptos"/>
                <w:b w:val="0"/>
                <w:sz w:val="14"/>
              </w:rPr>
              <w:t>VID-009</w:t>
            </w:r>
          </w:p>
        </w:tc>
        <w:tc>
          <w:tcPr>
            <w:tcW w:type="dxa" w:w="4680"/>
            <w:vAlign w:val="center"/>
            <w:tcMar>
              <w:top w:w="55" w:type="dxa"/>
              <w:start w:w="65" w:type="dxa"/>
              <w:bottom w:w="55" w:type="dxa"/>
              <w:end w:w="65" w:type="dxa"/>
            </w:tcMar>
          </w:tcPr>
          <w:p>
            <w:pPr>
              <w:spacing w:after="0"/>
            </w:pPr>
            <w:r/>
            <w:r>
              <w:rPr>
                <w:rFonts w:ascii="Aptos" w:hAnsi="Aptos"/>
                <w:b w:val="0"/>
                <w:sz w:val="14"/>
              </w:rPr>
              <w:t>Diversification and Asset Allocation for Beginners</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Investments</w:t>
            </w:r>
          </w:p>
        </w:tc>
        <w:tc>
          <w:tcPr>
            <w:tcW w:type="dxa" w:w="2520"/>
            <w:vAlign w:val="center"/>
            <w:tcMar>
              <w:top w:w="55" w:type="dxa"/>
              <w:start w:w="65" w:type="dxa"/>
              <w:bottom w:w="55" w:type="dxa"/>
              <w:end w:w="65" w:type="dxa"/>
            </w:tcMar>
          </w:tcPr>
          <w:p>
            <w:pPr>
              <w:spacing w:after="0"/>
            </w:pPr>
            <w:r/>
            <w:r>
              <w:rPr>
                <w:rFonts w:ascii="Aptos" w:hAnsi="Aptos"/>
                <w:b w:val="0"/>
                <w:sz w:val="14"/>
              </w:rPr>
              <w:t>Review My Investments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VID-010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Inflation Changes Your Future Goals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Goals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Goals</w:t>
            </w:r>
          </w:p>
        </w:tc>
      </w:tr>
      <w:tr>
        <w:tc>
          <w:tcPr>
            <w:tcW w:type="dxa" w:w="1037"/>
            <w:vAlign w:val="center"/>
            <w:tcMar>
              <w:top w:w="55" w:type="dxa"/>
              <w:start w:w="65" w:type="dxa"/>
              <w:bottom w:w="55" w:type="dxa"/>
              <w:end w:w="65" w:type="dxa"/>
            </w:tcMar>
          </w:tcPr>
          <w:p>
            <w:pPr>
              <w:spacing w:after="0"/>
            </w:pPr>
            <w:r/>
            <w:r>
              <w:rPr>
                <w:rFonts w:ascii="Aptos" w:hAnsi="Aptos"/>
                <w:b w:val="0"/>
                <w:sz w:val="14"/>
              </w:rPr>
              <w:t>VID-011</w:t>
            </w:r>
          </w:p>
        </w:tc>
        <w:tc>
          <w:tcPr>
            <w:tcW w:type="dxa" w:w="4680"/>
            <w:vAlign w:val="center"/>
            <w:tcMar>
              <w:top w:w="55" w:type="dxa"/>
              <w:start w:w="65" w:type="dxa"/>
              <w:bottom w:w="55" w:type="dxa"/>
              <w:end w:w="65" w:type="dxa"/>
            </w:tcMar>
          </w:tcPr>
          <w:p>
            <w:pPr>
              <w:spacing w:after="0"/>
            </w:pPr>
            <w:r/>
            <w:r>
              <w:rPr>
                <w:rFonts w:ascii="Aptos" w:hAnsi="Aptos"/>
                <w:b w:val="0"/>
                <w:sz w:val="14"/>
              </w:rPr>
              <w:t>Financial Forecasting: Why Looking Forward Matters</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Forecasting</w:t>
            </w:r>
          </w:p>
        </w:tc>
        <w:tc>
          <w:tcPr>
            <w:tcW w:type="dxa" w:w="2520"/>
            <w:vAlign w:val="center"/>
            <w:tcMar>
              <w:top w:w="55" w:type="dxa"/>
              <w:start w:w="65" w:type="dxa"/>
              <w:bottom w:w="55" w:type="dxa"/>
              <w:end w:w="65" w:type="dxa"/>
            </w:tcMar>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VID-012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Base vs Stress Scenario: A Simple Household Example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My Forecast</w:t>
            </w:r>
          </w:p>
        </w:tc>
      </w:tr>
      <w:tr>
        <w:tc>
          <w:tcPr>
            <w:tcW w:type="dxa" w:w="1037"/>
            <w:vAlign w:val="center"/>
            <w:tcMar>
              <w:top w:w="55" w:type="dxa"/>
              <w:start w:w="65" w:type="dxa"/>
              <w:bottom w:w="55" w:type="dxa"/>
              <w:end w:w="65" w:type="dxa"/>
            </w:tcMar>
          </w:tcPr>
          <w:p>
            <w:pPr>
              <w:spacing w:after="0"/>
            </w:pPr>
            <w:r/>
            <w:r>
              <w:rPr>
                <w:rFonts w:ascii="Aptos" w:hAnsi="Aptos"/>
                <w:b w:val="0"/>
                <w:sz w:val="14"/>
              </w:rPr>
              <w:t>VID-013</w:t>
            </w:r>
          </w:p>
        </w:tc>
        <w:tc>
          <w:tcPr>
            <w:tcW w:type="dxa" w:w="4680"/>
            <w:vAlign w:val="center"/>
            <w:tcMar>
              <w:top w:w="55" w:type="dxa"/>
              <w:start w:w="65" w:type="dxa"/>
              <w:bottom w:w="55" w:type="dxa"/>
              <w:end w:w="65" w:type="dxa"/>
            </w:tcMar>
          </w:tcPr>
          <w:p>
            <w:pPr>
              <w:spacing w:after="0"/>
            </w:pPr>
            <w:r/>
            <w:r>
              <w:rPr>
                <w:rFonts w:ascii="Aptos" w:hAnsi="Aptos"/>
                <w:b w:val="0"/>
                <w:sz w:val="14"/>
              </w:rPr>
              <w:t>Financial Health Score Explained</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Scores</w:t>
            </w:r>
          </w:p>
        </w:tc>
        <w:tc>
          <w:tcPr>
            <w:tcW w:type="dxa" w:w="2520"/>
            <w:vAlign w:val="center"/>
            <w:tcMar>
              <w:top w:w="55" w:type="dxa"/>
              <w:start w:w="65" w:type="dxa"/>
              <w:bottom w:w="55" w:type="dxa"/>
              <w:end w:w="65" w:type="dxa"/>
            </w:tcMar>
          </w:tcPr>
          <w:p>
            <w:pPr>
              <w:spacing w:after="0"/>
            </w:pPr>
            <w:r/>
            <w:r>
              <w:rPr>
                <w:rFonts w:ascii="Aptos" w:hAnsi="Aptos"/>
                <w:b w:val="0"/>
                <w:sz w:val="14"/>
              </w:rPr>
              <w:t>View My Financial Health Score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VID-014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to Read Your FHIP Financial Health Report</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FHIP Core</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Open My Report</w:t>
            </w:r>
          </w:p>
        </w:tc>
      </w:tr>
      <w:tr>
        <w:tc>
          <w:tcPr>
            <w:tcW w:type="dxa" w:w="1037"/>
            <w:vAlign w:val="center"/>
            <w:tcMar>
              <w:top w:w="55" w:type="dxa"/>
              <w:start w:w="65" w:type="dxa"/>
              <w:bottom w:w="55" w:type="dxa"/>
              <w:end w:w="65" w:type="dxa"/>
            </w:tcMar>
          </w:tcPr>
          <w:p>
            <w:pPr>
              <w:spacing w:after="0"/>
            </w:pPr>
            <w:r/>
            <w:r>
              <w:rPr>
                <w:rFonts w:ascii="Aptos" w:hAnsi="Aptos"/>
                <w:b w:val="0"/>
                <w:sz w:val="14"/>
              </w:rPr>
              <w:t>VID-015</w:t>
            </w:r>
          </w:p>
        </w:tc>
        <w:tc>
          <w:tcPr>
            <w:tcW w:type="dxa" w:w="4680"/>
            <w:vAlign w:val="center"/>
            <w:tcMar>
              <w:top w:w="55" w:type="dxa"/>
              <w:start w:w="65" w:type="dxa"/>
              <w:bottom w:w="55" w:type="dxa"/>
              <w:end w:w="65" w:type="dxa"/>
            </w:tcMar>
          </w:tcPr>
          <w:p>
            <w:pPr>
              <w:spacing w:after="0"/>
            </w:pPr>
            <w:r/>
            <w:r>
              <w:rPr>
                <w:rFonts w:ascii="Aptos" w:hAnsi="Aptos"/>
                <w:b w:val="0"/>
                <w:sz w:val="14"/>
              </w:rPr>
              <w:t>Australia-India Cross-Border Net Worth Explained</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VID-016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AUD/INR Currency Movements and Your Wealth</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View My Consolidated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VID-017</w:t>
            </w:r>
          </w:p>
        </w:tc>
        <w:tc>
          <w:tcPr>
            <w:tcW w:type="dxa" w:w="4680"/>
            <w:vAlign w:val="center"/>
            <w:tcMar>
              <w:top w:w="55" w:type="dxa"/>
              <w:start w:w="65" w:type="dxa"/>
              <w:bottom w:w="55" w:type="dxa"/>
              <w:end w:w="65" w:type="dxa"/>
            </w:tcMar>
          </w:tcPr>
          <w:p>
            <w:pPr>
              <w:spacing w:after="0"/>
            </w:pPr>
            <w:r/>
            <w:r>
              <w:rPr>
                <w:rFonts w:ascii="Aptos" w:hAnsi="Aptos"/>
                <w:b w:val="0"/>
                <w:sz w:val="14"/>
              </w:rPr>
              <w:t>Superannuation Explained for Beginners</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VID-018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EPF, PPF and NPS: The Big Picture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Check My Retirement Readiness</w:t>
            </w:r>
          </w:p>
        </w:tc>
      </w:tr>
      <w:tr>
        <w:tc>
          <w:tcPr>
            <w:tcW w:type="dxa" w:w="1037"/>
            <w:vAlign w:val="center"/>
            <w:tcMar>
              <w:top w:w="55" w:type="dxa"/>
              <w:start w:w="65" w:type="dxa"/>
              <w:bottom w:w="55" w:type="dxa"/>
              <w:end w:w="65" w:type="dxa"/>
            </w:tcMar>
          </w:tcPr>
          <w:p>
            <w:pPr>
              <w:spacing w:after="0"/>
            </w:pPr>
            <w:r/>
            <w:r>
              <w:rPr>
                <w:rFonts w:ascii="Aptos" w:hAnsi="Aptos"/>
                <w:b w:val="0"/>
                <w:sz w:val="14"/>
              </w:rPr>
              <w:t>VID-019</w:t>
            </w:r>
          </w:p>
        </w:tc>
        <w:tc>
          <w:tcPr>
            <w:tcW w:type="dxa" w:w="4680"/>
            <w:vAlign w:val="center"/>
            <w:tcMar>
              <w:top w:w="55" w:type="dxa"/>
              <w:start w:w="65" w:type="dxa"/>
              <w:bottom w:w="55" w:type="dxa"/>
              <w:end w:w="65" w:type="dxa"/>
            </w:tcMar>
          </w:tcPr>
          <w:p>
            <w:pPr>
              <w:spacing w:after="0"/>
            </w:pPr>
            <w:r/>
            <w:r>
              <w:rPr>
                <w:rFonts w:ascii="Aptos" w:hAnsi="Aptos"/>
                <w:b w:val="0"/>
                <w:sz w:val="14"/>
              </w:rPr>
              <w:t>Why High Income Does Not Guarantee Financial Security</w:t>
            </w:r>
          </w:p>
        </w:tc>
        <w:tc>
          <w:tcPr>
            <w:tcW w:type="dxa" w:w="1656"/>
            <w:vAlign w:val="center"/>
            <w:tcMar>
              <w:top w:w="55" w:type="dxa"/>
              <w:start w:w="65" w:type="dxa"/>
              <w:bottom w:w="55" w:type="dxa"/>
              <w:end w:w="65" w:type="dxa"/>
            </w:tcMar>
          </w:tcPr>
          <w:p>
            <w:pPr>
              <w:spacing w:after="0"/>
            </w:pPr>
            <w:r/>
            <w:r>
              <w:rPr>
                <w:rFonts w:ascii="Aptos" w:hAnsi="Aptos"/>
                <w:b w:val="0"/>
                <w:sz w:val="14"/>
              </w:rPr>
              <w:t>Video</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Dashboard &amp; Summary Analytics</w:t>
            </w:r>
          </w:p>
        </w:tc>
        <w:tc>
          <w:tcPr>
            <w:tcW w:type="dxa" w:w="2520"/>
            <w:vAlign w:val="center"/>
            <w:tcMar>
              <w:top w:w="55" w:type="dxa"/>
              <w:start w:w="65" w:type="dxa"/>
              <w:bottom w:w="55" w:type="dxa"/>
              <w:end w:w="65" w:type="dxa"/>
            </w:tcMar>
          </w:tcPr>
          <w:p>
            <w:pPr>
              <w:spacing w:after="0"/>
            </w:pPr>
            <w:r/>
            <w:r>
              <w:rPr>
                <w:rFonts w:ascii="Aptos" w:hAnsi="Aptos"/>
                <w:b w:val="0"/>
                <w:sz w:val="14"/>
              </w:rPr>
              <w:t>Check My Financial Health</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VID-020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How Goals, Debt, Investments and Retirement Compete for Your Money</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Video</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Goals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Goals</w:t>
            </w:r>
          </w:p>
        </w:tc>
      </w:tr>
    </w:tbl>
    <w:p>
      <w:pPr>
        <w:spacing w:after="0"/>
      </w:pPr>
    </w:p>
    <w:p>
      <w:pPr>
        <w:pStyle w:val="Heading2"/>
      </w:pPr>
      <w:r>
        <w:t>Glossary</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GLO-001</w:t>
            </w:r>
          </w:p>
        </w:tc>
        <w:tc>
          <w:tcPr>
            <w:tcW w:type="dxa" w:w="4680"/>
            <w:vAlign w:val="center"/>
            <w:tcMar>
              <w:top w:w="55" w:type="dxa"/>
              <w:start w:w="65" w:type="dxa"/>
              <w:bottom w:w="55" w:type="dxa"/>
              <w:end w:w="65" w:type="dxa"/>
            </w:tcMar>
          </w:tcPr>
          <w:p>
            <w:pPr>
              <w:spacing w:after="0"/>
            </w:pPr>
            <w:r/>
            <w:r>
              <w:rPr>
                <w:rFonts w:ascii="Aptos" w:hAnsi="Aptos"/>
                <w:b w:val="0"/>
                <w:sz w:val="14"/>
              </w:rPr>
              <w:t>Asset</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Liability</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GLO-003</w:t>
            </w:r>
          </w:p>
        </w:tc>
        <w:tc>
          <w:tcPr>
            <w:tcW w:type="dxa" w:w="4680"/>
            <w:vAlign w:val="center"/>
            <w:tcMar>
              <w:top w:w="55" w:type="dxa"/>
              <w:start w:w="65" w:type="dxa"/>
              <w:bottom w:w="55" w:type="dxa"/>
              <w:end w:w="65" w:type="dxa"/>
            </w:tcMar>
          </w:tcPr>
          <w:p>
            <w:pPr>
              <w:spacing w:after="0"/>
            </w:pPr>
            <w:r/>
            <w:r>
              <w:rPr>
                <w:rFonts w:ascii="Aptos" w:hAnsi="Aptos"/>
                <w:b w:val="0"/>
                <w:sz w:val="14"/>
              </w:rPr>
              <w:t>Net Worth</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Gross Income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GLO-005</w:t>
            </w:r>
          </w:p>
        </w:tc>
        <w:tc>
          <w:tcPr>
            <w:tcW w:type="dxa" w:w="4680"/>
            <w:vAlign w:val="center"/>
            <w:tcMar>
              <w:top w:w="55" w:type="dxa"/>
              <w:start w:w="65" w:type="dxa"/>
              <w:bottom w:w="55" w:type="dxa"/>
              <w:end w:w="65" w:type="dxa"/>
            </w:tcMar>
          </w:tcPr>
          <w:p>
            <w:pPr>
              <w:spacing w:after="0"/>
            </w:pPr>
            <w:r/>
            <w:r>
              <w:rPr>
                <w:rFonts w:ascii="Aptos" w:hAnsi="Aptos"/>
                <w:b w:val="0"/>
                <w:sz w:val="14"/>
              </w:rPr>
              <w:t>Net Income</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Cash Flow</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GLO-007</w:t>
            </w:r>
          </w:p>
        </w:tc>
        <w:tc>
          <w:tcPr>
            <w:tcW w:type="dxa" w:w="4680"/>
            <w:vAlign w:val="center"/>
            <w:tcMar>
              <w:top w:w="55" w:type="dxa"/>
              <w:start w:w="65" w:type="dxa"/>
              <w:bottom w:w="55" w:type="dxa"/>
              <w:end w:w="65" w:type="dxa"/>
            </w:tcMar>
          </w:tcPr>
          <w:p>
            <w:pPr>
              <w:spacing w:after="0"/>
            </w:pPr>
            <w:r/>
            <w:r>
              <w:rPr>
                <w:rFonts w:ascii="Aptos" w:hAnsi="Aptos"/>
                <w:b w:val="0"/>
                <w:sz w:val="14"/>
              </w:rPr>
              <w:t>Cash Flow Surplus</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Cash Flow Deficit</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GLO-009</w:t>
            </w:r>
          </w:p>
        </w:tc>
        <w:tc>
          <w:tcPr>
            <w:tcW w:type="dxa" w:w="4680"/>
            <w:vAlign w:val="center"/>
            <w:tcMar>
              <w:top w:w="55" w:type="dxa"/>
              <w:start w:w="65" w:type="dxa"/>
              <w:bottom w:w="55" w:type="dxa"/>
              <w:end w:w="65" w:type="dxa"/>
            </w:tcMar>
          </w:tcPr>
          <w:p>
            <w:pPr>
              <w:spacing w:after="0"/>
            </w:pPr>
            <w:r/>
            <w:r>
              <w:rPr>
                <w:rFonts w:ascii="Aptos" w:hAnsi="Aptos"/>
                <w:b w:val="0"/>
                <w:sz w:val="14"/>
              </w:rPr>
              <w:t>Fixed Expense</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GLO-010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Variable Expense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GLO-011</w:t>
            </w:r>
          </w:p>
        </w:tc>
        <w:tc>
          <w:tcPr>
            <w:tcW w:type="dxa" w:w="4680"/>
            <w:vAlign w:val="center"/>
            <w:tcMar>
              <w:top w:w="55" w:type="dxa"/>
              <w:start w:w="65" w:type="dxa"/>
              <w:bottom w:w="55" w:type="dxa"/>
              <w:end w:w="65" w:type="dxa"/>
            </w:tcMar>
          </w:tcPr>
          <w:p>
            <w:pPr>
              <w:spacing w:after="0"/>
            </w:pPr>
            <w:r/>
            <w:r>
              <w:rPr>
                <w:rFonts w:ascii="Aptos" w:hAnsi="Aptos"/>
                <w:b w:val="0"/>
                <w:sz w:val="14"/>
              </w:rPr>
              <w:t>Essential Expense</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GLO-012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Discretionary Expense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GLO-013</w:t>
            </w:r>
          </w:p>
        </w:tc>
        <w:tc>
          <w:tcPr>
            <w:tcW w:type="dxa" w:w="4680"/>
            <w:vAlign w:val="center"/>
            <w:tcMar>
              <w:top w:w="55" w:type="dxa"/>
              <w:start w:w="65" w:type="dxa"/>
              <w:bottom w:w="55" w:type="dxa"/>
              <w:end w:w="65" w:type="dxa"/>
            </w:tcMar>
          </w:tcPr>
          <w:p>
            <w:pPr>
              <w:spacing w:after="0"/>
            </w:pPr>
            <w:r/>
            <w:r>
              <w:rPr>
                <w:rFonts w:ascii="Aptos" w:hAnsi="Aptos"/>
                <w:b w:val="0"/>
                <w:sz w:val="14"/>
              </w:rPr>
              <w:t>Savings Rate</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GLO-014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Emergency Fund</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GLO-015</w:t>
            </w:r>
          </w:p>
        </w:tc>
        <w:tc>
          <w:tcPr>
            <w:tcW w:type="dxa" w:w="4680"/>
            <w:vAlign w:val="center"/>
            <w:tcMar>
              <w:top w:w="55" w:type="dxa"/>
              <w:start w:w="65" w:type="dxa"/>
              <w:bottom w:w="55" w:type="dxa"/>
              <w:end w:w="65" w:type="dxa"/>
            </w:tcMar>
          </w:tcPr>
          <w:p>
            <w:pPr>
              <w:spacing w:after="0"/>
            </w:pPr>
            <w:r/>
            <w:r>
              <w:rPr>
                <w:rFonts w:ascii="Aptos" w:hAnsi="Aptos"/>
                <w:b w:val="0"/>
                <w:sz w:val="14"/>
              </w:rPr>
              <w:t>Liquidity</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D9EAF7"/>
          </w:tcPr>
          <w:p>
            <w:pPr>
              <w:spacing w:after="0"/>
            </w:pPr>
            <w:r/>
            <w:r>
              <w:rPr>
                <w:rFonts w:ascii="Aptos" w:hAnsi="Aptos"/>
                <w:b w:val="0"/>
                <w:sz w:val="14"/>
              </w:rPr>
              <w:t>P0</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GLO-016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Liquid Asset</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GLO-017</w:t>
            </w:r>
          </w:p>
        </w:tc>
        <w:tc>
          <w:tcPr>
            <w:tcW w:type="dxa" w:w="4680"/>
            <w:vAlign w:val="center"/>
            <w:tcMar>
              <w:top w:w="55" w:type="dxa"/>
              <w:start w:w="65" w:type="dxa"/>
              <w:bottom w:w="55" w:type="dxa"/>
              <w:end w:w="65" w:type="dxa"/>
            </w:tcMar>
          </w:tcPr>
          <w:p>
            <w:pPr>
              <w:spacing w:after="0"/>
            </w:pPr>
            <w:r/>
            <w:r>
              <w:rPr>
                <w:rFonts w:ascii="Aptos" w:hAnsi="Aptos"/>
                <w:b w:val="0"/>
                <w:sz w:val="14"/>
              </w:rPr>
              <w:t>Illiquid Asset</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GLO-018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Principal</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GLO-019</w:t>
            </w:r>
          </w:p>
        </w:tc>
        <w:tc>
          <w:tcPr>
            <w:tcW w:type="dxa" w:w="4680"/>
            <w:vAlign w:val="center"/>
            <w:tcMar>
              <w:top w:w="55" w:type="dxa"/>
              <w:start w:w="65" w:type="dxa"/>
              <w:bottom w:w="55" w:type="dxa"/>
              <w:end w:w="65" w:type="dxa"/>
            </w:tcMar>
          </w:tcPr>
          <w:p>
            <w:pPr>
              <w:spacing w:after="0"/>
            </w:pPr>
            <w:r/>
            <w:r>
              <w:rPr>
                <w:rFonts w:ascii="Aptos" w:hAnsi="Aptos"/>
                <w:b w:val="0"/>
                <w:sz w:val="14"/>
              </w:rPr>
              <w:t>Interest</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GLO-020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Debt</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GLO-021</w:t>
            </w:r>
          </w:p>
        </w:tc>
        <w:tc>
          <w:tcPr>
            <w:tcW w:type="dxa" w:w="4680"/>
            <w:vAlign w:val="center"/>
            <w:tcMar>
              <w:top w:w="55" w:type="dxa"/>
              <w:start w:w="65" w:type="dxa"/>
              <w:bottom w:w="55" w:type="dxa"/>
              <w:end w:w="65" w:type="dxa"/>
            </w:tcMar>
          </w:tcPr>
          <w:p>
            <w:pPr>
              <w:spacing w:after="0"/>
            </w:pPr>
            <w:r/>
            <w:r>
              <w:rPr>
                <w:rFonts w:ascii="Aptos" w:hAnsi="Aptos"/>
                <w:b w:val="0"/>
                <w:sz w:val="14"/>
              </w:rPr>
              <w:t>Mortgage</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GLO-022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Credit Card Balance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GLO-023</w:t>
            </w:r>
          </w:p>
        </w:tc>
        <w:tc>
          <w:tcPr>
            <w:tcW w:type="dxa" w:w="4680"/>
            <w:vAlign w:val="center"/>
            <w:tcMar>
              <w:top w:w="55" w:type="dxa"/>
              <w:start w:w="65" w:type="dxa"/>
              <w:bottom w:w="55" w:type="dxa"/>
              <w:end w:w="65" w:type="dxa"/>
            </w:tcMar>
          </w:tcPr>
          <w:p>
            <w:pPr>
              <w:spacing w:after="0"/>
            </w:pPr>
            <w:r/>
            <w:r>
              <w:rPr>
                <w:rFonts w:ascii="Aptos" w:hAnsi="Aptos"/>
                <w:b w:val="0"/>
                <w:sz w:val="14"/>
              </w:rPr>
              <w:t>Debt-to-Income Ratio</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GLO-024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Debt Service Ratio</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GLO-025</w:t>
            </w:r>
          </w:p>
        </w:tc>
        <w:tc>
          <w:tcPr>
            <w:tcW w:type="dxa" w:w="4680"/>
            <w:vAlign w:val="center"/>
            <w:tcMar>
              <w:top w:w="55" w:type="dxa"/>
              <w:start w:w="65" w:type="dxa"/>
              <w:bottom w:w="55" w:type="dxa"/>
              <w:end w:w="65" w:type="dxa"/>
            </w:tcMar>
          </w:tcPr>
          <w:p>
            <w:pPr>
              <w:spacing w:after="0"/>
            </w:pPr>
            <w:r/>
            <w:r>
              <w:rPr>
                <w:rFonts w:ascii="Aptos" w:hAnsi="Aptos"/>
                <w:b w:val="0"/>
                <w:sz w:val="14"/>
              </w:rPr>
              <w:t>Compounding</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GLO-026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Inflation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GLO-027</w:t>
            </w:r>
          </w:p>
        </w:tc>
        <w:tc>
          <w:tcPr>
            <w:tcW w:type="dxa" w:w="4680"/>
            <w:vAlign w:val="center"/>
            <w:tcMar>
              <w:top w:w="55" w:type="dxa"/>
              <w:start w:w="65" w:type="dxa"/>
              <w:bottom w:w="55" w:type="dxa"/>
              <w:end w:w="65" w:type="dxa"/>
            </w:tcMar>
          </w:tcPr>
          <w:p>
            <w:pPr>
              <w:spacing w:after="0"/>
            </w:pPr>
            <w:r/>
            <w:r>
              <w:rPr>
                <w:rFonts w:ascii="Aptos" w:hAnsi="Aptos"/>
                <w:b w:val="0"/>
                <w:sz w:val="14"/>
              </w:rPr>
              <w:t>Nominal Return</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GLO-028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Real Return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GLO-029</w:t>
            </w:r>
          </w:p>
        </w:tc>
        <w:tc>
          <w:tcPr>
            <w:tcW w:type="dxa" w:w="4680"/>
            <w:vAlign w:val="center"/>
            <w:tcMar>
              <w:top w:w="55" w:type="dxa"/>
              <w:start w:w="65" w:type="dxa"/>
              <w:bottom w:w="55" w:type="dxa"/>
              <w:end w:w="65" w:type="dxa"/>
            </w:tcMar>
          </w:tcPr>
          <w:p>
            <w:pPr>
              <w:spacing w:after="0"/>
            </w:pPr>
            <w:r/>
            <w:r>
              <w:rPr>
                <w:rFonts w:ascii="Aptos" w:hAnsi="Aptos"/>
                <w:b w:val="0"/>
                <w:sz w:val="14"/>
              </w:rPr>
              <w:t>Volatility</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GLO-030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Diversification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GLO-031</w:t>
            </w:r>
          </w:p>
        </w:tc>
        <w:tc>
          <w:tcPr>
            <w:tcW w:type="dxa" w:w="4680"/>
            <w:vAlign w:val="center"/>
            <w:tcMar>
              <w:top w:w="55" w:type="dxa"/>
              <w:start w:w="65" w:type="dxa"/>
              <w:bottom w:w="55" w:type="dxa"/>
              <w:end w:w="65" w:type="dxa"/>
            </w:tcMar>
          </w:tcPr>
          <w:p>
            <w:pPr>
              <w:spacing w:after="0"/>
            </w:pPr>
            <w:r/>
            <w:r>
              <w:rPr>
                <w:rFonts w:ascii="Aptos" w:hAnsi="Aptos"/>
                <w:b w:val="0"/>
                <w:sz w:val="14"/>
              </w:rPr>
              <w:t>Asset Allocation</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GLO-032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Time Horizon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GLO-033</w:t>
            </w:r>
          </w:p>
        </w:tc>
        <w:tc>
          <w:tcPr>
            <w:tcW w:type="dxa" w:w="4680"/>
            <w:vAlign w:val="center"/>
            <w:tcMar>
              <w:top w:w="55" w:type="dxa"/>
              <w:start w:w="65" w:type="dxa"/>
              <w:bottom w:w="55" w:type="dxa"/>
              <w:end w:w="65" w:type="dxa"/>
            </w:tcMar>
          </w:tcPr>
          <w:p>
            <w:pPr>
              <w:spacing w:after="0"/>
            </w:pPr>
            <w:r/>
            <w:r>
              <w:rPr>
                <w:rFonts w:ascii="Aptos" w:hAnsi="Aptos"/>
                <w:b w:val="0"/>
                <w:sz w:val="14"/>
              </w:rPr>
              <w:t>Rebalancing</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GLO-034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Financial Goal</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GLO-035</w:t>
            </w:r>
          </w:p>
        </w:tc>
        <w:tc>
          <w:tcPr>
            <w:tcW w:type="dxa" w:w="4680"/>
            <w:vAlign w:val="center"/>
            <w:tcMar>
              <w:top w:w="55" w:type="dxa"/>
              <w:start w:w="65" w:type="dxa"/>
              <w:bottom w:w="55" w:type="dxa"/>
              <w:end w:w="65" w:type="dxa"/>
            </w:tcMar>
          </w:tcPr>
          <w:p>
            <w:pPr>
              <w:spacing w:after="0"/>
            </w:pPr>
            <w:r/>
            <w:r>
              <w:rPr>
                <w:rFonts w:ascii="Aptos" w:hAnsi="Aptos"/>
                <w:b w:val="0"/>
                <w:sz w:val="14"/>
              </w:rPr>
              <w:t>Goal Funding Ratio</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GLO-036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Superannuation</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GLO-037</w:t>
            </w:r>
          </w:p>
        </w:tc>
        <w:tc>
          <w:tcPr>
            <w:tcW w:type="dxa" w:w="4680"/>
            <w:vAlign w:val="center"/>
            <w:tcMar>
              <w:top w:w="55" w:type="dxa"/>
              <w:start w:w="65" w:type="dxa"/>
              <w:bottom w:w="55" w:type="dxa"/>
              <w:end w:w="65" w:type="dxa"/>
            </w:tcMar>
          </w:tcPr>
          <w:p>
            <w:pPr>
              <w:spacing w:after="0"/>
            </w:pPr>
            <w:r/>
            <w:r>
              <w:rPr>
                <w:rFonts w:ascii="Aptos" w:hAnsi="Aptos"/>
                <w:b w:val="0"/>
                <w:sz w:val="14"/>
              </w:rPr>
              <w:t>EPF</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GLO-038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PPF</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GLO-039</w:t>
            </w:r>
          </w:p>
        </w:tc>
        <w:tc>
          <w:tcPr>
            <w:tcW w:type="dxa" w:w="4680"/>
            <w:vAlign w:val="center"/>
            <w:tcMar>
              <w:top w:w="55" w:type="dxa"/>
              <w:start w:w="65" w:type="dxa"/>
              <w:bottom w:w="55" w:type="dxa"/>
              <w:end w:w="65" w:type="dxa"/>
            </w:tcMar>
          </w:tcPr>
          <w:p>
            <w:pPr>
              <w:spacing w:after="0"/>
            </w:pPr>
            <w:r/>
            <w:r>
              <w:rPr>
                <w:rFonts w:ascii="Aptos" w:hAnsi="Aptos"/>
                <w:b w:val="0"/>
                <w:sz w:val="14"/>
              </w:rPr>
              <w:t>NPS</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India</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GLO-040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Retirement Corpus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GLO-041</w:t>
            </w:r>
          </w:p>
        </w:tc>
        <w:tc>
          <w:tcPr>
            <w:tcW w:type="dxa" w:w="4680"/>
            <w:vAlign w:val="center"/>
            <w:tcMar>
              <w:top w:w="55" w:type="dxa"/>
              <w:start w:w="65" w:type="dxa"/>
              <w:bottom w:w="55" w:type="dxa"/>
              <w:end w:w="65" w:type="dxa"/>
            </w:tcMar>
          </w:tcPr>
          <w:p>
            <w:pPr>
              <w:spacing w:after="0"/>
            </w:pPr>
            <w:r/>
            <w:r>
              <w:rPr>
                <w:rFonts w:ascii="Aptos" w:hAnsi="Aptos"/>
                <w:b w:val="0"/>
                <w:sz w:val="14"/>
              </w:rPr>
              <w:t>Insurance</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GLO-042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Underinsurance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GLO-043</w:t>
            </w:r>
          </w:p>
        </w:tc>
        <w:tc>
          <w:tcPr>
            <w:tcW w:type="dxa" w:w="4680"/>
            <w:vAlign w:val="center"/>
            <w:tcMar>
              <w:top w:w="55" w:type="dxa"/>
              <w:start w:w="65" w:type="dxa"/>
              <w:bottom w:w="55" w:type="dxa"/>
              <w:end w:w="65" w:type="dxa"/>
            </w:tcMar>
          </w:tcPr>
          <w:p>
            <w:pPr>
              <w:spacing w:after="0"/>
            </w:pPr>
            <w:r/>
            <w:r>
              <w:rPr>
                <w:rFonts w:ascii="Aptos" w:hAnsi="Aptos"/>
                <w:b w:val="0"/>
                <w:sz w:val="14"/>
              </w:rPr>
              <w:t>Financial Resilience</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GLO-044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Financial Health Score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GLO-045</w:t>
            </w:r>
          </w:p>
        </w:tc>
        <w:tc>
          <w:tcPr>
            <w:tcW w:type="dxa" w:w="4680"/>
            <w:vAlign w:val="center"/>
            <w:tcMar>
              <w:top w:w="55" w:type="dxa"/>
              <w:start w:w="65" w:type="dxa"/>
              <w:bottom w:w="55" w:type="dxa"/>
              <w:end w:w="65" w:type="dxa"/>
            </w:tcMar>
          </w:tcPr>
          <w:p>
            <w:pPr>
              <w:spacing w:after="0"/>
            </w:pPr>
            <w:r/>
            <w:r>
              <w:rPr>
                <w:rFonts w:ascii="Aptos" w:hAnsi="Aptos"/>
                <w:b w:val="0"/>
                <w:sz w:val="14"/>
              </w:rPr>
              <w:t>Benchmark</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GLO-046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Peer Group</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GLO-047</w:t>
            </w:r>
          </w:p>
        </w:tc>
        <w:tc>
          <w:tcPr>
            <w:tcW w:type="dxa" w:w="4680"/>
            <w:vAlign w:val="center"/>
            <w:tcMar>
              <w:top w:w="55" w:type="dxa"/>
              <w:start w:w="65" w:type="dxa"/>
              <w:bottom w:w="55" w:type="dxa"/>
              <w:end w:w="65" w:type="dxa"/>
            </w:tcMar>
          </w:tcPr>
          <w:p>
            <w:pPr>
              <w:spacing w:after="0"/>
            </w:pPr>
            <w:r/>
            <w:r>
              <w:rPr>
                <w:rFonts w:ascii="Aptos" w:hAnsi="Aptos"/>
                <w:b w:val="0"/>
                <w:sz w:val="14"/>
              </w:rPr>
              <w:t>Forecast</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GLO-048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Scenario Analysis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tcPr>
          <w:p>
            <w:pPr>
              <w:spacing w:after="0"/>
            </w:pPr>
            <w:r/>
            <w:r>
              <w:rPr>
                <w:rFonts w:ascii="Aptos" w:hAnsi="Aptos"/>
                <w:b w:val="0"/>
                <w:sz w:val="14"/>
              </w:rPr>
              <w:t>GLO-049</w:t>
            </w:r>
          </w:p>
        </w:tc>
        <w:tc>
          <w:tcPr>
            <w:tcW w:type="dxa" w:w="4680"/>
            <w:vAlign w:val="center"/>
            <w:tcMar>
              <w:top w:w="55" w:type="dxa"/>
              <w:start w:w="65" w:type="dxa"/>
              <w:bottom w:w="55" w:type="dxa"/>
              <w:end w:w="65" w:type="dxa"/>
            </w:tcMar>
          </w:tcPr>
          <w:p>
            <w:pPr>
              <w:spacing w:after="0"/>
            </w:pPr>
            <w:r/>
            <w:r>
              <w:rPr>
                <w:rFonts w:ascii="Aptos" w:hAnsi="Aptos"/>
                <w:b w:val="0"/>
                <w:sz w:val="14"/>
              </w:rPr>
              <w:t>Currency Risk</w:t>
            </w:r>
          </w:p>
        </w:tc>
        <w:tc>
          <w:tcPr>
            <w:tcW w:type="dxa" w:w="1656"/>
            <w:vAlign w:val="center"/>
            <w:tcMar>
              <w:top w:w="55" w:type="dxa"/>
              <w:start w:w="65" w:type="dxa"/>
              <w:bottom w:w="55" w:type="dxa"/>
              <w:end w:w="65" w:type="dxa"/>
            </w:tcMar>
          </w:tcPr>
          <w:p>
            <w:pPr>
              <w:spacing w:after="0"/>
            </w:pPr>
            <w:r/>
            <w:r>
              <w:rPr>
                <w:rFonts w:ascii="Aptos" w:hAnsi="Aptos"/>
                <w:b w:val="0"/>
                <w:sz w:val="14"/>
              </w:rPr>
              <w:t>Glossary</w:t>
            </w:r>
          </w:p>
        </w:tc>
        <w:tc>
          <w:tcPr>
            <w:tcW w:type="dxa" w:w="1944"/>
            <w:vAlign w:val="center"/>
            <w:tcMar>
              <w:top w:w="55" w:type="dxa"/>
              <w:start w:w="65" w:type="dxa"/>
              <w:bottom w:w="55" w:type="dxa"/>
              <w:end w:w="65" w:type="dxa"/>
            </w:tcMar>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tcPr>
          <w:p>
            <w:pPr>
              <w:spacing w:after="0"/>
            </w:pPr>
            <w:r/>
            <w:r>
              <w:rPr>
                <w:rFonts w:ascii="Aptos" w:hAnsi="Aptos"/>
                <w:b w:val="0"/>
                <w:sz w:val="14"/>
              </w:rPr>
              <w:t>Explore Related Guide</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GLO-050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Exchange Rate</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Glossary</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Global</w:t>
            </w:r>
          </w:p>
        </w:tc>
        <w:tc>
          <w:tcPr>
            <w:tcW w:type="dxa" w:w="936"/>
            <w:vAlign w:val="center"/>
            <w:tcMar>
              <w:top w:w="55" w:type="dxa"/>
              <w:start w:w="65" w:type="dxa"/>
              <w:bottom w:w="55" w:type="dxa"/>
              <w:end w:w="65" w:type="dxa"/>
            </w:tcMar>
            <w:shd w:fill="E2F0D9"/>
          </w:tcPr>
          <w:p>
            <w:pPr>
              <w:spacing w:after="0"/>
            </w:pPr>
            <w:r/>
            <w:r>
              <w:rPr>
                <w:rFonts w:ascii="Aptos" w:hAnsi="Aptos"/>
                <w:b w:val="0"/>
                <w:sz w:val="14"/>
              </w:rPr>
              <w:t>P1</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Resources / Contextual Help</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Explore Related Guide</w:t>
            </w:r>
          </w:p>
        </w:tc>
      </w:tr>
    </w:tbl>
    <w:p>
      <w:pPr>
        <w:spacing w:after="0"/>
      </w:pPr>
    </w:p>
    <w:p>
      <w:pPr>
        <w:pStyle w:val="Heading2"/>
      </w:pPr>
      <w:r>
        <w:t>Money Updates</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037"/>
            <w:vAlign w:val="center"/>
            <w:shd w:fill="0B1F3A"/>
            <w:tcMar>
              <w:top w:w="70" w:type="dxa"/>
              <w:start w:w="70" w:type="dxa"/>
              <w:bottom w:w="70" w:type="dxa"/>
              <w:end w:w="70" w:type="dxa"/>
            </w:tcMar>
          </w:tcPr>
          <w:p>
            <w:pPr>
              <w:spacing w:after="0"/>
            </w:pPr>
            <w:r/>
            <w:r>
              <w:rPr>
                <w:rFonts w:ascii="Aptos" w:hAnsi="Aptos"/>
                <w:b/>
                <w:color w:val="FFFFFF"/>
                <w:sz w:val="14"/>
              </w:rPr>
              <w:t>ID</w:t>
            </w:r>
          </w:p>
        </w:tc>
        <w:tc>
          <w:tcPr>
            <w:tcW w:type="dxa" w:w="4680"/>
            <w:vAlign w:val="center"/>
            <w:shd w:fill="0B1F3A"/>
            <w:tcMar>
              <w:top w:w="70" w:type="dxa"/>
              <w:start w:w="70" w:type="dxa"/>
              <w:bottom w:w="70" w:type="dxa"/>
              <w:end w:w="70" w:type="dxa"/>
            </w:tcMar>
          </w:tcPr>
          <w:p>
            <w:pPr>
              <w:spacing w:after="0"/>
            </w:pPr>
            <w:r/>
            <w:r>
              <w:rPr>
                <w:rFonts w:ascii="Aptos" w:hAnsi="Aptos"/>
                <w:b/>
                <w:color w:val="FFFFFF"/>
                <w:sz w:val="14"/>
              </w:rPr>
              <w:t>Title</w:t>
            </w:r>
          </w:p>
        </w:tc>
        <w:tc>
          <w:tcPr>
            <w:tcW w:type="dxa" w:w="1656"/>
            <w:vAlign w:val="center"/>
            <w:shd w:fill="0B1F3A"/>
            <w:tcMar>
              <w:top w:w="70" w:type="dxa"/>
              <w:start w:w="70" w:type="dxa"/>
              <w:bottom w:w="70" w:type="dxa"/>
              <w:end w:w="70" w:type="dxa"/>
            </w:tcMar>
          </w:tcPr>
          <w:p>
            <w:pPr>
              <w:spacing w:after="0"/>
            </w:pPr>
            <w:r/>
            <w:r>
              <w:rPr>
                <w:rFonts w:ascii="Aptos" w:hAnsi="Aptos"/>
                <w:b/>
                <w:color w:val="FFFFFF"/>
                <w:sz w:val="14"/>
              </w:rPr>
              <w:t>Type</w:t>
            </w:r>
          </w:p>
        </w:tc>
        <w:tc>
          <w:tcPr>
            <w:tcW w:type="dxa" w:w="1944"/>
            <w:vAlign w:val="center"/>
            <w:shd w:fill="0B1F3A"/>
            <w:tcMar>
              <w:top w:w="70" w:type="dxa"/>
              <w:start w:w="70" w:type="dxa"/>
              <w:bottom w:w="70" w:type="dxa"/>
              <w:end w:w="70" w:type="dxa"/>
            </w:tcMar>
          </w:tcPr>
          <w:p>
            <w:pPr>
              <w:spacing w:after="0"/>
            </w:pPr>
            <w:r/>
            <w:r>
              <w:rPr>
                <w:rFonts w:ascii="Aptos" w:hAnsi="Aptos"/>
                <w:b/>
                <w:color w:val="FFFFFF"/>
                <w:sz w:val="14"/>
              </w:rPr>
              <w:t>Jurisdiction</w:t>
            </w:r>
          </w:p>
        </w:tc>
        <w:tc>
          <w:tcPr>
            <w:tcW w:type="dxa" w:w="936"/>
            <w:vAlign w:val="center"/>
            <w:shd w:fill="0B1F3A"/>
            <w:tcMar>
              <w:top w:w="70" w:type="dxa"/>
              <w:start w:w="70" w:type="dxa"/>
              <w:bottom w:w="70" w:type="dxa"/>
              <w:end w:w="70" w:type="dxa"/>
            </w:tcMar>
          </w:tcPr>
          <w:p>
            <w:pPr>
              <w:spacing w:after="0"/>
            </w:pPr>
            <w:r/>
            <w:r>
              <w:rPr>
                <w:rFonts w:ascii="Aptos" w:hAnsi="Aptos"/>
                <w:b/>
                <w:color w:val="FFFFFF"/>
                <w:sz w:val="14"/>
              </w:rPr>
              <w:t>Priority</w:t>
            </w:r>
          </w:p>
        </w:tc>
        <w:tc>
          <w:tcPr>
            <w:tcW w:type="dxa" w:w="2376"/>
            <w:vAlign w:val="center"/>
            <w:shd w:fill="0B1F3A"/>
            <w:tcMar>
              <w:top w:w="70" w:type="dxa"/>
              <w:start w:w="70" w:type="dxa"/>
              <w:bottom w:w="70" w:type="dxa"/>
              <w:end w:w="70" w:type="dxa"/>
            </w:tcMar>
          </w:tcPr>
          <w:p>
            <w:pPr>
              <w:spacing w:after="0"/>
            </w:pPr>
            <w:r/>
            <w:r>
              <w:rPr>
                <w:rFonts w:ascii="Aptos" w:hAnsi="Aptos"/>
                <w:b/>
                <w:color w:val="FFFFFF"/>
                <w:sz w:val="14"/>
              </w:rPr>
              <w:t>FHIP Module</w:t>
            </w:r>
          </w:p>
        </w:tc>
        <w:tc>
          <w:tcPr>
            <w:tcW w:type="dxa" w:w="2520"/>
            <w:vAlign w:val="center"/>
            <w:shd w:fill="0B1F3A"/>
            <w:tcMar>
              <w:top w:w="70" w:type="dxa"/>
              <w:start w:w="70" w:type="dxa"/>
              <w:bottom w:w="70" w:type="dxa"/>
              <w:end w:w="70" w:type="dxa"/>
            </w:tcMar>
          </w:tcPr>
          <w:p>
            <w:pPr>
              <w:spacing w:after="0"/>
            </w:pPr>
            <w:r/>
            <w:r>
              <w:rPr>
                <w:rFonts w:ascii="Aptos" w:hAnsi="Aptos"/>
                <w:b/>
                <w:color w:val="FFFFFF"/>
                <w:sz w:val="14"/>
              </w:rPr>
              <w:t>Primary CTA</w:t>
            </w:r>
          </w:p>
        </w:tc>
      </w:tr>
      <w:tr>
        <w:tc>
          <w:tcPr>
            <w:tcW w:type="dxa" w:w="1037"/>
            <w:vAlign w:val="center"/>
            <w:tcMar>
              <w:top w:w="55" w:type="dxa"/>
              <w:start w:w="65" w:type="dxa"/>
              <w:bottom w:w="55" w:type="dxa"/>
              <w:end w:w="65" w:type="dxa"/>
            </w:tcMar>
          </w:tcPr>
          <w:p>
            <w:pPr>
              <w:spacing w:after="0"/>
            </w:pPr>
            <w:r/>
            <w:r>
              <w:rPr>
                <w:rFonts w:ascii="Aptos" w:hAnsi="Aptos"/>
                <w:b w:val="0"/>
                <w:sz w:val="14"/>
              </w:rPr>
              <w:t>MU-001</w:t>
            </w:r>
          </w:p>
        </w:tc>
        <w:tc>
          <w:tcPr>
            <w:tcW w:type="dxa" w:w="4680"/>
            <w:vAlign w:val="center"/>
            <w:tcMar>
              <w:top w:w="55" w:type="dxa"/>
              <w:start w:w="65" w:type="dxa"/>
              <w:bottom w:w="55" w:type="dxa"/>
              <w:end w:w="65" w:type="dxa"/>
            </w:tcMar>
          </w:tcPr>
          <w:p>
            <w:pPr>
              <w:spacing w:after="0"/>
            </w:pPr>
            <w:r/>
            <w:r>
              <w:rPr>
                <w:rFonts w:ascii="Aptos" w:hAnsi="Aptos"/>
                <w:b w:val="0"/>
                <w:sz w:val="14"/>
              </w:rPr>
              <w:t>RBA Cash Rate Decision: What It Means for Household Finances</w:t>
            </w:r>
          </w:p>
        </w:tc>
        <w:tc>
          <w:tcPr>
            <w:tcW w:type="dxa" w:w="1656"/>
            <w:vAlign w:val="center"/>
            <w:tcMar>
              <w:top w:w="55" w:type="dxa"/>
              <w:start w:w="65" w:type="dxa"/>
              <w:bottom w:w="55" w:type="dxa"/>
              <w:end w:w="65" w:type="dxa"/>
            </w:tcMar>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MU-002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Australian Inflation Update: What It Could Mean for Your Budget</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MU-003</w:t>
            </w:r>
          </w:p>
        </w:tc>
        <w:tc>
          <w:tcPr>
            <w:tcW w:type="dxa" w:w="4680"/>
            <w:vAlign w:val="center"/>
            <w:tcMar>
              <w:top w:w="55" w:type="dxa"/>
              <w:start w:w="65" w:type="dxa"/>
              <w:bottom w:w="55" w:type="dxa"/>
              <w:end w:w="65" w:type="dxa"/>
            </w:tcMar>
          </w:tcPr>
          <w:p>
            <w:pPr>
              <w:spacing w:after="0"/>
            </w:pPr>
            <w:r/>
            <w:r>
              <w:rPr>
                <w:rFonts w:ascii="Aptos" w:hAnsi="Aptos"/>
                <w:b w:val="0"/>
                <w:sz w:val="14"/>
              </w:rPr>
              <w:t>Australian Superannuation Rule Change: What Users Should Know</w:t>
            </w:r>
          </w:p>
        </w:tc>
        <w:tc>
          <w:tcPr>
            <w:tcW w:type="dxa" w:w="1656"/>
            <w:vAlign w:val="center"/>
            <w:tcMar>
              <w:top w:w="55" w:type="dxa"/>
              <w:start w:w="65" w:type="dxa"/>
              <w:bottom w:w="55" w:type="dxa"/>
              <w:end w:w="65" w:type="dxa"/>
            </w:tcMar>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MU-004</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Australian Tax Change: What It Could Mean for Household Cash Flow</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MU-005</w:t>
            </w:r>
          </w:p>
        </w:tc>
        <w:tc>
          <w:tcPr>
            <w:tcW w:type="dxa" w:w="4680"/>
            <w:vAlign w:val="center"/>
            <w:tcMar>
              <w:top w:w="55" w:type="dxa"/>
              <w:start w:w="65" w:type="dxa"/>
              <w:bottom w:w="55" w:type="dxa"/>
              <w:end w:w="65" w:type="dxa"/>
            </w:tcMar>
          </w:tcPr>
          <w:p>
            <w:pPr>
              <w:spacing w:after="0"/>
            </w:pPr>
            <w:r/>
            <w:r>
              <w:rPr>
                <w:rFonts w:ascii="Aptos" w:hAnsi="Aptos"/>
                <w:b w:val="0"/>
                <w:sz w:val="14"/>
              </w:rPr>
              <w:t>Australian Mortgage and Household Credit Update</w:t>
            </w:r>
          </w:p>
        </w:tc>
        <w:tc>
          <w:tcPr>
            <w:tcW w:type="dxa" w:w="1656"/>
            <w:vAlign w:val="center"/>
            <w:tcMar>
              <w:top w:w="55" w:type="dxa"/>
              <w:start w:w="65" w:type="dxa"/>
              <w:bottom w:w="55" w:type="dxa"/>
              <w:end w:w="65" w:type="dxa"/>
            </w:tcMar>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tcPr>
          <w:p>
            <w:pPr>
              <w:spacing w:after="0"/>
            </w:pPr>
            <w:r/>
            <w:r>
              <w:rPr>
                <w:rFonts w:ascii="Aptos" w:hAnsi="Aptos"/>
                <w:b w:val="0"/>
                <w:sz w:val="14"/>
              </w:rPr>
              <w:t>Australia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MU-006</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RBI Monetary Policy Decision: What It Means for Borrowers and Savers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Liabilities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MU-007</w:t>
            </w:r>
          </w:p>
        </w:tc>
        <w:tc>
          <w:tcPr>
            <w:tcW w:type="dxa" w:w="4680"/>
            <w:vAlign w:val="center"/>
            <w:tcMar>
              <w:top w:w="55" w:type="dxa"/>
              <w:start w:w="65" w:type="dxa"/>
              <w:bottom w:w="55" w:type="dxa"/>
              <w:end w:w="65" w:type="dxa"/>
            </w:tcMar>
          </w:tcPr>
          <w:p>
            <w:pPr>
              <w:spacing w:after="0"/>
            </w:pPr>
            <w:r/>
            <w:r>
              <w:rPr>
                <w:rFonts w:ascii="Aptos" w:hAnsi="Aptos"/>
                <w:b w:val="0"/>
                <w:sz w:val="14"/>
              </w:rPr>
              <w:t>India Inflation Update: What It Could Mean for Household Budgets</w:t>
            </w:r>
          </w:p>
        </w:tc>
        <w:tc>
          <w:tcPr>
            <w:tcW w:type="dxa" w:w="1656"/>
            <w:vAlign w:val="center"/>
            <w:tcMar>
              <w:top w:w="55" w:type="dxa"/>
              <w:start w:w="65" w:type="dxa"/>
              <w:bottom w:w="55" w:type="dxa"/>
              <w:end w:w="65" w:type="dxa"/>
            </w:tcMar>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tcPr>
          <w:p>
            <w:pPr>
              <w:spacing w:after="0"/>
            </w:pPr>
            <w:r/>
            <w:r>
              <w:rPr>
                <w:rFonts w:ascii="Aptos" w:hAnsi="Aptos"/>
                <w:b w:val="0"/>
                <w:sz w:val="14"/>
              </w:rPr>
              <w:t>India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MU-008</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India Tax Change: What It Could Mean for Personal Finances</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Input Data - Income &amp; Expenses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MU-009</w:t>
            </w:r>
          </w:p>
        </w:tc>
        <w:tc>
          <w:tcPr>
            <w:tcW w:type="dxa" w:w="4680"/>
            <w:vAlign w:val="center"/>
            <w:tcMar>
              <w:top w:w="55" w:type="dxa"/>
              <w:start w:w="65" w:type="dxa"/>
              <w:bottom w:w="55" w:type="dxa"/>
              <w:end w:w="65" w:type="dxa"/>
            </w:tcMar>
          </w:tcPr>
          <w:p>
            <w:pPr>
              <w:spacing w:after="0"/>
            </w:pPr>
            <w:r/>
            <w:r>
              <w:rPr>
                <w:rFonts w:ascii="Aptos" w:hAnsi="Aptos"/>
                <w:b w:val="0"/>
                <w:sz w:val="14"/>
              </w:rPr>
              <w:t>India Retirement / Pension Rule Change: EPF, NPS or PPF Impact Explained</w:t>
            </w:r>
          </w:p>
        </w:tc>
        <w:tc>
          <w:tcPr>
            <w:tcW w:type="dxa" w:w="1656"/>
            <w:vAlign w:val="center"/>
            <w:tcMar>
              <w:top w:w="55" w:type="dxa"/>
              <w:start w:w="65" w:type="dxa"/>
              <w:bottom w:w="55" w:type="dxa"/>
              <w:end w:w="65" w:type="dxa"/>
            </w:tcMar>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tcPr>
          <w:p>
            <w:pPr>
              <w:spacing w:after="0"/>
            </w:pPr>
            <w:r/>
            <w:r>
              <w:rPr>
                <w:rFonts w:ascii="Aptos" w:hAnsi="Aptos"/>
                <w:b w:val="0"/>
                <w:sz w:val="14"/>
              </w:rPr>
              <w:t>India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tcPr>
          <w:p>
            <w:pPr>
              <w:spacing w:after="0"/>
            </w:pPr>
            <w:r/>
            <w:r>
              <w:rPr>
                <w:rFonts w:ascii="Aptos" w:hAnsi="Aptos"/>
                <w:b w:val="0"/>
                <w:sz w:val="14"/>
              </w:rPr>
              <w:t>Retirement / Forecasting</w:t>
            </w:r>
          </w:p>
        </w:tc>
        <w:tc>
          <w:tcPr>
            <w:tcW w:type="dxa" w:w="2520"/>
            <w:vAlign w:val="center"/>
            <w:tcMar>
              <w:top w:w="55" w:type="dxa"/>
              <w:start w:w="65" w:type="dxa"/>
              <w:bottom w:w="55" w:type="dxa"/>
              <w:end w:w="65" w:type="dxa"/>
            </w:tcMar>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MU-010</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SEBI Investor Rule Change: What Retail Investors Should Understand</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India</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Investments</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tcPr>
          <w:p>
            <w:pPr>
              <w:spacing w:after="0"/>
            </w:pPr>
            <w:r/>
            <w:r>
              <w:rPr>
                <w:rFonts w:ascii="Aptos" w:hAnsi="Aptos"/>
                <w:b w:val="0"/>
                <w:sz w:val="14"/>
              </w:rPr>
              <w:t>MU-011</w:t>
            </w:r>
          </w:p>
        </w:tc>
        <w:tc>
          <w:tcPr>
            <w:tcW w:type="dxa" w:w="4680"/>
            <w:vAlign w:val="center"/>
            <w:tcMar>
              <w:top w:w="55" w:type="dxa"/>
              <w:start w:w="65" w:type="dxa"/>
              <w:bottom w:w="55" w:type="dxa"/>
              <w:end w:w="65" w:type="dxa"/>
            </w:tcMar>
          </w:tcPr>
          <w:p>
            <w:pPr>
              <w:spacing w:after="0"/>
            </w:pPr>
            <w:r/>
            <w:r>
              <w:rPr>
                <w:rFonts w:ascii="Aptos" w:hAnsi="Aptos"/>
                <w:b w:val="0"/>
                <w:sz w:val="14"/>
              </w:rPr>
              <w:t>AUD/INR Currency Movement: What Cross-Border Households Should Understand</w:t>
            </w:r>
          </w:p>
        </w:tc>
        <w:tc>
          <w:tcPr>
            <w:tcW w:type="dxa" w:w="1656"/>
            <w:vAlign w:val="center"/>
            <w:tcMar>
              <w:top w:w="55" w:type="dxa"/>
              <w:start w:w="65" w:type="dxa"/>
              <w:bottom w:w="55" w:type="dxa"/>
              <w:end w:w="65" w:type="dxa"/>
            </w:tcMar>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tcPr>
          <w:p>
            <w:pPr>
              <w:spacing w:after="0"/>
            </w:pPr>
            <w:r/>
            <w:r>
              <w:rPr>
                <w:rFonts w:ascii="Aptos" w:hAnsi="Aptos"/>
                <w:b w:val="0"/>
                <w:sz w:val="14"/>
              </w:rPr>
              <w:t>Review My Financial Position</w:t>
            </w:r>
          </w:p>
        </w:tc>
      </w:tr>
      <w:tr>
        <w:tc>
          <w:tcPr>
            <w:tcW w:type="dxa" w:w="1037"/>
            <w:vAlign w:val="center"/>
            <w:tcMar>
              <w:top w:w="55" w:type="dxa"/>
              <w:start w:w="65" w:type="dxa"/>
              <w:bottom w:w="55" w:type="dxa"/>
              <w:end w:w="65" w:type="dxa"/>
            </w:tcMar>
            <w:shd w:fill="F4F7FB"/>
          </w:tcPr>
          <w:p>
            <w:pPr>
              <w:spacing w:after="0"/>
            </w:pPr>
            <w:r/>
            <w:r>
              <w:rPr>
                <w:rFonts w:ascii="Aptos" w:hAnsi="Aptos"/>
                <w:b w:val="0"/>
                <w:sz w:val="14"/>
              </w:rPr>
              <w:t>MU-012</w:t>
            </w:r>
          </w:p>
        </w:tc>
        <w:tc>
          <w:tcPr>
            <w:tcW w:type="dxa" w:w="4680"/>
            <w:vAlign w:val="center"/>
            <w:tcMar>
              <w:top w:w="55" w:type="dxa"/>
              <w:start w:w="65" w:type="dxa"/>
              <w:bottom w:w="55" w:type="dxa"/>
              <w:end w:w="65" w:type="dxa"/>
            </w:tcMar>
            <w:shd w:fill="F4F7FB"/>
          </w:tcPr>
          <w:p>
            <w:pPr>
              <w:spacing w:after="0"/>
            </w:pPr>
            <w:r/>
            <w:r>
              <w:rPr>
                <w:rFonts w:ascii="Aptos" w:hAnsi="Aptos"/>
                <w:b w:val="0"/>
                <w:sz w:val="14"/>
              </w:rPr>
              <w:t>Major Australia-India Cross-Border Finance Rule Change: What Users Should Know</w:t>
            </w:r>
          </w:p>
        </w:tc>
        <w:tc>
          <w:tcPr>
            <w:tcW w:type="dxa" w:w="1656"/>
            <w:vAlign w:val="center"/>
            <w:tcMar>
              <w:top w:w="55" w:type="dxa"/>
              <w:start w:w="65" w:type="dxa"/>
              <w:bottom w:w="55" w:type="dxa"/>
              <w:end w:w="65" w:type="dxa"/>
            </w:tcMar>
            <w:shd w:fill="F4F7FB"/>
          </w:tcPr>
          <w:p>
            <w:pPr>
              <w:spacing w:after="0"/>
            </w:pPr>
            <w:r/>
            <w:r>
              <w:rPr>
                <w:rFonts w:ascii="Aptos" w:hAnsi="Aptos"/>
                <w:b w:val="0"/>
                <w:sz w:val="14"/>
              </w:rPr>
              <w:t>Money Update Template</w:t>
            </w:r>
          </w:p>
        </w:tc>
        <w:tc>
          <w:tcPr>
            <w:tcW w:type="dxa" w:w="1944"/>
            <w:vAlign w:val="center"/>
            <w:tcMar>
              <w:top w:w="55" w:type="dxa"/>
              <w:start w:w="65" w:type="dxa"/>
              <w:bottom w:w="55" w:type="dxa"/>
              <w:end w:w="65" w:type="dxa"/>
            </w:tcMar>
            <w:shd w:fill="F4F7FB"/>
          </w:tcPr>
          <w:p>
            <w:pPr>
              <w:spacing w:after="0"/>
            </w:pPr>
            <w:r/>
            <w:r>
              <w:rPr>
                <w:rFonts w:ascii="Aptos" w:hAnsi="Aptos"/>
                <w:b w:val="0"/>
                <w:sz w:val="14"/>
              </w:rPr>
              <w:t>Australia-India Cross-Border</w:t>
            </w:r>
          </w:p>
        </w:tc>
        <w:tc>
          <w:tcPr>
            <w:tcW w:type="dxa" w:w="936"/>
            <w:vAlign w:val="center"/>
            <w:tcMar>
              <w:top w:w="55" w:type="dxa"/>
              <w:start w:w="65" w:type="dxa"/>
              <w:bottom w:w="55" w:type="dxa"/>
              <w:end w:w="65" w:type="dxa"/>
            </w:tcMar>
            <w:shd w:fill="FCE4D6"/>
          </w:tcPr>
          <w:p>
            <w:pPr>
              <w:spacing w:after="0"/>
            </w:pPr>
            <w:r/>
            <w:r>
              <w:rPr>
                <w:rFonts w:ascii="Aptos" w:hAnsi="Aptos"/>
                <w:b w:val="0"/>
                <w:sz w:val="14"/>
              </w:rPr>
              <w:t>Ongoing</w:t>
            </w:r>
          </w:p>
        </w:tc>
        <w:tc>
          <w:tcPr>
            <w:tcW w:type="dxa" w:w="2376"/>
            <w:vAlign w:val="center"/>
            <w:tcMar>
              <w:top w:w="55" w:type="dxa"/>
              <w:start w:w="65" w:type="dxa"/>
              <w:bottom w:w="55" w:type="dxa"/>
              <w:end w:w="65" w:type="dxa"/>
            </w:tcMar>
            <w:shd w:fill="F4F7FB"/>
          </w:tcPr>
          <w:p>
            <w:pPr>
              <w:spacing w:after="0"/>
            </w:pPr>
            <w:r/>
            <w:r>
              <w:rPr>
                <w:rFonts w:ascii="Aptos" w:hAnsi="Aptos"/>
                <w:b w:val="0"/>
                <w:sz w:val="14"/>
              </w:rPr>
              <w:t>Cross-Border / Forecasting</w:t>
            </w:r>
          </w:p>
        </w:tc>
        <w:tc>
          <w:tcPr>
            <w:tcW w:type="dxa" w:w="2520"/>
            <w:vAlign w:val="center"/>
            <w:tcMar>
              <w:top w:w="55" w:type="dxa"/>
              <w:start w:w="65" w:type="dxa"/>
              <w:bottom w:w="55" w:type="dxa"/>
              <w:end w:w="65" w:type="dxa"/>
            </w:tcMar>
            <w:shd w:fill="F4F7FB"/>
          </w:tcPr>
          <w:p>
            <w:pPr>
              <w:spacing w:after="0"/>
            </w:pPr>
            <w:r/>
            <w:r>
              <w:rPr>
                <w:rFonts w:ascii="Aptos" w:hAnsi="Aptos"/>
                <w:b w:val="0"/>
                <w:sz w:val="14"/>
              </w:rPr>
              <w:t>Review My Financial Position</w:t>
            </w:r>
          </w:p>
        </w:tc>
      </w:tr>
    </w:tbl>
    <w:p>
      <w:pPr>
        <w:spacing w:after="0"/>
      </w:pPr>
    </w:p>
    <w:p>
      <w:pPr>
        <w:pStyle w:val="Heading1"/>
      </w:pPr>
      <w:r>
        <w:t>Appendix B — Record Counts by Category</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8352"/>
            <w:vAlign w:val="center"/>
            <w:shd w:fill="0B1F3A"/>
            <w:tcMar>
              <w:top w:w="70" w:type="dxa"/>
              <w:start w:w="70" w:type="dxa"/>
              <w:bottom w:w="70" w:type="dxa"/>
              <w:end w:w="70" w:type="dxa"/>
            </w:tcMar>
          </w:tcPr>
          <w:p>
            <w:pPr>
              <w:spacing w:after="0"/>
            </w:pPr>
            <w:r/>
            <w:r>
              <w:rPr>
                <w:rFonts w:ascii="Aptos" w:hAnsi="Aptos"/>
                <w:b/>
                <w:color w:val="FFFFFF"/>
                <w:sz w:val="17"/>
              </w:rPr>
              <w:t>Category</w:t>
            </w:r>
          </w:p>
        </w:tc>
        <w:tc>
          <w:tcPr>
            <w:tcW w:type="dxa" w:w="1728"/>
            <w:vAlign w:val="center"/>
            <w:shd w:fill="0B1F3A"/>
            <w:tcMar>
              <w:top w:w="70" w:type="dxa"/>
              <w:start w:w="70" w:type="dxa"/>
              <w:bottom w:w="70" w:type="dxa"/>
              <w:end w:w="70" w:type="dxa"/>
            </w:tcMar>
          </w:tcPr>
          <w:p>
            <w:pPr>
              <w:spacing w:after="0"/>
            </w:pPr>
            <w:r/>
            <w:r>
              <w:rPr>
                <w:rFonts w:ascii="Aptos" w:hAnsi="Aptos"/>
                <w:b/>
                <w:color w:val="FFFFFF"/>
                <w:sz w:val="17"/>
              </w:rPr>
              <w:t>Records</w:t>
            </w:r>
          </w:p>
        </w:tc>
      </w:tr>
      <w:tr>
        <w:tc>
          <w:tcPr>
            <w:tcW w:type="dxa" w:w="8352"/>
            <w:vAlign w:val="center"/>
            <w:tcMar>
              <w:top w:w="55" w:type="dxa"/>
              <w:start w:w="65" w:type="dxa"/>
              <w:bottom w:w="55" w:type="dxa"/>
              <w:end w:w="65" w:type="dxa"/>
            </w:tcMar>
          </w:tcPr>
          <w:p>
            <w:pPr>
              <w:spacing w:after="0"/>
            </w:pPr>
            <w:r/>
            <w:r>
              <w:rPr>
                <w:rFonts w:ascii="Aptos" w:hAnsi="Aptos"/>
                <w:b w:val="0"/>
                <w:sz w:val="17"/>
              </w:rPr>
              <w:t>Financial Health</w:t>
            </w:r>
          </w:p>
        </w:tc>
        <w:tc>
          <w:tcPr>
            <w:tcW w:type="dxa" w:w="1728"/>
            <w:vAlign w:val="center"/>
            <w:tcMar>
              <w:top w:w="55" w:type="dxa"/>
              <w:start w:w="65" w:type="dxa"/>
              <w:bottom w:w="55" w:type="dxa"/>
              <w:end w:w="65" w:type="dxa"/>
            </w:tcMar>
          </w:tcPr>
          <w:p>
            <w:pPr>
              <w:spacing w:after="0"/>
            </w:pPr>
            <w:r/>
            <w:r>
              <w:rPr>
                <w:rFonts w:ascii="Aptos" w:hAnsi="Aptos"/>
                <w:b w:val="0"/>
                <w:sz w:val="17"/>
              </w:rPr>
              <w:t>8</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Managing Money &amp; Cash Flow</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10</w:t>
            </w:r>
          </w:p>
        </w:tc>
      </w:tr>
      <w:tr>
        <w:tc>
          <w:tcPr>
            <w:tcW w:type="dxa" w:w="8352"/>
            <w:vAlign w:val="center"/>
            <w:tcMar>
              <w:top w:w="55" w:type="dxa"/>
              <w:start w:w="65" w:type="dxa"/>
              <w:bottom w:w="55" w:type="dxa"/>
              <w:end w:w="65" w:type="dxa"/>
            </w:tcMar>
          </w:tcPr>
          <w:p>
            <w:pPr>
              <w:spacing w:after="0"/>
            </w:pPr>
            <w:r/>
            <w:r>
              <w:rPr>
                <w:rFonts w:ascii="Aptos" w:hAnsi="Aptos"/>
                <w:b w:val="0"/>
                <w:sz w:val="17"/>
              </w:rPr>
              <w:t>Emergency &amp; Resilience</w:t>
            </w:r>
          </w:p>
        </w:tc>
        <w:tc>
          <w:tcPr>
            <w:tcW w:type="dxa" w:w="1728"/>
            <w:vAlign w:val="center"/>
            <w:tcMar>
              <w:top w:w="55" w:type="dxa"/>
              <w:start w:w="65" w:type="dxa"/>
              <w:bottom w:w="55" w:type="dxa"/>
              <w:end w:w="65" w:type="dxa"/>
            </w:tcMar>
          </w:tcPr>
          <w:p>
            <w:pPr>
              <w:spacing w:after="0"/>
            </w:pPr>
            <w:r/>
            <w:r>
              <w:rPr>
                <w:rFonts w:ascii="Aptos" w:hAnsi="Aptos"/>
                <w:b w:val="0"/>
                <w:sz w:val="17"/>
              </w:rPr>
              <w:t>8</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Debt &amp; Borrowing</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10</w:t>
            </w:r>
          </w:p>
        </w:tc>
      </w:tr>
      <w:tr>
        <w:tc>
          <w:tcPr>
            <w:tcW w:type="dxa" w:w="8352"/>
            <w:vAlign w:val="center"/>
            <w:tcMar>
              <w:top w:w="55" w:type="dxa"/>
              <w:start w:w="65" w:type="dxa"/>
              <w:bottom w:w="55" w:type="dxa"/>
              <w:end w:w="65" w:type="dxa"/>
            </w:tcMar>
          </w:tcPr>
          <w:p>
            <w:pPr>
              <w:spacing w:after="0"/>
            </w:pPr>
            <w:r/>
            <w:r>
              <w:rPr>
                <w:rFonts w:ascii="Aptos" w:hAnsi="Aptos"/>
                <w:b w:val="0"/>
                <w:sz w:val="17"/>
              </w:rPr>
              <w:t>Assets &amp; Net Worth</w:t>
            </w:r>
          </w:p>
        </w:tc>
        <w:tc>
          <w:tcPr>
            <w:tcW w:type="dxa" w:w="1728"/>
            <w:vAlign w:val="center"/>
            <w:tcMar>
              <w:top w:w="55" w:type="dxa"/>
              <w:start w:w="65" w:type="dxa"/>
              <w:bottom w:w="55" w:type="dxa"/>
              <w:end w:w="65" w:type="dxa"/>
            </w:tcMar>
          </w:tcPr>
          <w:p>
            <w:pPr>
              <w:spacing w:after="0"/>
            </w:pPr>
            <w:r/>
            <w:r>
              <w:rPr>
                <w:rFonts w:ascii="Aptos" w:hAnsi="Aptos"/>
                <w:b w:val="0"/>
                <w:sz w:val="17"/>
              </w:rPr>
              <w:t>6</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Goals &amp; Planning</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8</w:t>
            </w:r>
          </w:p>
        </w:tc>
      </w:tr>
      <w:tr>
        <w:tc>
          <w:tcPr>
            <w:tcW w:type="dxa" w:w="8352"/>
            <w:vAlign w:val="center"/>
            <w:tcMar>
              <w:top w:w="55" w:type="dxa"/>
              <w:start w:w="65" w:type="dxa"/>
              <w:bottom w:w="55" w:type="dxa"/>
              <w:end w:w="65" w:type="dxa"/>
            </w:tcMar>
          </w:tcPr>
          <w:p>
            <w:pPr>
              <w:spacing w:after="0"/>
            </w:pPr>
            <w:r/>
            <w:r>
              <w:rPr>
                <w:rFonts w:ascii="Aptos" w:hAnsi="Aptos"/>
                <w:b w:val="0"/>
                <w:sz w:val="17"/>
              </w:rPr>
              <w:t>Investing &amp; Building Wealth</w:t>
            </w:r>
          </w:p>
        </w:tc>
        <w:tc>
          <w:tcPr>
            <w:tcW w:type="dxa" w:w="1728"/>
            <w:vAlign w:val="center"/>
            <w:tcMar>
              <w:top w:w="55" w:type="dxa"/>
              <w:start w:w="65" w:type="dxa"/>
              <w:bottom w:w="55" w:type="dxa"/>
              <w:end w:w="65" w:type="dxa"/>
            </w:tcMar>
          </w:tcPr>
          <w:p>
            <w:pPr>
              <w:spacing w:after="0"/>
            </w:pPr>
            <w:r/>
            <w:r>
              <w:rPr>
                <w:rFonts w:ascii="Aptos" w:hAnsi="Aptos"/>
                <w:b w:val="0"/>
                <w:sz w:val="17"/>
              </w:rPr>
              <w:t>12</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Retirement - Australia</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8</w:t>
            </w:r>
          </w:p>
        </w:tc>
      </w:tr>
      <w:tr>
        <w:tc>
          <w:tcPr>
            <w:tcW w:type="dxa" w:w="8352"/>
            <w:vAlign w:val="center"/>
            <w:tcMar>
              <w:top w:w="55" w:type="dxa"/>
              <w:start w:w="65" w:type="dxa"/>
              <w:bottom w:w="55" w:type="dxa"/>
              <w:end w:w="65" w:type="dxa"/>
            </w:tcMar>
          </w:tcPr>
          <w:p>
            <w:pPr>
              <w:spacing w:after="0"/>
            </w:pPr>
            <w:r/>
            <w:r>
              <w:rPr>
                <w:rFonts w:ascii="Aptos" w:hAnsi="Aptos"/>
                <w:b w:val="0"/>
                <w:sz w:val="17"/>
              </w:rPr>
              <w:t>Retirement - India</w:t>
            </w:r>
          </w:p>
        </w:tc>
        <w:tc>
          <w:tcPr>
            <w:tcW w:type="dxa" w:w="1728"/>
            <w:vAlign w:val="center"/>
            <w:tcMar>
              <w:top w:w="55" w:type="dxa"/>
              <w:start w:w="65" w:type="dxa"/>
              <w:bottom w:w="55" w:type="dxa"/>
              <w:end w:w="65" w:type="dxa"/>
            </w:tcMar>
          </w:tcPr>
          <w:p>
            <w:pPr>
              <w:spacing w:after="0"/>
            </w:pPr>
            <w:r/>
            <w:r>
              <w:rPr>
                <w:rFonts w:ascii="Aptos" w:hAnsi="Aptos"/>
                <w:b w:val="0"/>
                <w:sz w:val="17"/>
              </w:rPr>
              <w:t>8</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Insurance &amp; Protection</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6</w:t>
            </w:r>
          </w:p>
        </w:tc>
      </w:tr>
      <w:tr>
        <w:tc>
          <w:tcPr>
            <w:tcW w:type="dxa" w:w="8352"/>
            <w:vAlign w:val="center"/>
            <w:tcMar>
              <w:top w:w="55" w:type="dxa"/>
              <w:start w:w="65" w:type="dxa"/>
              <w:bottom w:w="55" w:type="dxa"/>
              <w:end w:w="65" w:type="dxa"/>
            </w:tcMar>
          </w:tcPr>
          <w:p>
            <w:pPr>
              <w:spacing w:after="0"/>
            </w:pPr>
            <w:r/>
            <w:r>
              <w:rPr>
                <w:rFonts w:ascii="Aptos" w:hAnsi="Aptos"/>
                <w:b w:val="0"/>
                <w:sz w:val="17"/>
              </w:rPr>
              <w:t>Money Behaviour &amp; DNA</w:t>
            </w:r>
          </w:p>
        </w:tc>
        <w:tc>
          <w:tcPr>
            <w:tcW w:type="dxa" w:w="1728"/>
            <w:vAlign w:val="center"/>
            <w:tcMar>
              <w:top w:w="55" w:type="dxa"/>
              <w:start w:w="65" w:type="dxa"/>
              <w:bottom w:w="55" w:type="dxa"/>
              <w:end w:w="65" w:type="dxa"/>
            </w:tcMar>
          </w:tcPr>
          <w:p>
            <w:pPr>
              <w:spacing w:after="0"/>
            </w:pPr>
            <w:r/>
            <w:r>
              <w:rPr>
                <w:rFonts w:ascii="Aptos" w:hAnsi="Aptos"/>
                <w:b w:val="0"/>
                <w:sz w:val="17"/>
              </w:rPr>
              <w:t>6</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Forecasting &amp; Scenario Planning</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6</w:t>
            </w:r>
          </w:p>
        </w:tc>
      </w:tr>
      <w:tr>
        <w:tc>
          <w:tcPr>
            <w:tcW w:type="dxa" w:w="8352"/>
            <w:vAlign w:val="center"/>
            <w:tcMar>
              <w:top w:w="55" w:type="dxa"/>
              <w:start w:w="65" w:type="dxa"/>
              <w:bottom w:w="55" w:type="dxa"/>
              <w:end w:w="65" w:type="dxa"/>
            </w:tcMar>
          </w:tcPr>
          <w:p>
            <w:pPr>
              <w:spacing w:after="0"/>
            </w:pPr>
            <w:r/>
            <w:r>
              <w:rPr>
                <w:rFonts w:ascii="Aptos" w:hAnsi="Aptos"/>
                <w:b w:val="0"/>
                <w:sz w:val="17"/>
              </w:rPr>
              <w:t>Cross-Border Money</w:t>
            </w:r>
          </w:p>
        </w:tc>
        <w:tc>
          <w:tcPr>
            <w:tcW w:type="dxa" w:w="1728"/>
            <w:vAlign w:val="center"/>
            <w:tcMar>
              <w:top w:w="55" w:type="dxa"/>
              <w:start w:w="65" w:type="dxa"/>
              <w:bottom w:w="55" w:type="dxa"/>
              <w:end w:w="65" w:type="dxa"/>
            </w:tcMar>
          </w:tcPr>
          <w:p>
            <w:pPr>
              <w:spacing w:after="0"/>
            </w:pPr>
            <w:r/>
            <w:r>
              <w:rPr>
                <w:rFonts w:ascii="Aptos" w:hAnsi="Aptos"/>
                <w:b w:val="0"/>
                <w:sz w:val="17"/>
              </w:rPr>
              <w:t>8</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Scores &amp; Benchmarks</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6</w:t>
            </w:r>
          </w:p>
        </w:tc>
      </w:tr>
      <w:tr>
        <w:tc>
          <w:tcPr>
            <w:tcW w:type="dxa" w:w="8352"/>
            <w:vAlign w:val="center"/>
            <w:tcMar>
              <w:top w:w="55" w:type="dxa"/>
              <w:start w:w="65" w:type="dxa"/>
              <w:bottom w:w="55" w:type="dxa"/>
              <w:end w:w="65" w:type="dxa"/>
            </w:tcMar>
          </w:tcPr>
          <w:p>
            <w:pPr>
              <w:spacing w:after="0"/>
            </w:pPr>
            <w:r/>
            <w:r>
              <w:rPr>
                <w:rFonts w:ascii="Aptos" w:hAnsi="Aptos"/>
                <w:b w:val="0"/>
                <w:sz w:val="17"/>
              </w:rPr>
              <w:t>FHIP Explained</w:t>
            </w:r>
          </w:p>
        </w:tc>
        <w:tc>
          <w:tcPr>
            <w:tcW w:type="dxa" w:w="1728"/>
            <w:vAlign w:val="center"/>
            <w:tcMar>
              <w:top w:w="55" w:type="dxa"/>
              <w:start w:w="65" w:type="dxa"/>
              <w:bottom w:w="55" w:type="dxa"/>
              <w:end w:w="65" w:type="dxa"/>
            </w:tcMar>
          </w:tcPr>
          <w:p>
            <w:pPr>
              <w:spacing w:after="0"/>
            </w:pPr>
            <w:r/>
            <w:r>
              <w:rPr>
                <w:rFonts w:ascii="Aptos" w:hAnsi="Aptos"/>
                <w:b w:val="0"/>
                <w:sz w:val="17"/>
              </w:rPr>
              <w:t>26</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Video</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20</w:t>
            </w:r>
          </w:p>
        </w:tc>
      </w:tr>
      <w:tr>
        <w:tc>
          <w:tcPr>
            <w:tcW w:type="dxa" w:w="8352"/>
            <w:vAlign w:val="center"/>
            <w:tcMar>
              <w:top w:w="55" w:type="dxa"/>
              <w:start w:w="65" w:type="dxa"/>
              <w:bottom w:w="55" w:type="dxa"/>
              <w:end w:w="65" w:type="dxa"/>
            </w:tcMar>
          </w:tcPr>
          <w:p>
            <w:pPr>
              <w:spacing w:after="0"/>
            </w:pPr>
            <w:r/>
            <w:r>
              <w:rPr>
                <w:rFonts w:ascii="Aptos" w:hAnsi="Aptos"/>
                <w:b w:val="0"/>
                <w:sz w:val="17"/>
              </w:rPr>
              <w:t>Glossary</w:t>
            </w:r>
          </w:p>
        </w:tc>
        <w:tc>
          <w:tcPr>
            <w:tcW w:type="dxa" w:w="1728"/>
            <w:vAlign w:val="center"/>
            <w:tcMar>
              <w:top w:w="55" w:type="dxa"/>
              <w:start w:w="65" w:type="dxa"/>
              <w:bottom w:w="55" w:type="dxa"/>
              <w:end w:w="65" w:type="dxa"/>
            </w:tcMar>
          </w:tcPr>
          <w:p>
            <w:pPr>
              <w:spacing w:after="0"/>
            </w:pPr>
            <w:r/>
            <w:r>
              <w:rPr>
                <w:rFonts w:ascii="Aptos" w:hAnsi="Aptos"/>
                <w:b w:val="0"/>
                <w:sz w:val="17"/>
              </w:rPr>
              <w:t>50</w:t>
            </w:r>
          </w:p>
        </w:tc>
      </w:tr>
      <w:tr>
        <w:tc>
          <w:tcPr>
            <w:tcW w:type="dxa" w:w="8352"/>
            <w:vAlign w:val="center"/>
            <w:tcMar>
              <w:top w:w="55" w:type="dxa"/>
              <w:start w:w="65" w:type="dxa"/>
              <w:bottom w:w="55" w:type="dxa"/>
              <w:end w:w="65" w:type="dxa"/>
            </w:tcMar>
            <w:shd w:fill="F4F7FB"/>
          </w:tcPr>
          <w:p>
            <w:pPr>
              <w:spacing w:after="0"/>
            </w:pPr>
            <w:r/>
            <w:r>
              <w:rPr>
                <w:rFonts w:ascii="Aptos" w:hAnsi="Aptos"/>
                <w:b w:val="0"/>
                <w:sz w:val="17"/>
              </w:rPr>
              <w:t>Money Updates</w:t>
            </w:r>
          </w:p>
        </w:tc>
        <w:tc>
          <w:tcPr>
            <w:tcW w:type="dxa" w:w="1728"/>
            <w:vAlign w:val="center"/>
            <w:tcMar>
              <w:top w:w="55" w:type="dxa"/>
              <w:start w:w="65" w:type="dxa"/>
              <w:bottom w:w="55" w:type="dxa"/>
              <w:end w:w="65" w:type="dxa"/>
            </w:tcMar>
            <w:shd w:fill="F4F7FB"/>
          </w:tcPr>
          <w:p>
            <w:pPr>
              <w:spacing w:after="0"/>
            </w:pPr>
            <w:r/>
            <w:r>
              <w:rPr>
                <w:rFonts w:ascii="Aptos" w:hAnsi="Aptos"/>
                <w:b w:val="0"/>
                <w:sz w:val="17"/>
              </w:rPr>
              <w:t>12</w:t>
            </w:r>
          </w:p>
        </w:tc>
      </w:tr>
    </w:tbl>
    <w:p>
      <w:pPr>
        <w:spacing w:after="0"/>
      </w:pPr>
    </w:p>
    <w:p>
      <w:pPr>
        <w:pStyle w:val="Heading1"/>
      </w:pPr>
      <w:r>
        <w:t>Appendix C — Key Decisions to Carry into R0-B</w:t>
      </w:r>
    </w:p>
    <w:p>
      <w:pPr>
        <w:pStyle w:val="ListBullet"/>
        <w:spacing w:after="40"/>
      </w:pPr>
      <w:r>
        <w:rPr>
          <w:rFonts w:ascii="Aptos" w:hAnsi="Aptos"/>
          <w:sz w:val="20"/>
        </w:rPr>
        <w:t>One Resources CMS manages Articles, Guides, FHIP Explainers, Video Resources, Glossary and Money Updates.</w:t>
      </w:r>
    </w:p>
    <w:p>
      <w:pPr>
        <w:pStyle w:val="ListBullet"/>
        <w:spacing w:after="40"/>
      </w:pPr>
      <w:r>
        <w:rPr>
          <w:rFonts w:ascii="Aptos" w:hAnsi="Aptos"/>
          <w:sz w:val="20"/>
        </w:rPr>
        <w:t>@GKTC hosts video files; FHIP embeds and contextualises them.</w:t>
      </w:r>
    </w:p>
    <w:p>
      <w:pPr>
        <w:pStyle w:val="ListBullet"/>
        <w:spacing w:after="40"/>
      </w:pPr>
      <w:r>
        <w:rPr>
          <w:rFonts w:ascii="Aptos" w:hAnsi="Aptos"/>
          <w:sz w:val="20"/>
        </w:rPr>
        <w:t>Content is tagged by jurisdiction and consumer content pillar, separate from internal FHIP module mapping.</w:t>
      </w:r>
    </w:p>
    <w:p>
      <w:pPr>
        <w:pStyle w:val="ListBullet"/>
        <w:spacing w:after="40"/>
      </w:pPr>
      <w:r>
        <w:rPr>
          <w:rFonts w:ascii="Aptos" w:hAnsi="Aptos"/>
          <w:sz w:val="20"/>
        </w:rPr>
        <w:t>All records support freshness/review dates and risk classification.</w:t>
      </w:r>
    </w:p>
    <w:p>
      <w:pPr>
        <w:pStyle w:val="ListBullet"/>
        <w:spacing w:after="40"/>
      </w:pPr>
      <w:r>
        <w:rPr>
          <w:rFonts w:ascii="Aptos" w:hAnsi="Aptos"/>
          <w:sz w:val="20"/>
        </w:rPr>
        <w:t>FHIP Explainers are product-controlled content and must track calculation-logic changes.</w:t>
      </w:r>
    </w:p>
    <w:p>
      <w:pPr>
        <w:pStyle w:val="ListBullet"/>
        <w:spacing w:after="40"/>
      </w:pPr>
      <w:r>
        <w:rPr>
          <w:rFonts w:ascii="Aptos" w:hAnsi="Aptos"/>
          <w:sz w:val="20"/>
        </w:rPr>
        <w:t>Money Updates use a distinct time-sensitive workflow and cannot rely on secondary news reporting alone.</w:t>
      </w:r>
    </w:p>
    <w:p>
      <w:pPr>
        <w:pStyle w:val="ListBullet"/>
        <w:spacing w:after="40"/>
      </w:pPr>
      <w:r>
        <w:rPr>
          <w:rFonts w:ascii="Aptos" w:hAnsi="Aptos"/>
          <w:sz w:val="20"/>
        </w:rPr>
        <w:t>Glossary definitions should be reusable through public pages and in-app tooltips.</w:t>
      </w:r>
    </w:p>
    <w:p>
      <w:pPr>
        <w:pStyle w:val="ListBullet"/>
        <w:spacing w:after="40"/>
      </w:pPr>
      <w:r>
        <w:rPr>
          <w:rFonts w:ascii="Aptos" w:hAnsi="Aptos"/>
          <w:sz w:val="20"/>
        </w:rPr>
        <w:t>Analytics should measure search demand, engagement, YouTube interactions and conversion into FHIP use.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Financial Health Intelligence Platform™  |  R0-A Complete Content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AA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B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