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Access Control Policy</w:t>
      </w:r>
    </w:p>
    <w:p>
      <w:pPr>
        <w:pStyle w:val="Heading1"/>
      </w:pPr>
      <w:r>
        <w:t>1. Purpose</w:t>
      </w:r>
    </w:p>
    <w:p>
      <w:r>
        <w:t>This policy defines the requirements for accessing the organization’s information systems.</w:t>
      </w:r>
    </w:p>
    <w:p>
      <w:pPr>
        <w:pStyle w:val="Heading1"/>
      </w:pPr>
      <w:r>
        <w:t>2. Access Control Requirements</w:t>
      </w:r>
    </w:p>
    <w:p>
      <w:r>
        <w:t>AC-1: All employees must use Multi-Factor Authentication (MFA) to access production systems at all times.</w:t>
      </w:r>
    </w:p>
    <w:p>
      <w:r>
        <w:t>AC-2: Privileged access rights shall be reviewed by the InfoSec team on a quarterly basis to ensure least-privilege principles.</w:t>
      </w:r>
    </w:p>
    <w:p>
      <w:r>
        <w:t>AC-3: System access must be revoked within 4 hours of an employee’s termination notification from HR.</w:t>
      </w:r>
    </w:p>
    <w:p>
      <w:pPr>
        <w:pStyle w:val="Heading1"/>
      </w:pPr>
      <w:r>
        <w:t>3. Passwords</w:t>
      </w:r>
    </w:p>
    <w:p>
      <w:r>
        <w:t>PW-1: Passwords must be at least 12 characters long and contain at least one special character.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