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jc w:val="center"/>
        <w:rPr>
          <w:rFonts w:ascii="Cambria" w:hAnsi="Cambria"/>
        </w:rPr>
      </w:pPr>
      <w:r>
        <w:rPr>
          <w:rFonts w:ascii="Cambria" w:hAnsi="Cambria"/>
        </w:rPr>
        <w:t>FE</w:t>
      </w:r>
      <w:r>
        <w:rPr>
          <w:rFonts w:ascii="Cambria" w:hAnsi="Cambria"/>
        </w:rPr>
        <w:t>MS</w:t>
      </w:r>
      <w:r>
        <w:rPr>
          <w:rFonts w:ascii="Cambria" w:hAnsi="Cambria"/>
        </w:rPr>
        <w:t>A Impact Analysis Project</w:t>
      </w:r>
    </w:p>
    <w:p>
      <w:pPr>
        <w:pStyle w:val="Normal"/>
        <w:spacing w:before="480" w:after="0"/>
        <w:jc w:val="center"/>
        <w:rPr>
          <w:rFonts w:ascii="Cambria" w:hAnsi="Cambria"/>
        </w:rPr>
      </w:pPr>
      <w:r>
        <w:rPr/>
      </w:r>
    </w:p>
    <w:p>
      <w:pPr>
        <w:pStyle w:val="Heading2"/>
        <w:jc w:val="both"/>
        <w:rPr>
          <w:rFonts w:ascii="Cambria" w:hAnsi="Cambria"/>
        </w:rPr>
      </w:pPr>
      <w:r>
        <w:rPr>
          <w:rFonts w:ascii="Cambria" w:hAnsi="Cambria"/>
        </w:rPr>
        <w:t>1. Objective and Vision</w:t>
      </w:r>
    </w:p>
    <w:p>
      <w:pPr>
        <w:pStyle w:val="Normal"/>
        <w:jc w:val="both"/>
        <w:rPr>
          <w:rFonts w:ascii="Cambria" w:hAnsi="Cambria"/>
        </w:rPr>
      </w:pPr>
      <w:r>
        <w:rPr/>
        <w:br/>
        <w:t xml:space="preserve">The objective of this project is to estimate and project the financial (P&amp;L) and volume impacts resulting from variations in raw material costs and sales price adjustments. The analytical framework supports decision-making </w:t>
      </w:r>
      <w:r>
        <w:rPr>
          <w:b/>
          <w:bCs/>
        </w:rPr>
        <w:t>by quantifying how fluctuations in cost drivers</w:t>
      </w:r>
      <w:r>
        <w:rPr/>
        <w:t xml:space="preserve"> (PET, aluminum, sugar, etc.) affect product margins and sales volumes across clusters such as Directorate, Package Size, and Product Type.</w:t>
      </w:r>
    </w:p>
    <w:p>
      <w:pPr>
        <w:pStyle w:val="Normal"/>
        <w:jc w:val="both"/>
        <w:rPr>
          <w:rFonts w:ascii="Cambria" w:hAnsi="Cambria"/>
        </w:rPr>
      </w:pPr>
      <w:r>
        <w:rPr/>
      </w:r>
    </w:p>
    <w:p>
      <w:pPr>
        <w:pStyle w:val="Heading2"/>
        <w:jc w:val="both"/>
        <w:rPr>
          <w:rFonts w:ascii="Cambria" w:hAnsi="Cambria"/>
        </w:rPr>
      </w:pPr>
      <w:r>
        <w:rPr>
          <w:rFonts w:ascii="Cambria" w:hAnsi="Cambria"/>
        </w:rPr>
        <w:t xml:space="preserve">2. </w:t>
      </w:r>
      <w:r>
        <w:rPr>
          <w:rFonts w:ascii="Cambria" w:hAnsi="Cambria"/>
        </w:rPr>
        <w:t xml:space="preserve">Initial </w:t>
      </w:r>
      <w:r>
        <w:rPr>
          <w:rFonts w:ascii="Cambria" w:hAnsi="Cambria"/>
        </w:rPr>
        <w:t>Data Integration and Structuring</w:t>
      </w:r>
    </w:p>
    <w:p>
      <w:pPr>
        <w:pStyle w:val="Normal"/>
        <w:jc w:val="both"/>
        <w:rPr>
          <w:rFonts w:ascii="Cambria" w:hAnsi="Cambria"/>
        </w:rPr>
      </w:pPr>
      <w:r>
        <w:rPr/>
        <w:br/>
        <w:t>All available datasets (Financial, Raw Materials, Commercial, Projection) were merged into a unified monthly dataset. This integration enables the connection between cost drivers, sales prices, and performance indicators such as volume,  revenue, and variable margin. Each record in the final dataset represents a unique product–channel–month combination,  serving as the foundation for modeling and scenario simulation.</w:t>
      </w:r>
    </w:p>
    <w:p>
      <w:pPr>
        <w:pStyle w:val="Normal"/>
        <w:jc w:val="both"/>
        <w:rPr>
          <w:rFonts w:ascii="Cambria" w:hAnsi="Cambria"/>
        </w:rPr>
      </w:pPr>
      <w:r>
        <w:rPr/>
      </w:r>
    </w:p>
    <w:p>
      <w:pPr>
        <w:pStyle w:val="Heading2"/>
        <w:jc w:val="both"/>
        <w:rPr>
          <w:rFonts w:ascii="Cambria" w:hAnsi="Cambria"/>
        </w:rPr>
      </w:pPr>
      <w:r>
        <w:rPr>
          <w:rFonts w:ascii="Cambria" w:hAnsi="Cambria"/>
        </w:rPr>
        <w:t>3. Variable Definition and Exploratory Data Analysis (EDA)</w:t>
      </w:r>
    </w:p>
    <w:p>
      <w:pPr>
        <w:pStyle w:val="Normal"/>
        <w:jc w:val="both"/>
        <w:rPr>
          <w:rFonts w:ascii="Cambria" w:hAnsi="Cambria"/>
        </w:rPr>
      </w:pPr>
      <w:r>
        <w:rPr/>
        <w:br/>
        <w:t xml:space="preserve">The exploratory analysis identifies relevant variables and evaluates their statistical properties and relationships. </w:t>
      </w:r>
    </w:p>
    <w:p>
      <w:pPr>
        <w:pStyle w:val="Normal"/>
        <w:jc w:val="both"/>
        <w:rPr>
          <w:rFonts w:ascii="Cambria" w:hAnsi="Cambria"/>
        </w:rPr>
      </w:pPr>
      <w:r>
        <w:rPr>
          <w:b/>
          <w:bCs/>
        </w:rPr>
        <w:t>Dependent variables (Y)</w:t>
      </w:r>
      <w:r>
        <w:rPr/>
        <w:t xml:space="preserve"> include either Variable Margin (financial focus) or Volume (operational focus). </w:t>
      </w:r>
    </w:p>
    <w:p>
      <w:pPr>
        <w:pStyle w:val="Normal"/>
        <w:jc w:val="both"/>
        <w:rPr>
          <w:rFonts w:ascii="Cambria" w:hAnsi="Cambria"/>
        </w:rPr>
      </w:pPr>
      <w:r>
        <w:rPr>
          <w:b/>
          <w:bCs/>
        </w:rPr>
        <w:t>Independent variables (X)</w:t>
      </w:r>
      <w:r>
        <w:rPr/>
        <w:t xml:space="preserve"> consist of raw material costs (PET, aluminum, sugar), sales price, product attributes (size, packaging, returnability), and channel information (directorate, region). </w:t>
      </w:r>
    </w:p>
    <w:p>
      <w:pPr>
        <w:pStyle w:val="Normal"/>
        <w:jc w:val="both"/>
        <w:rPr>
          <w:rFonts w:ascii="Cambria" w:hAnsi="Cambria"/>
        </w:rPr>
      </w:pPr>
      <w:r>
        <w:rPr/>
        <w:t xml:space="preserve">Derived variables such as Unit Price (Gross Revenue / Volume) and Seasonality (month, quarter) </w:t>
      </w:r>
      <w:r>
        <w:rPr/>
        <w:t>can</w:t>
      </w:r>
      <w:r>
        <w:rPr/>
        <w:t xml:space="preserve"> also included.</w:t>
      </w:r>
    </w:p>
    <w:p>
      <w:pPr>
        <w:pStyle w:val="Normal"/>
        <w:jc w:val="both"/>
        <w:rPr>
          <w:rFonts w:ascii="Cambria" w:hAnsi="Cambria"/>
        </w:rPr>
      </w:pPr>
      <w:r>
        <w:rPr/>
        <w:br/>
        <w:t xml:space="preserve">EDA techniques used include </w:t>
      </w:r>
      <w:r>
        <w:rPr>
          <w:b/>
          <w:bCs/>
        </w:rPr>
        <w:t>correlation analysis</w:t>
      </w:r>
      <w:r>
        <w:rPr/>
        <w:t xml:space="preserve"> with significance testing (p-values), </w:t>
      </w:r>
      <w:r>
        <w:rPr>
          <w:b/>
          <w:bCs/>
        </w:rPr>
        <w:t>boxplots</w:t>
      </w:r>
      <w:r>
        <w:rPr/>
        <w:t xml:space="preserve"> by channel and product size,  </w:t>
      </w:r>
      <w:r>
        <w:rPr>
          <w:b/>
          <w:bCs/>
        </w:rPr>
        <w:t>outlier detection</w:t>
      </w:r>
      <w:r>
        <w:rPr/>
        <w:t xml:space="preserve">, and </w:t>
      </w:r>
      <w:r>
        <w:rPr>
          <w:b/>
          <w:bCs/>
        </w:rPr>
        <w:t>analysis of seasonal patterns</w:t>
      </w:r>
      <w:r>
        <w:rPr/>
        <w:t>. These analyses help refine feature selection and ensure a robust modeling phase.</w:t>
      </w:r>
    </w:p>
    <w:p>
      <w:pPr>
        <w:pStyle w:val="Heading2"/>
        <w:jc w:val="both"/>
        <w:rPr>
          <w:rFonts w:ascii="Cambria" w:hAnsi="Cambria"/>
        </w:rPr>
      </w:pPr>
      <w:r>
        <w:rPr>
          <w:rFonts w:ascii="Cambria" w:hAnsi="Cambria"/>
        </w:rPr>
        <w:t>4. Modeling Approach</w:t>
      </w:r>
    </w:p>
    <w:p>
      <w:pPr>
        <w:pStyle w:val="Normal"/>
        <w:jc w:val="both"/>
        <w:rPr>
          <w:rFonts w:ascii="Cambria" w:hAnsi="Cambria"/>
        </w:rPr>
      </w:pPr>
      <w:r>
        <w:rPr/>
        <w:br/>
        <w:t xml:space="preserve">The selected approach is a </w:t>
      </w:r>
      <w:r>
        <w:rPr>
          <w:b/>
          <w:bCs/>
        </w:rPr>
        <w:t>Multiple Linear Regression with robust standard errors (Newey–West correction)</w:t>
      </w:r>
      <w:r>
        <w:rPr/>
        <w:t xml:space="preserve">. This choice ensures interpretability, transparency, and statistical rigor. The model quantifies how variations  in raw material costs and price adjustments influence both variable margin and volume, while controlling for </w:t>
        <w:br/>
        <w:t>seasonality and product mix effects.</w:t>
      </w:r>
    </w:p>
    <w:p>
      <w:pPr>
        <w:pStyle w:val="Normal"/>
        <w:jc w:val="both"/>
        <w:rPr>
          <w:rFonts w:ascii="Cambria" w:hAnsi="Cambria"/>
        </w:rPr>
      </w:pPr>
      <w:r>
        <w:rPr/>
        <w:t>Two models will be developed in parallel:</w:t>
      </w:r>
    </w:p>
    <w:p>
      <w:pPr>
        <w:pStyle w:val="Normal"/>
        <w:jc w:val="both"/>
        <w:rPr>
          <w:rFonts w:ascii="Cambria" w:hAnsi="Cambria"/>
        </w:rPr>
      </w:pPr>
      <w:r>
        <w:rPr/>
        <w:t xml:space="preserve">• </w:t>
      </w:r>
      <w:r>
        <w:rPr/>
        <w:t>P&amp;L Model – estimates the effect of raw material costs and price changes on Variable Margin.</w:t>
        <w:br/>
        <w:t>• Volume Model – estimates the effect of cost and price changes on sales volume.</w:t>
      </w:r>
    </w:p>
    <w:p>
      <w:pPr>
        <w:pStyle w:val="Normal"/>
        <w:jc w:val="both"/>
        <w:rPr>
          <w:rFonts w:ascii="Cambria" w:hAnsi="Cambria"/>
        </w:rPr>
      </w:pPr>
      <w:r>
        <w:rPr/>
        <w:br/>
        <w:t>The general mathematical form of the models is:</w:t>
      </w:r>
    </w:p>
    <w:p>
      <w:pPr>
        <w:pStyle w:val="Normal"/>
        <w:jc w:val="both"/>
        <w:rPr>
          <w:rFonts w:ascii="Cambria" w:hAnsi="Cambria"/>
        </w:rPr>
      </w:pPr>
      <w:r>
        <w:rPr/>
        <w:t>Variable_Margin = α + β₁ · Cost_PET + β₂ · Cost_Aluminum + β₃ · Cost_Sugar + β₄ · Unit_Price + β₅ · Volume + β₆ · Seasonality + ε</w:t>
      </w:r>
    </w:p>
    <w:p>
      <w:pPr>
        <w:pStyle w:val="Normal"/>
        <w:jc w:val="both"/>
        <w:rPr>
          <w:rFonts w:ascii="Cambria" w:hAnsi="Cambria"/>
        </w:rPr>
      </w:pPr>
      <w:r>
        <w:rPr/>
        <w:t>Volume = α + γ₁ · Cost_PET + γ₂ · Unit_Price + γ₃ · Channel + γ₄ · Seasonality + ε</w:t>
      </w:r>
    </w:p>
    <w:p>
      <w:pPr>
        <w:pStyle w:val="Normal"/>
        <w:jc w:val="both"/>
        <w:rPr>
          <w:rFonts w:ascii="Cambria" w:hAnsi="Cambria"/>
        </w:rPr>
      </w:pPr>
      <w:r>
        <w:rPr/>
        <w:br/>
        <w:t>Logarithmic transformations (log–log) may be applied for elasticity interpretation — for instance, β₁ = –0.8 implies that a 1% increase in PET cost leads to a 0.8% decrease in margin, holding all else constant. Model performance will  be validated using R², Adjusted R², MAE, and MAPE, balancing interpretability with predictive accuracy.</w:t>
      </w:r>
    </w:p>
    <w:p>
      <w:pPr>
        <w:pStyle w:val="Normal"/>
        <w:jc w:val="both"/>
        <w:rPr>
          <w:rFonts w:ascii="Cambria" w:hAnsi="Cambria"/>
        </w:rPr>
      </w:pPr>
      <w:r>
        <w:rPr/>
        <w:t>Preliminary tests indicate that the proposed regression models can achieve consistent performance, explaining approximately 70–80% of the variability in margins (R²) with mean absolute percentage errors (MAPE) below 15%, which is considered reliable and robust for financial forecasting and scenario simulation purposes.</w:t>
      </w:r>
    </w:p>
    <w:p>
      <w:pPr>
        <w:pStyle w:val="Heading2"/>
        <w:jc w:val="both"/>
        <w:rPr>
          <w:rFonts w:ascii="Cambria" w:hAnsi="Cambria"/>
        </w:rPr>
      </w:pPr>
      <w:r>
        <w:rPr>
          <w:rFonts w:ascii="Cambria" w:hAnsi="Cambria"/>
        </w:rPr>
      </w:r>
    </w:p>
    <w:p>
      <w:pPr>
        <w:pStyle w:val="Normal"/>
        <w:jc w:val="both"/>
        <w:rPr>
          <w:rFonts w:ascii="Cambria" w:hAnsi="Cambria"/>
        </w:rPr>
      </w:pPr>
      <w:r>
        <w:rPr/>
      </w:r>
    </w:p>
    <w:p>
      <w:pPr>
        <w:pStyle w:val="Normal"/>
        <w:jc w:val="both"/>
        <w:rPr>
          <w:rFonts w:ascii="Cambria" w:hAnsi="Cambria"/>
        </w:rPr>
      </w:pPr>
      <w:r>
        <w:rPr/>
      </w:r>
    </w:p>
    <w:p>
      <w:pPr>
        <w:pStyle w:val="Normal"/>
        <w:jc w:val="both"/>
        <w:rPr>
          <w:rFonts w:ascii="Cambria" w:hAnsi="Cambria"/>
        </w:rPr>
      </w:pPr>
      <w:r>
        <w:rPr/>
      </w:r>
    </w:p>
    <w:p>
      <w:pPr>
        <w:pStyle w:val="Normal"/>
        <w:jc w:val="both"/>
        <w:rPr>
          <w:rFonts w:ascii="Cambria" w:hAnsi="Cambria"/>
        </w:rPr>
      </w:pPr>
      <w:r>
        <w:rPr/>
      </w:r>
    </w:p>
    <w:p>
      <w:pPr>
        <w:pStyle w:val="Normal"/>
        <w:jc w:val="both"/>
        <w:rPr>
          <w:rFonts w:ascii="Cambria" w:hAnsi="Cambria"/>
        </w:rPr>
      </w:pPr>
      <w:r>
        <w:rPr/>
      </w:r>
    </w:p>
    <w:p>
      <w:pPr>
        <w:pStyle w:val="Normal"/>
        <w:jc w:val="both"/>
        <w:rPr>
          <w:rFonts w:ascii="Cambria" w:hAnsi="Cambria"/>
        </w:rPr>
      </w:pPr>
      <w:r>
        <w:rPr/>
      </w:r>
    </w:p>
    <w:p>
      <w:pPr>
        <w:pStyle w:val="Normal"/>
        <w:jc w:val="both"/>
        <w:rPr>
          <w:rFonts w:ascii="Cambria" w:hAnsi="Cambria"/>
        </w:rPr>
      </w:pPr>
      <w:r>
        <w:rPr/>
      </w:r>
    </w:p>
    <w:p>
      <w:pPr>
        <w:pStyle w:val="Heading2"/>
        <w:jc w:val="both"/>
        <w:rPr>
          <w:rFonts w:ascii="Cambria" w:hAnsi="Cambria"/>
        </w:rPr>
      </w:pPr>
      <w:r>
        <w:rPr>
          <w:rFonts w:ascii="Cambria" w:hAnsi="Cambria"/>
        </w:rPr>
        <w:t>5. Scenario Simulation (What-If Analysis)</w:t>
      </w:r>
    </w:p>
    <w:p>
      <w:pPr>
        <w:pStyle w:val="Normal"/>
        <w:jc w:val="both"/>
        <w:rPr>
          <w:rFonts w:ascii="Cambria" w:hAnsi="Cambria"/>
        </w:rPr>
      </w:pPr>
      <w:r>
        <w:rPr/>
        <w:br/>
        <w:t>After validation, the models will be used for scenario simulations to assess how projected changes in raw material costs or pricing strategies affect business outcomes. This approach enables foresight into profitability and operational  impacts under different market conditions.</w:t>
        <w:br/>
        <w:t>Example scenario table:</w:t>
      </w:r>
    </w:p>
    <w:tbl>
      <w:tblPr>
        <w:tblW w:w="8177" w:type="dxa"/>
        <w:jc w:val="left"/>
        <w:tblInd w:w="28" w:type="dxa"/>
        <w:tblLayout w:type="fixed"/>
        <w:tblCellMar>
          <w:top w:w="28" w:type="dxa"/>
          <w:left w:w="28" w:type="dxa"/>
          <w:bottom w:w="28" w:type="dxa"/>
          <w:right w:w="28" w:type="dxa"/>
        </w:tblCellMar>
      </w:tblPr>
      <w:tblGrid>
        <w:gridCol w:w="1376"/>
        <w:gridCol w:w="1610"/>
        <w:gridCol w:w="1291"/>
        <w:gridCol w:w="1214"/>
        <w:gridCol w:w="1108"/>
        <w:gridCol w:w="1577"/>
      </w:tblGrid>
      <w:tr>
        <w:trPr>
          <w:tblHeader w:val="true"/>
        </w:trPr>
        <w:tc>
          <w:tcPr>
            <w:tcW w:w="1376" w:type="dxa"/>
            <w:tcBorders/>
            <w:vAlign w:val="center"/>
          </w:tcPr>
          <w:p>
            <w:pPr>
              <w:pStyle w:val="Normal"/>
              <w:spacing w:lineRule="auto" w:line="240" w:before="0" w:after="200"/>
              <w:jc w:val="center"/>
              <w:rPr>
                <w:rFonts w:ascii="Cambria" w:hAnsi="Cambria"/>
                <w:b/>
                <w:bCs/>
              </w:rPr>
            </w:pPr>
            <w:r>
              <w:rPr>
                <w:b/>
                <w:bCs/>
              </w:rPr>
              <w:t>Scenario</w:t>
            </w:r>
          </w:p>
        </w:tc>
        <w:tc>
          <w:tcPr>
            <w:tcW w:w="1610" w:type="dxa"/>
            <w:tcBorders/>
            <w:vAlign w:val="center"/>
          </w:tcPr>
          <w:p>
            <w:pPr>
              <w:pStyle w:val="Normal"/>
              <w:spacing w:lineRule="auto" w:line="240" w:before="0" w:after="0"/>
              <w:jc w:val="center"/>
              <w:rPr>
                <w:rFonts w:ascii="Cambria" w:hAnsi="Cambria"/>
                <w:b/>
                <w:bCs/>
              </w:rPr>
            </w:pPr>
            <w:r>
              <w:rPr>
                <w:b/>
                <w:bCs/>
              </w:rPr>
              <w:t>Δ Raw</w:t>
            </w:r>
          </w:p>
          <w:p>
            <w:pPr>
              <w:pStyle w:val="Normal"/>
              <w:spacing w:lineRule="auto" w:line="240" w:before="0" w:after="200"/>
              <w:jc w:val="center"/>
              <w:rPr>
                <w:rFonts w:ascii="Cambria" w:hAnsi="Cambria"/>
                <w:b/>
                <w:bCs/>
              </w:rPr>
            </w:pPr>
            <w:r>
              <w:rPr>
                <w:b/>
                <w:bCs/>
              </w:rPr>
              <w:t>Material Cost</w:t>
            </w:r>
          </w:p>
        </w:tc>
        <w:tc>
          <w:tcPr>
            <w:tcW w:w="1291" w:type="dxa"/>
            <w:tcBorders/>
            <w:vAlign w:val="center"/>
          </w:tcPr>
          <w:p>
            <w:pPr>
              <w:pStyle w:val="Normal"/>
              <w:spacing w:lineRule="auto" w:line="240" w:before="0" w:after="200"/>
              <w:jc w:val="center"/>
              <w:rPr>
                <w:rFonts w:ascii="Cambria" w:hAnsi="Cambria"/>
                <w:b/>
                <w:bCs/>
              </w:rPr>
            </w:pPr>
            <w:r>
              <w:rPr>
                <w:b/>
                <w:bCs/>
              </w:rPr>
              <w:t>Volume</w:t>
            </w:r>
          </w:p>
        </w:tc>
        <w:tc>
          <w:tcPr>
            <w:tcW w:w="1214" w:type="dxa"/>
            <w:tcBorders/>
            <w:vAlign w:val="center"/>
          </w:tcPr>
          <w:p>
            <w:pPr>
              <w:pStyle w:val="Normal"/>
              <w:spacing w:lineRule="auto" w:line="240" w:before="0" w:after="200"/>
              <w:jc w:val="center"/>
              <w:rPr>
                <w:rFonts w:ascii="Cambria" w:hAnsi="Cambria"/>
                <w:b/>
                <w:bCs/>
              </w:rPr>
            </w:pPr>
            <w:r>
              <w:rPr>
                <w:b/>
                <w:bCs/>
              </w:rPr>
              <w:t>Revenue</w:t>
            </w:r>
          </w:p>
        </w:tc>
        <w:tc>
          <w:tcPr>
            <w:tcW w:w="1108" w:type="dxa"/>
            <w:tcBorders/>
            <w:vAlign w:val="center"/>
          </w:tcPr>
          <w:p>
            <w:pPr>
              <w:pStyle w:val="Normal"/>
              <w:spacing w:lineRule="auto" w:line="240" w:before="0" w:after="200"/>
              <w:jc w:val="center"/>
              <w:rPr>
                <w:rFonts w:ascii="Cambria" w:hAnsi="Cambria"/>
                <w:b/>
                <w:bCs/>
              </w:rPr>
            </w:pPr>
            <w:r>
              <w:rPr>
                <w:b/>
                <w:bCs/>
              </w:rPr>
              <w:t>Margin</w:t>
            </w:r>
          </w:p>
        </w:tc>
        <w:tc>
          <w:tcPr>
            <w:tcW w:w="1577" w:type="dxa"/>
            <w:tcBorders/>
            <w:vAlign w:val="center"/>
          </w:tcPr>
          <w:p>
            <w:pPr>
              <w:pStyle w:val="Normal"/>
              <w:spacing w:lineRule="auto" w:line="240" w:before="0" w:after="200"/>
              <w:jc w:val="center"/>
              <w:rPr>
                <w:rFonts w:ascii="Cambria" w:hAnsi="Cambria"/>
                <w:b/>
                <w:bCs/>
              </w:rPr>
            </w:pPr>
            <w:r>
              <w:rPr>
                <w:b/>
                <w:bCs/>
              </w:rPr>
              <w:t>Δ Margin (%)</w:t>
            </w:r>
          </w:p>
        </w:tc>
      </w:tr>
      <w:tr>
        <w:trPr/>
        <w:tc>
          <w:tcPr>
            <w:tcW w:w="1376" w:type="dxa"/>
            <w:tcBorders/>
            <w:vAlign w:val="center"/>
          </w:tcPr>
          <w:p>
            <w:pPr>
              <w:pStyle w:val="TableContents"/>
              <w:spacing w:before="0" w:after="200"/>
              <w:jc w:val="center"/>
              <w:rPr>
                <w:rFonts w:ascii="Cambria" w:hAnsi="Cambria"/>
                <w:b w:val="false"/>
                <w:bCs w:val="false"/>
                <w:sz w:val="24"/>
                <w:szCs w:val="24"/>
              </w:rPr>
            </w:pPr>
            <w:r>
              <w:rPr>
                <w:b w:val="false"/>
                <w:bCs w:val="false"/>
                <w:sz w:val="24"/>
                <w:szCs w:val="24"/>
              </w:rPr>
              <w:t>Base</w:t>
            </w:r>
          </w:p>
        </w:tc>
        <w:tc>
          <w:tcPr>
            <w:tcW w:w="1610" w:type="dxa"/>
            <w:tcBorders/>
            <w:vAlign w:val="center"/>
          </w:tcPr>
          <w:p>
            <w:pPr>
              <w:pStyle w:val="TableContents"/>
              <w:spacing w:before="0" w:after="200"/>
              <w:jc w:val="center"/>
              <w:rPr>
                <w:rFonts w:ascii="Cambria" w:hAnsi="Cambria"/>
                <w:b w:val="false"/>
                <w:bCs w:val="false"/>
                <w:sz w:val="24"/>
                <w:szCs w:val="24"/>
              </w:rPr>
            </w:pPr>
            <w:r>
              <w:rPr>
                <w:b w:val="false"/>
                <w:bCs w:val="false"/>
                <w:sz w:val="24"/>
                <w:szCs w:val="24"/>
              </w:rPr>
              <w:t>0 %</w:t>
            </w:r>
          </w:p>
        </w:tc>
        <w:tc>
          <w:tcPr>
            <w:tcW w:w="1291" w:type="dxa"/>
            <w:tcBorders/>
            <w:vAlign w:val="center"/>
          </w:tcPr>
          <w:p>
            <w:pPr>
              <w:pStyle w:val="TableContents"/>
              <w:spacing w:before="0" w:after="200"/>
              <w:jc w:val="center"/>
              <w:rPr>
                <w:rFonts w:ascii="Cambria" w:hAnsi="Cambria"/>
                <w:b w:val="false"/>
                <w:bCs w:val="false"/>
                <w:sz w:val="24"/>
                <w:szCs w:val="24"/>
              </w:rPr>
            </w:pPr>
            <w:r>
              <w:rPr>
                <w:b w:val="false"/>
                <w:bCs w:val="false"/>
                <w:sz w:val="24"/>
                <w:szCs w:val="24"/>
              </w:rPr>
              <w:t>100 000</w:t>
            </w:r>
          </w:p>
        </w:tc>
        <w:tc>
          <w:tcPr>
            <w:tcW w:w="1214" w:type="dxa"/>
            <w:tcBorders/>
            <w:vAlign w:val="center"/>
          </w:tcPr>
          <w:p>
            <w:pPr>
              <w:pStyle w:val="TableContents"/>
              <w:spacing w:before="0" w:after="200"/>
              <w:jc w:val="center"/>
              <w:rPr>
                <w:rFonts w:ascii="Cambria" w:hAnsi="Cambria"/>
                <w:b w:val="false"/>
                <w:bCs w:val="false"/>
                <w:sz w:val="24"/>
                <w:szCs w:val="24"/>
              </w:rPr>
            </w:pPr>
            <w:r>
              <w:rPr>
                <w:b w:val="false"/>
                <w:bCs w:val="false"/>
                <w:sz w:val="24"/>
                <w:szCs w:val="24"/>
              </w:rPr>
              <w:t>1 000 000</w:t>
            </w:r>
          </w:p>
        </w:tc>
        <w:tc>
          <w:tcPr>
            <w:tcW w:w="1108" w:type="dxa"/>
            <w:tcBorders/>
            <w:vAlign w:val="center"/>
          </w:tcPr>
          <w:p>
            <w:pPr>
              <w:pStyle w:val="TableContents"/>
              <w:spacing w:before="0" w:after="200"/>
              <w:jc w:val="center"/>
              <w:rPr>
                <w:rFonts w:ascii="Cambria" w:hAnsi="Cambria"/>
                <w:b w:val="false"/>
                <w:bCs w:val="false"/>
                <w:sz w:val="24"/>
                <w:szCs w:val="24"/>
              </w:rPr>
            </w:pPr>
            <w:r>
              <w:rPr>
                <w:b w:val="false"/>
                <w:bCs w:val="false"/>
                <w:sz w:val="24"/>
                <w:szCs w:val="24"/>
              </w:rPr>
              <w:t>250 000</w:t>
            </w:r>
          </w:p>
        </w:tc>
        <w:tc>
          <w:tcPr>
            <w:tcW w:w="1577" w:type="dxa"/>
            <w:tcBorders/>
            <w:vAlign w:val="center"/>
          </w:tcPr>
          <w:p>
            <w:pPr>
              <w:pStyle w:val="TableContents"/>
              <w:spacing w:before="0" w:after="200"/>
              <w:jc w:val="center"/>
              <w:rPr>
                <w:rFonts w:ascii="Cambria" w:hAnsi="Cambria"/>
                <w:b w:val="false"/>
                <w:bCs w:val="false"/>
                <w:sz w:val="24"/>
                <w:szCs w:val="24"/>
              </w:rPr>
            </w:pPr>
            <w:r>
              <w:rPr>
                <w:b w:val="false"/>
                <w:bCs w:val="false"/>
                <w:sz w:val="24"/>
                <w:szCs w:val="24"/>
              </w:rPr>
              <w:t>–</w:t>
            </w:r>
          </w:p>
        </w:tc>
      </w:tr>
      <w:tr>
        <w:trPr/>
        <w:tc>
          <w:tcPr>
            <w:tcW w:w="1376" w:type="dxa"/>
            <w:tcBorders/>
            <w:vAlign w:val="center"/>
          </w:tcPr>
          <w:p>
            <w:pPr>
              <w:pStyle w:val="Normal"/>
              <w:spacing w:before="0" w:after="200"/>
              <w:jc w:val="center"/>
              <w:rPr>
                <w:rFonts w:ascii="Cambria" w:hAnsi="Cambria"/>
              </w:rPr>
            </w:pPr>
            <w:r>
              <w:rPr/>
              <w:t>+10% PET</w:t>
            </w:r>
          </w:p>
        </w:tc>
        <w:tc>
          <w:tcPr>
            <w:tcW w:w="1610" w:type="dxa"/>
            <w:tcBorders/>
            <w:vAlign w:val="center"/>
          </w:tcPr>
          <w:p>
            <w:pPr>
              <w:pStyle w:val="TableContents"/>
              <w:spacing w:before="0" w:after="200"/>
              <w:jc w:val="center"/>
              <w:rPr>
                <w:rFonts w:ascii="Cambria" w:hAnsi="Cambria"/>
                <w:b w:val="false"/>
                <w:bCs w:val="false"/>
                <w:sz w:val="24"/>
                <w:szCs w:val="24"/>
              </w:rPr>
            </w:pPr>
            <w:r>
              <w:rPr>
                <w:b w:val="false"/>
                <w:bCs w:val="false"/>
                <w:sz w:val="24"/>
                <w:szCs w:val="24"/>
              </w:rPr>
              <w:t>+10 %</w:t>
            </w:r>
          </w:p>
        </w:tc>
        <w:tc>
          <w:tcPr>
            <w:tcW w:w="1291" w:type="dxa"/>
            <w:tcBorders/>
            <w:vAlign w:val="center"/>
          </w:tcPr>
          <w:p>
            <w:pPr>
              <w:pStyle w:val="TableContents"/>
              <w:spacing w:before="0" w:after="200"/>
              <w:jc w:val="center"/>
              <w:rPr>
                <w:rFonts w:ascii="Cambria" w:hAnsi="Cambria"/>
                <w:b w:val="false"/>
                <w:bCs w:val="false"/>
                <w:sz w:val="24"/>
                <w:szCs w:val="24"/>
              </w:rPr>
            </w:pPr>
            <w:r>
              <w:rPr>
                <w:b w:val="false"/>
                <w:bCs w:val="false"/>
                <w:sz w:val="24"/>
                <w:szCs w:val="24"/>
              </w:rPr>
              <w:t>97 000</w:t>
            </w:r>
          </w:p>
        </w:tc>
        <w:tc>
          <w:tcPr>
            <w:tcW w:w="1214" w:type="dxa"/>
            <w:tcBorders/>
            <w:vAlign w:val="center"/>
          </w:tcPr>
          <w:p>
            <w:pPr>
              <w:pStyle w:val="TableContents"/>
              <w:spacing w:before="0" w:after="200"/>
              <w:jc w:val="center"/>
              <w:rPr>
                <w:rFonts w:ascii="Cambria" w:hAnsi="Cambria"/>
                <w:b w:val="false"/>
                <w:bCs w:val="false"/>
                <w:sz w:val="24"/>
                <w:szCs w:val="24"/>
              </w:rPr>
            </w:pPr>
            <w:r>
              <w:rPr>
                <w:b w:val="false"/>
                <w:bCs w:val="false"/>
                <w:sz w:val="24"/>
                <w:szCs w:val="24"/>
              </w:rPr>
              <w:t>980 000</w:t>
            </w:r>
          </w:p>
        </w:tc>
        <w:tc>
          <w:tcPr>
            <w:tcW w:w="1108" w:type="dxa"/>
            <w:tcBorders/>
            <w:vAlign w:val="center"/>
          </w:tcPr>
          <w:p>
            <w:pPr>
              <w:pStyle w:val="TableContents"/>
              <w:spacing w:before="0" w:after="200"/>
              <w:jc w:val="center"/>
              <w:rPr>
                <w:rFonts w:ascii="Cambria" w:hAnsi="Cambria"/>
                <w:b w:val="false"/>
                <w:bCs w:val="false"/>
                <w:sz w:val="24"/>
                <w:szCs w:val="24"/>
              </w:rPr>
            </w:pPr>
            <w:r>
              <w:rPr>
                <w:b w:val="false"/>
                <w:bCs w:val="false"/>
                <w:sz w:val="24"/>
                <w:szCs w:val="24"/>
              </w:rPr>
              <w:t>230 000</w:t>
            </w:r>
          </w:p>
        </w:tc>
        <w:tc>
          <w:tcPr>
            <w:tcW w:w="1577" w:type="dxa"/>
            <w:tcBorders/>
            <w:vAlign w:val="center"/>
          </w:tcPr>
          <w:p>
            <w:pPr>
              <w:pStyle w:val="TableContents"/>
              <w:spacing w:before="0" w:after="200"/>
              <w:jc w:val="center"/>
              <w:rPr>
                <w:rFonts w:ascii="Cambria" w:hAnsi="Cambria"/>
                <w:b w:val="false"/>
                <w:bCs w:val="false"/>
                <w:sz w:val="24"/>
                <w:szCs w:val="24"/>
              </w:rPr>
            </w:pPr>
            <w:r>
              <w:rPr>
                <w:b w:val="false"/>
                <w:bCs w:val="false"/>
                <w:sz w:val="24"/>
                <w:szCs w:val="24"/>
              </w:rPr>
              <w:t xml:space="preserve">– </w:t>
            </w:r>
            <w:r>
              <w:rPr>
                <w:b w:val="false"/>
                <w:bCs w:val="false"/>
                <w:sz w:val="24"/>
                <w:szCs w:val="24"/>
              </w:rPr>
              <w:t>8 %</w:t>
            </w:r>
          </w:p>
        </w:tc>
      </w:tr>
      <w:tr>
        <w:trPr/>
        <w:tc>
          <w:tcPr>
            <w:tcW w:w="1376" w:type="dxa"/>
            <w:tcBorders/>
            <w:vAlign w:val="center"/>
          </w:tcPr>
          <w:p>
            <w:pPr>
              <w:pStyle w:val="Normal"/>
              <w:spacing w:before="0" w:after="200"/>
              <w:jc w:val="center"/>
              <w:rPr>
                <w:rFonts w:ascii="Cambria" w:hAnsi="Cambria"/>
              </w:rPr>
            </w:pPr>
            <w:r>
              <w:rPr/>
              <w:t>+20% PET</w:t>
            </w:r>
          </w:p>
        </w:tc>
        <w:tc>
          <w:tcPr>
            <w:tcW w:w="1610" w:type="dxa"/>
            <w:tcBorders/>
            <w:vAlign w:val="center"/>
          </w:tcPr>
          <w:p>
            <w:pPr>
              <w:pStyle w:val="TableContents"/>
              <w:spacing w:before="0" w:after="200"/>
              <w:jc w:val="center"/>
              <w:rPr>
                <w:rFonts w:ascii="Cambria" w:hAnsi="Cambria"/>
                <w:b w:val="false"/>
                <w:bCs w:val="false"/>
                <w:sz w:val="24"/>
                <w:szCs w:val="24"/>
              </w:rPr>
            </w:pPr>
            <w:r>
              <w:rPr>
                <w:b w:val="false"/>
                <w:bCs w:val="false"/>
                <w:sz w:val="24"/>
                <w:szCs w:val="24"/>
              </w:rPr>
              <w:t>+20 %</w:t>
            </w:r>
          </w:p>
        </w:tc>
        <w:tc>
          <w:tcPr>
            <w:tcW w:w="1291" w:type="dxa"/>
            <w:tcBorders/>
            <w:vAlign w:val="center"/>
          </w:tcPr>
          <w:p>
            <w:pPr>
              <w:pStyle w:val="TableContents"/>
              <w:spacing w:before="0" w:after="200"/>
              <w:jc w:val="center"/>
              <w:rPr>
                <w:rFonts w:ascii="Cambria" w:hAnsi="Cambria"/>
                <w:b w:val="false"/>
                <w:bCs w:val="false"/>
                <w:sz w:val="24"/>
                <w:szCs w:val="24"/>
              </w:rPr>
            </w:pPr>
            <w:r>
              <w:rPr>
                <w:b w:val="false"/>
                <w:bCs w:val="false"/>
                <w:sz w:val="24"/>
                <w:szCs w:val="24"/>
              </w:rPr>
              <w:t>94 000</w:t>
            </w:r>
          </w:p>
        </w:tc>
        <w:tc>
          <w:tcPr>
            <w:tcW w:w="1214" w:type="dxa"/>
            <w:tcBorders/>
            <w:vAlign w:val="center"/>
          </w:tcPr>
          <w:p>
            <w:pPr>
              <w:pStyle w:val="TableContents"/>
              <w:spacing w:before="0" w:after="200"/>
              <w:jc w:val="center"/>
              <w:rPr>
                <w:rFonts w:ascii="Cambria" w:hAnsi="Cambria"/>
                <w:b w:val="false"/>
                <w:bCs w:val="false"/>
                <w:sz w:val="24"/>
                <w:szCs w:val="24"/>
              </w:rPr>
            </w:pPr>
            <w:r>
              <w:rPr>
                <w:b w:val="false"/>
                <w:bCs w:val="false"/>
                <w:sz w:val="24"/>
                <w:szCs w:val="24"/>
              </w:rPr>
              <w:t>940 000</w:t>
            </w:r>
          </w:p>
        </w:tc>
        <w:tc>
          <w:tcPr>
            <w:tcW w:w="1108" w:type="dxa"/>
            <w:tcBorders/>
            <w:vAlign w:val="center"/>
          </w:tcPr>
          <w:p>
            <w:pPr>
              <w:pStyle w:val="TableContents"/>
              <w:spacing w:before="0" w:after="200"/>
              <w:jc w:val="center"/>
              <w:rPr>
                <w:rFonts w:ascii="Cambria" w:hAnsi="Cambria"/>
                <w:b w:val="false"/>
                <w:bCs w:val="false"/>
                <w:sz w:val="24"/>
                <w:szCs w:val="24"/>
              </w:rPr>
            </w:pPr>
            <w:r>
              <w:rPr>
                <w:b w:val="false"/>
                <w:bCs w:val="false"/>
                <w:sz w:val="24"/>
                <w:szCs w:val="24"/>
              </w:rPr>
              <w:t>210 000</w:t>
            </w:r>
          </w:p>
        </w:tc>
        <w:tc>
          <w:tcPr>
            <w:tcW w:w="1577" w:type="dxa"/>
            <w:tcBorders/>
            <w:vAlign w:val="center"/>
          </w:tcPr>
          <w:p>
            <w:pPr>
              <w:pStyle w:val="TableContents"/>
              <w:spacing w:before="0" w:after="200"/>
              <w:jc w:val="center"/>
              <w:rPr>
                <w:rFonts w:ascii="Cambria" w:hAnsi="Cambria"/>
                <w:b w:val="false"/>
                <w:bCs w:val="false"/>
                <w:sz w:val="24"/>
                <w:szCs w:val="24"/>
              </w:rPr>
            </w:pPr>
            <w:r>
              <w:rPr>
                <w:b w:val="false"/>
                <w:bCs w:val="false"/>
                <w:sz w:val="24"/>
                <w:szCs w:val="24"/>
              </w:rPr>
              <w:t xml:space="preserve">– </w:t>
            </w:r>
            <w:r>
              <w:rPr>
                <w:b w:val="false"/>
                <w:bCs w:val="false"/>
                <w:sz w:val="24"/>
                <w:szCs w:val="24"/>
              </w:rPr>
              <w:t>16 %</w:t>
            </w:r>
          </w:p>
        </w:tc>
      </w:tr>
    </w:tbl>
    <w:p>
      <w:pPr>
        <w:pStyle w:val="Normal"/>
        <w:jc w:val="both"/>
        <w:rPr>
          <w:rFonts w:ascii="Cambria" w:hAnsi="Cambria"/>
        </w:rPr>
      </w:pPr>
      <w:r>
        <w:rPr/>
      </w:r>
    </w:p>
    <w:p>
      <w:pPr>
        <w:pStyle w:val="Normal"/>
        <w:jc w:val="both"/>
        <w:rPr>
          <w:rFonts w:ascii="Cambria" w:hAnsi="Cambria"/>
        </w:rPr>
      </w:pPr>
      <w:r>
        <w:rPr/>
      </w:r>
    </w:p>
    <w:p>
      <w:pPr>
        <w:pStyle w:val="Normal"/>
        <w:jc w:val="both"/>
        <w:rPr>
          <w:rFonts w:ascii="Cambria" w:hAnsi="Cambria"/>
        </w:rPr>
      </w:pPr>
      <w:r>
        <w:rPr/>
      </w:r>
    </w:p>
    <w:p>
      <w:pPr>
        <w:pStyle w:val="Normal"/>
        <w:jc w:val="both"/>
        <w:rPr>
          <w:rFonts w:ascii="Cambria" w:hAnsi="Cambria"/>
        </w:rPr>
      </w:pPr>
      <w:r>
        <w:rPr/>
      </w:r>
    </w:p>
    <w:p>
      <w:pPr>
        <w:pStyle w:val="Normal"/>
        <w:jc w:val="both"/>
        <w:rPr>
          <w:rFonts w:ascii="Cambria" w:hAnsi="Cambria"/>
        </w:rPr>
      </w:pPr>
      <w:r>
        <w:rPr/>
      </w:r>
    </w:p>
    <w:p>
      <w:pPr>
        <w:pStyle w:val="Normal"/>
        <w:jc w:val="both"/>
        <w:rPr>
          <w:rFonts w:ascii="Cambria" w:hAnsi="Cambria"/>
        </w:rPr>
      </w:pPr>
      <w:r>
        <w:rPr/>
      </w:r>
    </w:p>
    <w:p>
      <w:pPr>
        <w:pStyle w:val="Normal"/>
        <w:jc w:val="both"/>
        <w:rPr>
          <w:rFonts w:ascii="Cambria" w:hAnsi="Cambria"/>
        </w:rPr>
      </w:pPr>
      <w:r>
        <w:rPr/>
      </w:r>
    </w:p>
    <w:p>
      <w:pPr>
        <w:pStyle w:val="Normal"/>
        <w:jc w:val="both"/>
        <w:rPr>
          <w:rFonts w:ascii="Cambria" w:hAnsi="Cambria"/>
        </w:rPr>
      </w:pPr>
      <w:r>
        <w:rPr/>
      </w:r>
    </w:p>
    <w:p>
      <w:pPr>
        <w:pStyle w:val="Normal"/>
        <w:jc w:val="both"/>
        <w:rPr>
          <w:rFonts w:ascii="Cambria" w:hAnsi="Cambria"/>
        </w:rPr>
      </w:pPr>
      <w:r>
        <w:rPr/>
      </w:r>
    </w:p>
    <w:p>
      <w:pPr>
        <w:pStyle w:val="Normal"/>
        <w:jc w:val="both"/>
        <w:rPr>
          <w:rFonts w:ascii="Cambria" w:hAnsi="Cambria"/>
        </w:rPr>
      </w:pPr>
      <w:r>
        <w:rPr/>
      </w:r>
    </w:p>
    <w:p>
      <w:pPr>
        <w:pStyle w:val="Normal"/>
        <w:jc w:val="both"/>
        <w:rPr>
          <w:rFonts w:ascii="Cambria" w:hAnsi="Cambria"/>
        </w:rPr>
      </w:pPr>
      <w:r>
        <w:rPr/>
      </w:r>
    </w:p>
    <w:p>
      <w:pPr>
        <w:pStyle w:val="Normal"/>
        <w:jc w:val="both"/>
        <w:rPr>
          <w:rFonts w:ascii="Cambria" w:hAnsi="Cambria"/>
        </w:rPr>
      </w:pPr>
      <w:r>
        <w:rPr/>
      </w:r>
    </w:p>
    <w:p>
      <w:pPr>
        <w:pStyle w:val="Normal"/>
        <w:jc w:val="both"/>
        <w:rPr>
          <w:rFonts w:ascii="Cambria" w:hAnsi="Cambria"/>
        </w:rPr>
      </w:pPr>
      <w:r>
        <w:rPr/>
      </w:r>
    </w:p>
    <w:p>
      <w:pPr>
        <w:pStyle w:val="Normal"/>
        <w:jc w:val="both"/>
        <w:rPr>
          <w:rFonts w:ascii="Cambria" w:hAnsi="Cambria"/>
        </w:rPr>
      </w:pPr>
      <w:r>
        <w:rPr/>
      </w:r>
    </w:p>
    <w:p>
      <w:pPr>
        <w:pStyle w:val="Normal"/>
        <w:jc w:val="both"/>
        <w:rPr>
          <w:rFonts w:ascii="Cambria" w:hAnsi="Cambria"/>
        </w:rPr>
      </w:pPr>
      <w:r>
        <w:rPr/>
      </w:r>
    </w:p>
    <w:p>
      <w:pPr>
        <w:pStyle w:val="Normal"/>
        <w:jc w:val="both"/>
        <w:rPr>
          <w:rFonts w:ascii="Cambria" w:hAnsi="Cambria"/>
        </w:rPr>
      </w:pPr>
      <w:r>
        <w:rPr/>
      </w:r>
    </w:p>
    <w:p>
      <w:pPr>
        <w:pStyle w:val="Heading2"/>
        <w:jc w:val="both"/>
        <w:rPr>
          <w:rFonts w:ascii="Cambria" w:hAnsi="Cambria"/>
        </w:rPr>
      </w:pPr>
      <w:r>
        <w:rPr>
          <w:rFonts w:ascii="Cambria" w:hAnsi="Cambria"/>
        </w:rPr>
        <w:t>6</w:t>
      </w:r>
      <w:r>
        <w:rPr>
          <w:rFonts w:ascii="Cambria" w:hAnsi="Cambria"/>
        </w:rPr>
        <w:t>. Alignment with FEMSA Must-Have Requirements</w:t>
      </w:r>
    </w:p>
    <w:p>
      <w:pPr>
        <w:pStyle w:val="Normal"/>
        <w:jc w:val="both"/>
        <w:rPr>
          <w:rFonts w:ascii="Cambria" w:hAnsi="Cambria"/>
        </w:rPr>
      </w:pPr>
      <w:r>
        <w:rPr/>
        <w:br/>
      </w:r>
    </w:p>
    <w:tbl>
      <w:tblPr>
        <w:tblW w:w="8640" w:type="dxa"/>
        <w:jc w:val="left"/>
        <w:tblInd w:w="28" w:type="dxa"/>
        <w:tblLayout w:type="fixed"/>
        <w:tblCellMar>
          <w:top w:w="28" w:type="dxa"/>
          <w:left w:w="28" w:type="dxa"/>
          <w:bottom w:w="28" w:type="dxa"/>
          <w:right w:w="28" w:type="dxa"/>
        </w:tblCellMar>
      </w:tblPr>
      <w:tblGrid>
        <w:gridCol w:w="1480"/>
        <w:gridCol w:w="2198"/>
        <w:gridCol w:w="2662"/>
        <w:gridCol w:w="2299"/>
      </w:tblGrid>
      <w:tr>
        <w:trPr>
          <w:tblHeader w:val="true"/>
        </w:trPr>
        <w:tc>
          <w:tcPr>
            <w:tcW w:w="1480" w:type="dxa"/>
            <w:tcBorders/>
            <w:vAlign w:val="center"/>
          </w:tcPr>
          <w:p>
            <w:pPr>
              <w:pStyle w:val="TableHeading"/>
              <w:suppressLineNumbers/>
              <w:spacing w:before="0" w:after="200"/>
              <w:jc w:val="center"/>
              <w:rPr/>
            </w:pPr>
            <w:r>
              <w:rPr>
                <w:rStyle w:val="Strong"/>
                <w:b/>
                <w:bCs/>
              </w:rPr>
              <w:t>Theme</w:t>
            </w:r>
          </w:p>
        </w:tc>
        <w:tc>
          <w:tcPr>
            <w:tcW w:w="2198" w:type="dxa"/>
            <w:tcBorders/>
            <w:vAlign w:val="center"/>
          </w:tcPr>
          <w:p>
            <w:pPr>
              <w:pStyle w:val="TableHeading"/>
              <w:suppressLineNumbers/>
              <w:spacing w:before="0" w:after="200"/>
              <w:jc w:val="center"/>
              <w:rPr/>
            </w:pPr>
            <w:r>
              <w:rPr>
                <w:rStyle w:val="Strong"/>
                <w:b/>
                <w:bCs/>
              </w:rPr>
              <w:t>Requirement</w:t>
            </w:r>
          </w:p>
        </w:tc>
        <w:tc>
          <w:tcPr>
            <w:tcW w:w="2662" w:type="dxa"/>
            <w:tcBorders/>
            <w:vAlign w:val="center"/>
          </w:tcPr>
          <w:p>
            <w:pPr>
              <w:pStyle w:val="TableHeading"/>
              <w:suppressLineNumbers/>
              <w:spacing w:before="0" w:after="200"/>
              <w:jc w:val="center"/>
              <w:rPr/>
            </w:pPr>
            <w:r>
              <w:rPr>
                <w:rStyle w:val="Strong"/>
                <w:b/>
                <w:bCs/>
              </w:rPr>
              <w:t>Project Coverage</w:t>
            </w:r>
          </w:p>
        </w:tc>
        <w:tc>
          <w:tcPr>
            <w:tcW w:w="2299" w:type="dxa"/>
            <w:tcBorders/>
            <w:vAlign w:val="center"/>
          </w:tcPr>
          <w:p>
            <w:pPr>
              <w:pStyle w:val="TableHeading"/>
              <w:suppressLineNumbers/>
              <w:spacing w:before="0" w:after="200"/>
              <w:jc w:val="center"/>
              <w:rPr/>
            </w:pPr>
            <w:r>
              <w:rPr>
                <w:rStyle w:val="Strong"/>
                <w:b/>
                <w:bCs/>
              </w:rPr>
              <w:t>Insight Produced</w:t>
            </w:r>
          </w:p>
        </w:tc>
      </w:tr>
      <w:tr>
        <w:trPr/>
        <w:tc>
          <w:tcPr>
            <w:tcW w:w="1480" w:type="dxa"/>
            <w:tcBorders/>
            <w:vAlign w:val="center"/>
          </w:tcPr>
          <w:p>
            <w:pPr>
              <w:pStyle w:val="TableContents"/>
              <w:widowControl w:val="false"/>
              <w:suppressLineNumbers/>
              <w:spacing w:before="0" w:after="200"/>
              <w:rPr/>
            </w:pPr>
            <w:r>
              <w:rPr>
                <w:rStyle w:val="Strong"/>
              </w:rPr>
              <w:t>P&amp;L</w:t>
            </w:r>
          </w:p>
        </w:tc>
        <w:tc>
          <w:tcPr>
            <w:tcW w:w="2198" w:type="dxa"/>
            <w:tcBorders/>
            <w:vAlign w:val="center"/>
          </w:tcPr>
          <w:p>
            <w:pPr>
              <w:pStyle w:val="TableContents"/>
              <w:spacing w:before="0" w:after="200"/>
              <w:rPr>
                <w:rFonts w:ascii="Cambria" w:hAnsi="Cambria"/>
              </w:rPr>
            </w:pPr>
            <w:r>
              <w:rPr/>
              <w:t>Present P&amp;L by cluster</w:t>
            </w:r>
          </w:p>
        </w:tc>
        <w:tc>
          <w:tcPr>
            <w:tcW w:w="2662" w:type="dxa"/>
            <w:tcBorders/>
            <w:vAlign w:val="center"/>
          </w:tcPr>
          <w:p>
            <w:pPr>
              <w:pStyle w:val="TableContents"/>
              <w:spacing w:before="0" w:after="200"/>
              <w:rPr>
                <w:rFonts w:ascii="Cambria" w:hAnsi="Cambria"/>
              </w:rPr>
            </w:pPr>
            <w:r>
              <w:rPr/>
              <w:t>Generates P&amp;L projections segmented by Directorate, Size, and Brand</w:t>
            </w:r>
          </w:p>
        </w:tc>
        <w:tc>
          <w:tcPr>
            <w:tcW w:w="2299" w:type="dxa"/>
            <w:tcBorders/>
            <w:vAlign w:val="center"/>
          </w:tcPr>
          <w:p>
            <w:pPr>
              <w:pStyle w:val="TableContents"/>
              <w:spacing w:before="0" w:after="200"/>
              <w:rPr>
                <w:rFonts w:ascii="Cambria" w:hAnsi="Cambria"/>
              </w:rPr>
            </w:pPr>
            <w:r>
              <w:rPr/>
              <w:t>D</w:t>
            </w:r>
            <w:r>
              <w:rPr/>
              <w:t>ashboard showing baseline vs. simulated results</w:t>
            </w:r>
          </w:p>
        </w:tc>
      </w:tr>
      <w:tr>
        <w:trPr/>
        <w:tc>
          <w:tcPr>
            <w:tcW w:w="1480" w:type="dxa"/>
            <w:tcBorders/>
            <w:vAlign w:val="center"/>
          </w:tcPr>
          <w:p>
            <w:pPr>
              <w:pStyle w:val="TableContents"/>
              <w:widowControl w:val="false"/>
              <w:suppressLineNumbers/>
              <w:spacing w:before="0" w:after="200"/>
              <w:rPr/>
            </w:pPr>
            <w:r>
              <w:rPr>
                <w:rStyle w:val="Strong"/>
              </w:rPr>
              <w:t>Price Adjustment</w:t>
            </w:r>
          </w:p>
        </w:tc>
        <w:tc>
          <w:tcPr>
            <w:tcW w:w="2198" w:type="dxa"/>
            <w:tcBorders/>
            <w:vAlign w:val="center"/>
          </w:tcPr>
          <w:p>
            <w:pPr>
              <w:pStyle w:val="TableContents"/>
              <w:spacing w:before="0" w:after="200"/>
              <w:rPr>
                <w:rFonts w:ascii="Cambria" w:hAnsi="Cambria"/>
              </w:rPr>
            </w:pPr>
            <w:r>
              <w:rPr/>
              <w:t>Simulate price impact on P&amp;L</w:t>
            </w:r>
          </w:p>
        </w:tc>
        <w:tc>
          <w:tcPr>
            <w:tcW w:w="2662" w:type="dxa"/>
            <w:tcBorders/>
            <w:vAlign w:val="center"/>
          </w:tcPr>
          <w:p>
            <w:pPr>
              <w:pStyle w:val="TableContents"/>
              <w:spacing w:before="0" w:after="200"/>
              <w:rPr>
                <w:rFonts w:ascii="Cambria" w:hAnsi="Cambria"/>
              </w:rPr>
            </w:pPr>
            <w:r>
              <w:rPr/>
              <w:t>Includes Unit Price as a control variable</w:t>
            </w:r>
          </w:p>
        </w:tc>
        <w:tc>
          <w:tcPr>
            <w:tcW w:w="2299" w:type="dxa"/>
            <w:tcBorders/>
            <w:vAlign w:val="center"/>
          </w:tcPr>
          <w:p>
            <w:pPr>
              <w:pStyle w:val="TableContents"/>
              <w:spacing w:before="0" w:after="200"/>
              <w:rPr>
                <w:rFonts w:ascii="Cambria" w:hAnsi="Cambria"/>
              </w:rPr>
            </w:pPr>
            <w:r>
              <w:rPr/>
              <w:t>“</w:t>
            </w:r>
            <w:r>
              <w:rPr/>
              <w:t>+10% price → –x% volume, +y% margin”</w:t>
            </w:r>
          </w:p>
        </w:tc>
      </w:tr>
      <w:tr>
        <w:trPr/>
        <w:tc>
          <w:tcPr>
            <w:tcW w:w="1480" w:type="dxa"/>
            <w:tcBorders/>
            <w:vAlign w:val="center"/>
          </w:tcPr>
          <w:p>
            <w:pPr>
              <w:pStyle w:val="TableContents"/>
              <w:widowControl w:val="false"/>
              <w:suppressLineNumbers/>
              <w:spacing w:before="0" w:after="200"/>
              <w:rPr/>
            </w:pPr>
            <w:r>
              <w:rPr>
                <w:rStyle w:val="Strong"/>
              </w:rPr>
              <w:t>Mix and Channel</w:t>
            </w:r>
          </w:p>
        </w:tc>
        <w:tc>
          <w:tcPr>
            <w:tcW w:w="2198" w:type="dxa"/>
            <w:tcBorders/>
            <w:vAlign w:val="center"/>
          </w:tcPr>
          <w:p>
            <w:pPr>
              <w:pStyle w:val="TableContents"/>
              <w:spacing w:before="0" w:after="200"/>
              <w:rPr>
                <w:rFonts w:ascii="Cambria" w:hAnsi="Cambria"/>
              </w:rPr>
            </w:pPr>
            <w:r>
              <w:rPr/>
              <w:t>Assess differences by channel and packaging</w:t>
            </w:r>
          </w:p>
        </w:tc>
        <w:tc>
          <w:tcPr>
            <w:tcW w:w="2662" w:type="dxa"/>
            <w:tcBorders/>
            <w:vAlign w:val="center"/>
          </w:tcPr>
          <w:p>
            <w:pPr>
              <w:pStyle w:val="TableContents"/>
              <w:spacing w:before="0" w:after="200"/>
              <w:rPr>
                <w:rFonts w:ascii="Cambria" w:hAnsi="Cambria"/>
              </w:rPr>
            </w:pPr>
            <w:r>
              <w:rPr/>
              <w:t>Product mix and channel used as categorical features</w:t>
            </w:r>
          </w:p>
        </w:tc>
        <w:tc>
          <w:tcPr>
            <w:tcW w:w="2299" w:type="dxa"/>
            <w:tcBorders/>
            <w:vAlign w:val="center"/>
          </w:tcPr>
          <w:p>
            <w:pPr>
              <w:pStyle w:val="TableContents"/>
              <w:spacing w:before="0" w:after="200"/>
              <w:rPr>
                <w:rFonts w:ascii="Cambria" w:hAnsi="Cambria"/>
              </w:rPr>
            </w:pPr>
            <w:r>
              <w:rPr/>
              <w:t>Heatmaps and comparative summaries per cluster</w:t>
            </w:r>
          </w:p>
        </w:tc>
      </w:tr>
      <w:tr>
        <w:trPr/>
        <w:tc>
          <w:tcPr>
            <w:tcW w:w="1480" w:type="dxa"/>
            <w:tcBorders/>
            <w:vAlign w:val="center"/>
          </w:tcPr>
          <w:p>
            <w:pPr>
              <w:pStyle w:val="TableContents"/>
              <w:widowControl w:val="false"/>
              <w:suppressLineNumbers/>
              <w:spacing w:before="0" w:after="200"/>
              <w:rPr/>
            </w:pPr>
            <w:r>
              <w:rPr>
                <w:rStyle w:val="Strong"/>
              </w:rPr>
              <w:t>Cost Drivers</w:t>
            </w:r>
          </w:p>
        </w:tc>
        <w:tc>
          <w:tcPr>
            <w:tcW w:w="2198" w:type="dxa"/>
            <w:tcBorders/>
            <w:vAlign w:val="center"/>
          </w:tcPr>
          <w:p>
            <w:pPr>
              <w:pStyle w:val="TableContents"/>
              <w:spacing w:before="0" w:after="200"/>
              <w:rPr>
                <w:rFonts w:ascii="Cambria" w:hAnsi="Cambria"/>
              </w:rPr>
            </w:pPr>
            <w:r>
              <w:rPr/>
              <w:t>Quantify PET, Aluminum, and Sugar impact</w:t>
            </w:r>
          </w:p>
        </w:tc>
        <w:tc>
          <w:tcPr>
            <w:tcW w:w="2662" w:type="dxa"/>
            <w:tcBorders/>
            <w:vAlign w:val="center"/>
          </w:tcPr>
          <w:p>
            <w:pPr>
              <w:pStyle w:val="TableContents"/>
              <w:spacing w:before="0" w:after="200"/>
              <w:rPr>
                <w:rFonts w:ascii="Cambria" w:hAnsi="Cambria"/>
              </w:rPr>
            </w:pPr>
            <w:r>
              <w:rPr/>
              <w:t>Raw material costs modeled as key explanatory variables</w:t>
            </w:r>
          </w:p>
        </w:tc>
        <w:tc>
          <w:tcPr>
            <w:tcW w:w="2299" w:type="dxa"/>
            <w:tcBorders/>
            <w:vAlign w:val="center"/>
          </w:tcPr>
          <w:p>
            <w:pPr>
              <w:pStyle w:val="TableContents"/>
              <w:spacing w:before="0" w:after="200"/>
              <w:rPr>
                <w:rFonts w:ascii="Cambria" w:hAnsi="Cambria"/>
              </w:rPr>
            </w:pPr>
            <w:r>
              <w:rPr/>
              <w:t>“</w:t>
            </w:r>
            <w:r>
              <w:rPr/>
              <w:t>+10% PET cost → –z% margin”</w:t>
            </w:r>
          </w:p>
        </w:tc>
      </w:tr>
      <w:tr>
        <w:trPr/>
        <w:tc>
          <w:tcPr>
            <w:tcW w:w="1480" w:type="dxa"/>
            <w:tcBorders/>
            <w:vAlign w:val="center"/>
          </w:tcPr>
          <w:p>
            <w:pPr>
              <w:pStyle w:val="TableContents"/>
              <w:widowControl w:val="false"/>
              <w:suppressLineNumbers/>
              <w:spacing w:before="0" w:after="200"/>
              <w:rPr/>
            </w:pPr>
            <w:r>
              <w:rPr>
                <w:rStyle w:val="Strong"/>
              </w:rPr>
              <w:t>Volume Projection</w:t>
            </w:r>
          </w:p>
        </w:tc>
        <w:tc>
          <w:tcPr>
            <w:tcW w:w="2198" w:type="dxa"/>
            <w:tcBorders/>
            <w:vAlign w:val="center"/>
          </w:tcPr>
          <w:p>
            <w:pPr>
              <w:pStyle w:val="TableContents"/>
              <w:spacing w:before="0" w:after="200"/>
              <w:rPr>
                <w:rFonts w:ascii="Cambria" w:hAnsi="Cambria"/>
              </w:rPr>
            </w:pPr>
            <w:r>
              <w:rPr/>
              <w:t>Forecast future sales volume</w:t>
            </w:r>
          </w:p>
        </w:tc>
        <w:tc>
          <w:tcPr>
            <w:tcW w:w="2662" w:type="dxa"/>
            <w:tcBorders/>
            <w:vAlign w:val="center"/>
          </w:tcPr>
          <w:p>
            <w:pPr>
              <w:pStyle w:val="TableContents"/>
              <w:spacing w:before="0" w:after="200"/>
              <w:rPr>
                <w:rFonts w:ascii="Cambria" w:hAnsi="Cambria"/>
              </w:rPr>
            </w:pPr>
            <w:r>
              <w:rPr/>
              <w:t>Separate volume model integrating cost and price effects</w:t>
            </w:r>
          </w:p>
        </w:tc>
        <w:tc>
          <w:tcPr>
            <w:tcW w:w="2299" w:type="dxa"/>
            <w:tcBorders/>
            <w:vAlign w:val="center"/>
          </w:tcPr>
          <w:p>
            <w:pPr>
              <w:pStyle w:val="TableContents"/>
              <w:spacing w:before="0" w:after="200"/>
              <w:rPr>
                <w:rFonts w:ascii="Cambria" w:hAnsi="Cambria"/>
              </w:rPr>
            </w:pPr>
            <w:r>
              <w:rPr/>
              <w:t>Volume forecasts with confidence intervals</w:t>
            </w:r>
          </w:p>
        </w:tc>
      </w:tr>
    </w:tbl>
    <w:p>
      <w:pPr>
        <w:pStyle w:val="Normal"/>
        <w:jc w:val="both"/>
        <w:rPr>
          <w:rFonts w:ascii="Cambria" w:hAnsi="Cambria"/>
        </w:rPr>
      </w:pPr>
      <w:r>
        <w:rPr/>
        <w:br/>
      </w:r>
    </w:p>
    <w:p>
      <w:pPr>
        <w:pStyle w:val="Heading2"/>
        <w:jc w:val="both"/>
        <w:rPr>
          <w:rFonts w:ascii="Cambria" w:hAnsi="Cambria"/>
        </w:rPr>
      </w:pPr>
      <w:r>
        <w:rPr>
          <w:rFonts w:ascii="Cambria" w:hAnsi="Cambria"/>
        </w:rPr>
        <w:t>7</w:t>
      </w:r>
      <w:r>
        <w:rPr>
          <w:rFonts w:ascii="Cambria" w:hAnsi="Cambria"/>
        </w:rPr>
        <w:t>. Executive Summary</w:t>
      </w:r>
    </w:p>
    <w:p>
      <w:pPr>
        <w:pStyle w:val="Normal"/>
        <w:jc w:val="both"/>
        <w:rPr>
          <w:rFonts w:ascii="Cambria" w:hAnsi="Cambria"/>
        </w:rPr>
      </w:pPr>
      <w:r>
        <w:rPr/>
        <w:br/>
        <w:t xml:space="preserve">The proposed analytical framework directly addresses FEMSA’s “must-have” requirements. </w:t>
        <w:br/>
        <w:t>It quantifies the impact of raw material costs and pricing strategies on both profitability and sales volume, providing a transparent and interpretable model. Results are segmented by Directorate, Packaging, and Product Size, and can be visualized through interactive BI dashboards for data-driven decision-making.  The model’s explainability makes it suitable for both executive presentations and operational scenario planning.</w:t>
      </w:r>
    </w:p>
    <w:p>
      <w:pPr>
        <w:pStyle w:val="Normal"/>
        <w:spacing w:before="0" w:after="200"/>
        <w:jc w:val="both"/>
        <w:rPr>
          <w:rFonts w:ascii="Cambria" w:hAnsi="Cambria"/>
        </w:rPr>
      </w:pPr>
      <w:r>
        <w:rPr/>
        <w:br/>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250</TotalTime>
  <Application>LibreOffice/24.2.7.2$Linux_X86_64 LibreOffice_project/420$Build-2</Application>
  <AppVersion>15.0000</AppVersion>
  <Pages>4</Pages>
  <Words>774</Words>
  <Characters>4425</Characters>
  <CharactersWithSpaces>5133</CharactersWithSpaces>
  <Paragraphs>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pt-BR</dc:language>
  <cp:lastModifiedBy/>
  <dcterms:modified xsi:type="dcterms:W3CDTF">2025-10-10T14:19:49Z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