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C9A15A"/>
          <w:sz w:val="56"/>
          <w:szCs w:val="56"/>
        </w:rPr>
        <w:t xml:space="preserve">DOM'S CAFÉ</w:t>
      </w:r>
    </w:p>
    <w:p>
      <w:pPr>
        <w:spacing w:after="400"/>
        <w:jc w:val="center"/>
      </w:pPr>
      <w:r>
        <w:rPr>
          <w:rFonts w:ascii="Calibri" w:cs="Calibri" w:eastAsia="Calibri" w:hAnsi="Calibri"/>
          <w:b/>
          <w:bCs/>
          <w:color w:val="2B2118"/>
          <w:sz w:val="28"/>
          <w:szCs w:val="28"/>
        </w:rPr>
        <w:t xml:space="preserve">AGDAL, RABAT</w:t>
      </w:r>
    </w:p>
    <w:p>
      <w:pPr>
        <w:spacing w:after="60"/>
        <w:jc w:val="center"/>
      </w:pPr>
      <w:r>
        <w:rPr>
          <w:rFonts w:ascii="Calibri" w:cs="Calibri" w:eastAsia="Calibri" w:hAnsi="Calibri"/>
          <w:b/>
          <w:bCs/>
          <w:color w:val="2B2118"/>
          <w:sz w:val="32"/>
          <w:szCs w:val="32"/>
        </w:rPr>
        <w:t xml:space="preserve">OPSTART-WERKSCHEMA</w:t>
      </w:r>
    </w:p>
    <w:p>
      <w:pPr>
        <w:spacing w:after="500"/>
        <w:jc w:val="center"/>
      </w:pPr>
      <w:r>
        <w:rPr>
          <w:rFonts w:ascii="Calibri" w:cs="Calibri" w:eastAsia="Calibri" w:hAnsi="Calibri"/>
          <w:i/>
          <w:iCs/>
          <w:color w:val="2B2118"/>
          <w:sz w:val="22"/>
          <w:szCs w:val="22"/>
        </w:rPr>
        <w:t xml:space="preserve">Eerste 4 weken: van testkeuken tot officiële opening</w:t>
      </w:r>
    </w:p>
    <w:tbl>
      <w:tblPr>
        <w:tblW w:type="dxa" w:w="9350"/>
        <w:tblBorders>
          <w:top w:val="single" w:color="C9A15A" w:sz="6"/>
          <w:left w:val="single" w:color="C9A15A" w:sz="6"/>
          <w:bottom w:val="single" w:color="C9A15A" w:sz="6"/>
          <w:right w:val="single" w:color="C9A15A" w:sz="6"/>
          <w:insideH w:val="none" w:color="FFFFFF" w:sz="0"/>
          <w:insideV w:val="none" w:color="FFFFFF" w:sz="0"/>
        </w:tblBorders>
      </w:tblPr>
      <w:tblGrid>
        <w:gridCol w:w="9350"/>
      </w:tblGrid>
      <w:tr>
        <w:tc>
          <w:tcPr>
            <w:tcW w:type="dxa" w:w="9350"/>
            <w:shd w:fill="F2E9D8" w:color="auto" w:val="clear"/>
            <w:tcMar>
              <w:top w:type="dxa" w:w="160"/>
              <w:left w:type="dxa" w:w="200"/>
              <w:bottom w:type="dxa" w:w="160"/>
              <w:right w:type="dxa" w:w="200"/>
            </w:tcMar>
          </w:tcPr>
          <w:p>
            <w:r>
              <w:rPr>
                <w:rFonts w:ascii="Calibri" w:cs="Calibri" w:eastAsia="Calibri" w:hAnsi="Calibri"/>
                <w:i/>
                <w:iCs/>
                <w:color w:val="2B2118"/>
                <w:sz w:val="20"/>
                <w:szCs w:val="20"/>
              </w:rPr>
              <w:t xml:space="preserve">Uitgangspunt: het pand is klaar, start is morgen. Dit schema gaat ervan uit dat er al een chef aanwezig is (die het Arabische keukendocument gebruikt) en dat team, bloemkeuze en exacte opening-promo tijdens week 1 definitief worden gemaakt. Pas de dagen aan als de werkelijke startdatum verschuift, de volgorde van de stappen blijft hetzelfde.</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De aanpak: slim en zonder waste</w:t>
      </w:r>
    </w:p>
    <w:p>
      <w:pPr>
        <w:spacing w:after="160"/>
      </w:pPr>
      <w:r>
        <w:rPr>
          <w:rFonts w:ascii="Calibri" w:cs="Calibri" w:eastAsia="Calibri" w:hAnsi="Calibri"/>
          <w:sz w:val="21"/>
          <w:szCs w:val="21"/>
        </w:rPr>
        <w:t xml:space="preserve">Het hele schema is opgebouwd rond één regel: niets in bulk inkopen of aankondigen voordat het intern getest en goedgekeurd is. Dat voorkomt de twee grootste kostenlekken bij een pizzeria-opening: bedorven voorraad van recepten die nog veranderen, en een marketingcampagne die klanten naar een kaart trekt die nog niet klopt.</w:t>
      </w:r>
    </w:p>
    <w:p>
      <w:pPr>
        <w:pStyle w:val="Heading3"/>
        <w:spacing w:after="100" w:before="200"/>
      </w:pPr>
      <w:r>
        <w:rPr>
          <w:rFonts w:ascii="Calibri" w:cs="Calibri" w:eastAsia="Calibri" w:hAnsi="Calibri"/>
          <w:b/>
          <w:bCs/>
          <w:i/>
          <w:iCs/>
          <w:color w:val="2B2118"/>
        </w:rPr>
        <w:t xml:space="preserve">Vijf principes die in elk onderdeel terugkomen</w:t>
      </w:r>
    </w:p>
    <w:p>
      <w:pPr>
        <w:pStyle w:val="ListParagraph"/>
        <w:numPr>
          <w:ilvl w:val="0"/>
          <w:numId w:val="1"/>
        </w:numPr>
        <w:spacing w:after="90"/>
      </w:pPr>
      <w:r>
        <w:rPr>
          <w:rFonts w:ascii="Calibri" w:cs="Calibri" w:eastAsia="Calibri" w:hAnsi="Calibri"/>
          <w:sz w:val="21"/>
          <w:szCs w:val="21"/>
        </w:rPr>
        <w:t xml:space="preserve">Klein en vers inkopen tijdens het testen (week 1-2), pas bulk inkopen zodra recepten en porties vaststaan.</w:t>
      </w:r>
    </w:p>
    <w:p>
      <w:pPr>
        <w:pStyle w:val="ListParagraph"/>
        <w:numPr>
          <w:ilvl w:val="0"/>
          <w:numId w:val="1"/>
        </w:numPr>
        <w:spacing w:after="90"/>
      </w:pPr>
      <w:r>
        <w:rPr>
          <w:rFonts w:ascii="Calibri" w:cs="Calibri" w:eastAsia="Calibri" w:hAnsi="Calibri"/>
          <w:sz w:val="21"/>
          <w:szCs w:val="21"/>
        </w:rPr>
        <w:t xml:space="preserve">Bloem eerst testen (Caputo 00 versus lokale sterke bloem), dan pas een leveranciersafspraak voor grote hoeveelheden maken.</w:t>
      </w:r>
    </w:p>
    <w:p>
      <w:pPr>
        <w:pStyle w:val="ListParagraph"/>
        <w:numPr>
          <w:ilvl w:val="0"/>
          <w:numId w:val="1"/>
        </w:numPr>
        <w:spacing w:after="90"/>
      </w:pPr>
      <w:r>
        <w:rPr>
          <w:rFonts w:ascii="Calibri" w:cs="Calibri" w:eastAsia="Calibri" w:hAnsi="Calibri"/>
          <w:sz w:val="21"/>
          <w:szCs w:val="21"/>
        </w:rPr>
        <w:t xml:space="preserve">Weegschaal op elk werkstation vanaf dag 1: portiecontrole is de grootste, meest controleerbare hefboom tegen waste.</w:t>
      </w:r>
    </w:p>
    <w:p>
      <w:pPr>
        <w:pStyle w:val="ListParagraph"/>
        <w:numPr>
          <w:ilvl w:val="0"/>
          <w:numId w:val="1"/>
        </w:numPr>
        <w:spacing w:after="90"/>
      </w:pPr>
      <w:r>
        <w:rPr>
          <w:rFonts w:ascii="Calibri" w:cs="Calibri" w:eastAsia="Calibri" w:hAnsi="Calibri"/>
          <w:sz w:val="21"/>
          <w:szCs w:val="21"/>
        </w:rPr>
        <w:t xml:space="preserve">Dagelijks een kort waste-logboekje bijhouden (wat gaat weg, hoeveel, waarom), zodat inkoophoeveelheden na twee weken op echte cijfers staan in plaats van schattingen.</w:t>
      </w:r>
    </w:p>
    <w:p>
      <w:pPr>
        <w:pStyle w:val="ListParagraph"/>
        <w:numPr>
          <w:ilvl w:val="0"/>
          <w:numId w:val="1"/>
        </w:numPr>
        <w:spacing w:after="90"/>
      </w:pPr>
      <w:r>
        <w:rPr>
          <w:rFonts w:ascii="Calibri" w:cs="Calibri" w:eastAsia="Calibri" w:hAnsi="Calibri"/>
          <w:sz w:val="21"/>
          <w:szCs w:val="21"/>
        </w:rPr>
        <w:t xml:space="preserve">Eerst intern testen (vrienden/familie), dan zacht open (geen marketing), dan pas de volledige marketingcampagne aanzetten. Elke stap bevestigt dat de vorige stap goed genoeg is om op te bouwen.</w:t>
      </w:r>
    </w:p>
    <w:p>
      <w:r>
        <w:br w:type="page"/>
      </w:r>
    </w:p>
    <w:p>
      <w:pPr>
        <w:pStyle w:val="Heading1"/>
        <w:pBdr>
          <w:bottom w:val="single" w:color="C9A15A" w:sz="12" w:space="4"/>
        </w:pBdr>
        <w:spacing w:after="200" w:before="400"/>
      </w:pPr>
      <w:r>
        <w:rPr>
          <w:rFonts w:ascii="Calibri" w:cs="Calibri" w:eastAsia="Calibri" w:hAnsi="Calibri"/>
          <w:b/>
          <w:bCs/>
          <w:color w:val="2B2118"/>
        </w:rPr>
        <w:t xml:space="preserve">Weekoverzicht</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1600"/>
        <w:gridCol w:w="3400"/>
        <w:gridCol w:w="4350"/>
      </w:tblGrid>
      <w:tr>
        <w:trPr>
          <w:tblHeader/>
        </w:trPr>
        <w:tc>
          <w:tcPr>
            <w:tcW w:type="dxa" w:w="16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Week</w:t>
            </w:r>
          </w:p>
        </w:tc>
        <w:tc>
          <w:tcPr>
            <w:tcW w:type="dxa" w:w="34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Hoofddoel</w:t>
            </w:r>
          </w:p>
        </w:tc>
        <w:tc>
          <w:tcPr>
            <w:tcW w:type="dxa" w:w="435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Belangrijkste output</w:t>
            </w:r>
          </w:p>
        </w:tc>
      </w:tr>
      <w:tr>
        <w:tc>
          <w:tcPr>
            <w:tcW w:type="dxa" w:w="1600"/>
            <w:shd w:fill="FFFFFF" w:color="auto" w:val="clear"/>
            <w:tcMar>
              <w:top w:type="dxa" w:w="90"/>
              <w:left w:type="dxa" w:w="120"/>
              <w:bottom w:type="dxa" w:w="90"/>
              <w:right w:type="dxa" w:w="120"/>
            </w:tcMar>
          </w:tcPr>
          <w:p>
            <w:r>
              <w:rPr>
                <w:rFonts w:ascii="Calibri" w:cs="Calibri" w:eastAsia="Calibri" w:hAnsi="Calibri"/>
                <w:b/>
                <w:bCs/>
                <w:sz w:val="19"/>
                <w:szCs w:val="19"/>
              </w:rPr>
              <w:t xml:space="preserve">Week 1</w:t>
            </w:r>
          </w:p>
        </w:tc>
        <w:tc>
          <w:tcPr>
            <w:tcW w:type="dxa" w:w="34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Testen &amp; beslissen</w:t>
            </w:r>
          </w:p>
        </w:tc>
        <w:tc>
          <w:tcPr>
            <w:tcW w:type="dxa" w:w="43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Bloemkeuze vast, alle 8 recepten getest en waar nodig aangepast, definitieve v1.0 van het keukendocument</w:t>
            </w:r>
          </w:p>
        </w:tc>
      </w:tr>
      <w:tr>
        <w:tc>
          <w:tcPr>
            <w:tcW w:type="dxa" w:w="1600"/>
            <w:shd w:fill="FBF8F3" w:color="auto" w:val="clear"/>
            <w:tcMar>
              <w:top w:type="dxa" w:w="90"/>
              <w:left w:type="dxa" w:w="120"/>
              <w:bottom w:type="dxa" w:w="90"/>
              <w:right w:type="dxa" w:w="120"/>
            </w:tcMar>
          </w:tcPr>
          <w:p>
            <w:r>
              <w:rPr>
                <w:rFonts w:ascii="Calibri" w:cs="Calibri" w:eastAsia="Calibri" w:hAnsi="Calibri"/>
                <w:b/>
                <w:bCs/>
                <w:sz w:val="19"/>
                <w:szCs w:val="19"/>
              </w:rPr>
              <w:t xml:space="preserve">Week 2</w:t>
            </w:r>
          </w:p>
        </w:tc>
        <w:tc>
          <w:tcPr>
            <w:tcW w:type="dxa" w:w="34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Trainen &amp; klein testen</w:t>
            </w:r>
          </w:p>
        </w:tc>
        <w:tc>
          <w:tcPr>
            <w:tcW w:type="dxa" w:w="43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Personeel getraind, fotoshoot voor reels gedaan, vrienden-en-familietest gedraaid, bulkinkoop opgezet</w:t>
            </w:r>
          </w:p>
        </w:tc>
      </w:tr>
      <w:tr>
        <w:tc>
          <w:tcPr>
            <w:tcW w:type="dxa" w:w="1600"/>
            <w:shd w:fill="FFFFFF" w:color="auto" w:val="clear"/>
            <w:tcMar>
              <w:top w:type="dxa" w:w="90"/>
              <w:left w:type="dxa" w:w="120"/>
              <w:bottom w:type="dxa" w:w="90"/>
              <w:right w:type="dxa" w:w="120"/>
            </w:tcMar>
          </w:tcPr>
          <w:p>
            <w:r>
              <w:rPr>
                <w:rFonts w:ascii="Calibri" w:cs="Calibri" w:eastAsia="Calibri" w:hAnsi="Calibri"/>
                <w:b/>
                <w:bCs/>
                <w:sz w:val="19"/>
                <w:szCs w:val="19"/>
              </w:rPr>
              <w:t xml:space="preserve">Week 3</w:t>
            </w:r>
          </w:p>
        </w:tc>
        <w:tc>
          <w:tcPr>
            <w:tcW w:type="dxa" w:w="34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Zachte opening</w:t>
            </w:r>
          </w:p>
        </w:tc>
        <w:tc>
          <w:tcPr>
            <w:tcW w:type="dxa" w:w="43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Echte klanten, geen marketing, dagelijkse waste- en tijdlogging, eerste Google-reviews</w:t>
            </w:r>
          </w:p>
        </w:tc>
      </w:tr>
      <w:tr>
        <w:tc>
          <w:tcPr>
            <w:tcW w:type="dxa" w:w="1600"/>
            <w:shd w:fill="FBF8F3" w:color="auto" w:val="clear"/>
            <w:tcMar>
              <w:top w:type="dxa" w:w="90"/>
              <w:left w:type="dxa" w:w="120"/>
              <w:bottom w:type="dxa" w:w="90"/>
              <w:right w:type="dxa" w:w="120"/>
            </w:tcMar>
          </w:tcPr>
          <w:p>
            <w:r>
              <w:rPr>
                <w:rFonts w:ascii="Calibri" w:cs="Calibri" w:eastAsia="Calibri" w:hAnsi="Calibri"/>
                <w:b/>
                <w:bCs/>
                <w:sz w:val="19"/>
                <w:szCs w:val="19"/>
              </w:rPr>
              <w:t xml:space="preserve">Week 4</w:t>
            </w:r>
          </w:p>
        </w:tc>
        <w:tc>
          <w:tcPr>
            <w:tcW w:type="dxa" w:w="34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Officiële launch</w:t>
            </w:r>
          </w:p>
        </w:tc>
        <w:tc>
          <w:tcPr>
            <w:tcW w:type="dxa" w:w="43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Volledige marketingcampagne live, inkooplijst herwogen op echte verkoopdata, evaluatie eerste maand</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Week 1 in detail: testen &amp; beslissen</w:t>
      </w:r>
    </w:p>
    <w:p>
      <w:pPr>
        <w:spacing w:after="160"/>
      </w:pPr>
      <w:r>
        <w:rPr>
          <w:rFonts w:ascii="Calibri" w:cs="Calibri" w:eastAsia="Calibri" w:hAnsi="Calibri"/>
          <w:sz w:val="21"/>
          <w:szCs w:val="21"/>
        </w:rPr>
        <w:t xml:space="preserve">Dit is de belangrijkste week: alles wat hier goed wordt vastgelegd, bespaart geld en stress in de weken daarna.</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1700"/>
        <w:gridCol w:w="7650"/>
      </w:tblGrid>
      <w:tr>
        <w:trPr>
          <w:tblHeader/>
        </w:trPr>
        <w:tc>
          <w:tcPr>
            <w:tcW w:type="dxa" w:w="17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Moment</w:t>
            </w:r>
          </w:p>
        </w:tc>
        <w:tc>
          <w:tcPr>
            <w:tcW w:type="dxa" w:w="765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Taken</w:t>
            </w:r>
          </w:p>
        </w:tc>
      </w:tr>
      <w:tr>
        <w:tc>
          <w:tcPr>
            <w:tcW w:type="dxa" w:w="1700"/>
            <w:shd w:fill="FFFFFF" w:color="auto" w:val="clear"/>
            <w:tcMar>
              <w:top w:type="dxa" w:w="90"/>
              <w:left w:type="dxa" w:w="120"/>
              <w:bottom w:type="dxa" w:w="90"/>
              <w:right w:type="dxa" w:w="120"/>
            </w:tcMar>
          </w:tcPr>
          <w:p>
            <w:r>
              <w:rPr>
                <w:rFonts w:ascii="Calibri" w:cs="Calibri" w:eastAsia="Calibri" w:hAnsi="Calibri"/>
                <w:b/>
                <w:bCs/>
                <w:sz w:val="19"/>
                <w:szCs w:val="19"/>
              </w:rPr>
              <w:t xml:space="preserve">Dag 1 (morgen)</w:t>
            </w:r>
          </w:p>
        </w:tc>
        <w:tc>
          <w:tcPr>
            <w:tcW w:type="dxa" w:w="7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Kick-off met eigenaar, chef en Amplify: doelen en rolverdeling doornemen. Arabisch keukendocument samen met de chef doorlopen, niet alleen overhandigen. Eén persoon aanwijzen als verantwoordelijke voor inkoop/voorraad. Testbestelling: 1-2 kg Caputo 00 bloem én een zak lokale sterke bloem (bv. Kenz Force). Kleine testhoeveelheden inkopen voor precies 1 ronde van alle 8 pizza's, niet meer. Bestel-flow op domscafe.pages.dev end-to-end testen (proefbestelling plaatsen en checken of die goed doorkomt).</w:t>
            </w:r>
          </w:p>
        </w:tc>
      </w:tr>
      <w:tr>
        <w:tc>
          <w:tcPr>
            <w:tcW w:type="dxa" w:w="1700"/>
            <w:shd w:fill="FBF8F3" w:color="auto" w:val="clear"/>
            <w:tcMar>
              <w:top w:type="dxa" w:w="90"/>
              <w:left w:type="dxa" w:w="120"/>
              <w:bottom w:type="dxa" w:w="90"/>
              <w:right w:type="dxa" w:w="120"/>
            </w:tcMar>
          </w:tcPr>
          <w:p>
            <w:r>
              <w:rPr>
                <w:rFonts w:ascii="Calibri" w:cs="Calibri" w:eastAsia="Calibri" w:hAnsi="Calibri"/>
                <w:b/>
                <w:bCs/>
                <w:sz w:val="19"/>
                <w:szCs w:val="19"/>
              </w:rPr>
              <w:t xml:space="preserve">Dag 2</w:t>
            </w:r>
          </w:p>
        </w:tc>
        <w:tc>
          <w:tcPr>
            <w:tcW w:type="dxa" w:w="7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Chef maakt twee testdegen naast elkaar (Caputo versus lokale bloem), zelfde recept en tijden uit het basisdeegrecept. Start de koelkastrijs op tijd (24-48 uur), dus dit moet vroeg op de dag. Werkstations inrichten volgens de assemblagevolgorde uit het document (saus, kaas, toppings, afwerking-na-oven). Weegschaal op elk station neerzetten.</w:t>
            </w:r>
          </w:p>
        </w:tc>
      </w:tr>
      <w:tr>
        <w:tc>
          <w:tcPr>
            <w:tcW w:type="dxa" w:w="1700"/>
            <w:shd w:fill="FFFFFF" w:color="auto" w:val="clear"/>
            <w:tcMar>
              <w:top w:type="dxa" w:w="90"/>
              <w:left w:type="dxa" w:w="120"/>
              <w:bottom w:type="dxa" w:w="90"/>
              <w:right w:type="dxa" w:w="120"/>
            </w:tcMar>
          </w:tcPr>
          <w:p>
            <w:r>
              <w:rPr>
                <w:rFonts w:ascii="Calibri" w:cs="Calibri" w:eastAsia="Calibri" w:hAnsi="Calibri"/>
                <w:b/>
                <w:bCs/>
                <w:sz w:val="19"/>
                <w:szCs w:val="19"/>
              </w:rPr>
              <w:t xml:space="preserve">Dag 3</w:t>
            </w:r>
          </w:p>
        </w:tc>
        <w:tc>
          <w:tcPr>
            <w:tcW w:type="dxa" w:w="7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Beide degen bakken en samen proeven (chef + eigenaar) aan de hand van de kwaliteitscontrolepunten uit het document. Bloemkeuze maken (of nog één dag extra testen bij twijfel). Zodra beslist: gesprek starten met de leverancier over prijs bij bulkafname (25 kg zakken). Eerste 2-3 pizza's testen om assemblage en baktijd te toetsen.</w:t>
            </w:r>
          </w:p>
        </w:tc>
      </w:tr>
      <w:tr>
        <w:tc>
          <w:tcPr>
            <w:tcW w:type="dxa" w:w="1700"/>
            <w:shd w:fill="FBF8F3" w:color="auto" w:val="clear"/>
            <w:tcMar>
              <w:top w:type="dxa" w:w="90"/>
              <w:left w:type="dxa" w:w="120"/>
              <w:bottom w:type="dxa" w:w="90"/>
              <w:right w:type="dxa" w:w="120"/>
            </w:tcMar>
          </w:tcPr>
          <w:p>
            <w:r>
              <w:rPr>
                <w:rFonts w:ascii="Calibri" w:cs="Calibri" w:eastAsia="Calibri" w:hAnsi="Calibri"/>
                <w:b/>
                <w:bCs/>
                <w:sz w:val="19"/>
                <w:szCs w:val="19"/>
              </w:rPr>
              <w:t xml:space="preserve">Dag 4</w:t>
            </w:r>
          </w:p>
        </w:tc>
        <w:tc>
          <w:tcPr>
            <w:tcW w:type="dxa" w:w="7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Overige 5-6 pizza's één voor één testen, exact volgens de hoeveelheden uit het document. Per pizza noteren: werkelijke bereidingstijd, afwijkingen t.o.v. het recept, aanpassingen die de chef op smaak voorstelt. Elk overschot of weggegooid ingrediënt bijhouden in het waste-logboekje.</w:t>
            </w:r>
          </w:p>
        </w:tc>
      </w:tr>
      <w:tr>
        <w:tc>
          <w:tcPr>
            <w:tcW w:type="dxa" w:w="1700"/>
            <w:shd w:fill="FFFFFF" w:color="auto" w:val="clear"/>
            <w:tcMar>
              <w:top w:type="dxa" w:w="90"/>
              <w:left w:type="dxa" w:w="120"/>
              <w:bottom w:type="dxa" w:w="90"/>
              <w:right w:type="dxa" w:w="120"/>
            </w:tcMar>
          </w:tcPr>
          <w:p>
            <w:r>
              <w:rPr>
                <w:rFonts w:ascii="Calibri" w:cs="Calibri" w:eastAsia="Calibri" w:hAnsi="Calibri"/>
                <w:b/>
                <w:bCs/>
                <w:sz w:val="19"/>
                <w:szCs w:val="19"/>
              </w:rPr>
              <w:t xml:space="preserve">Dag 5</w:t>
            </w:r>
          </w:p>
        </w:tc>
        <w:tc>
          <w:tcPr>
            <w:tcW w:type="dxa" w:w="7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Debrief met chef en eigenaar: welke recepten passen we aan (portie, timing, saus)? Keukendocument (Arabisch + Engels/Frans) bijwerken naar de definitieve v1.0. Foodcost opnieuw doorrekenen met de gekozen bloem en eventuele portieaanpassingen. Fotoshoot voor de reel-content voor volgende week inplannen, nu de pizza's er consistent uitzien.</w:t>
            </w:r>
          </w:p>
        </w:tc>
      </w:tr>
      <w:tr>
        <w:tc>
          <w:tcPr>
            <w:tcW w:type="dxa" w:w="1700"/>
            <w:shd w:fill="FBF8F3" w:color="auto" w:val="clear"/>
            <w:tcMar>
              <w:top w:type="dxa" w:w="90"/>
              <w:left w:type="dxa" w:w="120"/>
              <w:bottom w:type="dxa" w:w="90"/>
              <w:right w:type="dxa" w:w="120"/>
            </w:tcMar>
          </w:tcPr>
          <w:p>
            <w:r>
              <w:rPr>
                <w:rFonts w:ascii="Calibri" w:cs="Calibri" w:eastAsia="Calibri" w:hAnsi="Calibri"/>
                <w:b/>
                <w:bCs/>
                <w:sz w:val="19"/>
                <w:szCs w:val="19"/>
              </w:rPr>
              <w:t xml:space="preserve">Dag 6-7 (weekend)</w:t>
            </w:r>
          </w:p>
        </w:tc>
        <w:tc>
          <w:tcPr>
            <w:tcW w:type="dxa" w:w="7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Chef maakt in alle rust nog één keer alle 8 pizza's volgens het definitieve recept, als generale repetitie. Leverancierscontracten afronden (bloem, mozzarella, vlees) op basis van de nu bekende bulkhoeveelheden.</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Week 2: trainen &amp; eerste levende test</w:t>
      </w:r>
    </w:p>
    <w:p>
      <w:pPr>
        <w:pStyle w:val="ListParagraph"/>
        <w:numPr>
          <w:ilvl w:val="0"/>
          <w:numId w:val="1"/>
        </w:numPr>
        <w:spacing w:after="90"/>
      </w:pPr>
      <w:r>
        <w:rPr>
          <w:rFonts w:ascii="Calibri" w:cs="Calibri" w:eastAsia="Calibri" w:hAnsi="Calibri"/>
          <w:sz w:val="21"/>
          <w:szCs w:val="21"/>
        </w:rPr>
        <w:t xml:space="preserve">Training bedienend personeel: menukennis, allergenen, hoe 'per punt' bestellen werkt aan tafel en bij afhalen.</w:t>
      </w:r>
    </w:p>
    <w:p>
      <w:pPr>
        <w:pStyle w:val="ListParagraph"/>
        <w:numPr>
          <w:ilvl w:val="0"/>
          <w:numId w:val="1"/>
        </w:numPr>
        <w:spacing w:after="90"/>
      </w:pPr>
      <w:r>
        <w:rPr>
          <w:rFonts w:ascii="Calibri" w:cs="Calibri" w:eastAsia="Calibri" w:hAnsi="Calibri"/>
          <w:sz w:val="21"/>
          <w:szCs w:val="21"/>
        </w:rPr>
        <w:t xml:space="preserve">Fotoshoot uitvoeren volgens de reel-prompts (de set van 48), nu de pizza's definitief staan.</w:t>
      </w:r>
    </w:p>
    <w:p>
      <w:pPr>
        <w:pStyle w:val="ListParagraph"/>
        <w:numPr>
          <w:ilvl w:val="0"/>
          <w:numId w:val="1"/>
        </w:numPr>
        <w:spacing w:after="90"/>
      </w:pPr>
      <w:r>
        <w:rPr>
          <w:rFonts w:ascii="Calibri" w:cs="Calibri" w:eastAsia="Calibri" w:hAnsi="Calibri"/>
          <w:sz w:val="21"/>
          <w:szCs w:val="21"/>
        </w:rPr>
        <w:t xml:space="preserve">Kleine vrienden-en-familietest (10-20 man), zonder marketing, om keukensnelheid en bestelflow onder lichte druk te testen.</w:t>
      </w:r>
    </w:p>
    <w:p>
      <w:pPr>
        <w:pStyle w:val="ListParagraph"/>
        <w:numPr>
          <w:ilvl w:val="0"/>
          <w:numId w:val="1"/>
        </w:numPr>
        <w:spacing w:after="90"/>
      </w:pPr>
      <w:r>
        <w:rPr>
          <w:rFonts w:ascii="Calibri" w:cs="Calibri" w:eastAsia="Calibri" w:hAnsi="Calibri"/>
          <w:sz w:val="21"/>
          <w:szCs w:val="21"/>
        </w:rPr>
        <w:t xml:space="preserve">Waste-logboek en portiecontrole dagelijks blijven bijhouden, met een kort debriefmoment (5-10 minuten) met de chef.</w:t>
      </w:r>
    </w:p>
    <w:p>
      <w:pPr>
        <w:pStyle w:val="ListParagraph"/>
        <w:numPr>
          <w:ilvl w:val="0"/>
          <w:numId w:val="1"/>
        </w:numPr>
        <w:spacing w:after="90"/>
      </w:pPr>
      <w:r>
        <w:rPr>
          <w:rFonts w:ascii="Calibri" w:cs="Calibri" w:eastAsia="Calibri" w:hAnsi="Calibri"/>
          <w:sz w:val="21"/>
          <w:szCs w:val="21"/>
        </w:rPr>
        <w:t xml:space="preserve">Bulkinkoop opzetten voor bloem, mozzarella en tomatensaus op basis van de week 1-resultaten. Verse producten (kruiden, ui, kruidenmixen) klein en vers blijven inkopen.</w:t>
      </w:r>
    </w:p>
    <w:p>
      <w:pPr>
        <w:spacing w:after="200"/>
      </w:pPr>
    </w:p>
    <w:p>
      <w:pPr>
        <w:pStyle w:val="Heading1"/>
        <w:pBdr>
          <w:bottom w:val="single" w:color="C9A15A" w:sz="12" w:space="4"/>
        </w:pBdr>
        <w:spacing w:after="200" w:before="400"/>
      </w:pPr>
      <w:r>
        <w:rPr>
          <w:rFonts w:ascii="Calibri" w:cs="Calibri" w:eastAsia="Calibri" w:hAnsi="Calibri"/>
          <w:b/>
          <w:bCs/>
          <w:color w:val="2B2118"/>
        </w:rPr>
        <w:t xml:space="preserve">Week 3: zachte opening</w:t>
      </w:r>
    </w:p>
    <w:p>
      <w:pPr>
        <w:pStyle w:val="ListParagraph"/>
        <w:numPr>
          <w:ilvl w:val="0"/>
          <w:numId w:val="1"/>
        </w:numPr>
        <w:spacing w:after="90"/>
      </w:pPr>
      <w:r>
        <w:rPr>
          <w:rFonts w:ascii="Calibri" w:cs="Calibri" w:eastAsia="Calibri" w:hAnsi="Calibri"/>
          <w:sz w:val="21"/>
          <w:szCs w:val="21"/>
        </w:rPr>
        <w:t xml:space="preserve">Zaak rustig open voor publiek, geen aankondiging op social media. Overweeg beperkte openingsuren of een beperkt menu als dat de controle vergroot.</w:t>
      </w:r>
    </w:p>
    <w:p>
      <w:pPr>
        <w:pStyle w:val="ListParagraph"/>
        <w:numPr>
          <w:ilvl w:val="0"/>
          <w:numId w:val="1"/>
        </w:numPr>
        <w:spacing w:after="90"/>
      </w:pPr>
      <w:r>
        <w:rPr>
          <w:rFonts w:ascii="Calibri" w:cs="Calibri" w:eastAsia="Calibri" w:hAnsi="Calibri"/>
          <w:sz w:val="21"/>
          <w:szCs w:val="21"/>
        </w:rPr>
        <w:t xml:space="preserve">Dagelijks: waste-log, tickettijden en de foodcost per pizza vergelijken met de eerdere schatting, nu met echte facturen van de leverancier.</w:t>
      </w:r>
    </w:p>
    <w:p>
      <w:pPr>
        <w:pStyle w:val="ListParagraph"/>
        <w:numPr>
          <w:ilvl w:val="0"/>
          <w:numId w:val="1"/>
        </w:numPr>
        <w:spacing w:after="90"/>
      </w:pPr>
      <w:r>
        <w:rPr>
          <w:rFonts w:ascii="Calibri" w:cs="Calibri" w:eastAsia="Calibri" w:hAnsi="Calibri"/>
          <w:sz w:val="21"/>
          <w:szCs w:val="21"/>
        </w:rPr>
        <w:t xml:space="preserve">Lichte, organische social content starten (geen volledige campagne) om het account op te warmen.</w:t>
      </w:r>
    </w:p>
    <w:p>
      <w:pPr>
        <w:pStyle w:val="ListParagraph"/>
        <w:numPr>
          <w:ilvl w:val="0"/>
          <w:numId w:val="1"/>
        </w:numPr>
        <w:spacing w:after="90"/>
      </w:pPr>
      <w:r>
        <w:rPr>
          <w:rFonts w:ascii="Calibri" w:cs="Calibri" w:eastAsia="Calibri" w:hAnsi="Calibri"/>
          <w:sz w:val="21"/>
          <w:szCs w:val="21"/>
        </w:rPr>
        <w:t xml:space="preserve">De geplande sampling/QR-referralfunnel activeren in de buurt voor lokale bekendheid zonder grote advertentie-uitgaven.</w:t>
      </w:r>
    </w:p>
    <w:p>
      <w:pPr>
        <w:pStyle w:val="ListParagraph"/>
        <w:numPr>
          <w:ilvl w:val="0"/>
          <w:numId w:val="1"/>
        </w:numPr>
        <w:spacing w:after="90"/>
      </w:pPr>
      <w:r>
        <w:rPr>
          <w:rFonts w:ascii="Calibri" w:cs="Calibri" w:eastAsia="Calibri" w:hAnsi="Calibri"/>
          <w:sz w:val="21"/>
          <w:szCs w:val="21"/>
        </w:rPr>
        <w:t xml:space="preserve">Eerste Google-reviews verzamelen van tevreden testklanten.</w:t>
      </w:r>
    </w:p>
    <w:p>
      <w:pPr>
        <w:spacing w:after="200"/>
      </w:pPr>
    </w:p>
    <w:p>
      <w:pPr>
        <w:pStyle w:val="Heading1"/>
        <w:pBdr>
          <w:bottom w:val="single" w:color="C9A15A" w:sz="12" w:space="4"/>
        </w:pBdr>
        <w:spacing w:after="200" w:before="400"/>
      </w:pPr>
      <w:r>
        <w:rPr>
          <w:rFonts w:ascii="Calibri" w:cs="Calibri" w:eastAsia="Calibri" w:hAnsi="Calibri"/>
          <w:b/>
          <w:bCs/>
          <w:color w:val="2B2118"/>
        </w:rPr>
        <w:t xml:space="preserve">Week 4: officiële launch</w:t>
      </w:r>
    </w:p>
    <w:p>
      <w:pPr>
        <w:pStyle w:val="ListParagraph"/>
        <w:numPr>
          <w:ilvl w:val="0"/>
          <w:numId w:val="1"/>
        </w:numPr>
        <w:spacing w:after="90"/>
      </w:pPr>
      <w:r>
        <w:rPr>
          <w:rFonts w:ascii="Calibri" w:cs="Calibri" w:eastAsia="Calibri" w:hAnsi="Calibri"/>
          <w:sz w:val="21"/>
          <w:szCs w:val="21"/>
        </w:rPr>
        <w:t xml:space="preserve">Volledige marketingcampagne live: de reels, en de 'Pizzas eerst'-indeling op de order-site staat al goed.</w:t>
      </w:r>
    </w:p>
    <w:p>
      <w:pPr>
        <w:pStyle w:val="ListParagraph"/>
        <w:numPr>
          <w:ilvl w:val="0"/>
          <w:numId w:val="1"/>
        </w:numPr>
        <w:spacing w:after="90"/>
      </w:pPr>
      <w:r>
        <w:rPr>
          <w:rFonts w:ascii="Calibri" w:cs="Calibri" w:eastAsia="Calibri" w:hAnsi="Calibri"/>
          <w:sz w:val="21"/>
          <w:szCs w:val="21"/>
        </w:rPr>
        <w:t xml:space="preserve">Overweeg een openingsactie die aansluit bij het concept, bijvoorbeeld een korting bij het proeven van meerdere smaken per part.</w:t>
      </w:r>
    </w:p>
    <w:p>
      <w:pPr>
        <w:pStyle w:val="ListParagraph"/>
        <w:numPr>
          <w:ilvl w:val="0"/>
          <w:numId w:val="1"/>
        </w:numPr>
        <w:spacing w:after="90"/>
      </w:pPr>
      <w:r>
        <w:rPr>
          <w:rFonts w:ascii="Calibri" w:cs="Calibri" w:eastAsia="Calibri" w:hAnsi="Calibri"/>
          <w:sz w:val="21"/>
          <w:szCs w:val="21"/>
        </w:rPr>
        <w:t xml:space="preserve">Inkooplijst herwegen: met twee weken echte verkoopdata de eerdere 'één van elk'-inkoopprioriteit vervangen door wat daadwerkelijk het best verkoopt.</w:t>
      </w:r>
    </w:p>
    <w:p>
      <w:pPr>
        <w:pStyle w:val="ListParagraph"/>
        <w:numPr>
          <w:ilvl w:val="0"/>
          <w:numId w:val="1"/>
        </w:numPr>
        <w:spacing w:after="90"/>
      </w:pPr>
      <w:r>
        <w:rPr>
          <w:rFonts w:ascii="Calibri" w:cs="Calibri" w:eastAsia="Calibri" w:hAnsi="Calibri"/>
          <w:sz w:val="21"/>
          <w:szCs w:val="21"/>
        </w:rPr>
        <w:t xml:space="preserve">Evaluatie van de eerste maand: waar zat de meeste waste, wat verkocht het best, wat gaat het draaiboek in voor de lange termijn.</w:t>
      </w:r>
    </w:p>
    <w:p>
      <w:r>
        <w:br w:type="page"/>
      </w:r>
    </w:p>
    <w:p>
      <w:pPr>
        <w:pStyle w:val="Heading1"/>
        <w:pBdr>
          <w:bottom w:val="single" w:color="C9A15A" w:sz="12" w:space="4"/>
        </w:pBdr>
        <w:spacing w:after="200" w:before="400"/>
      </w:pPr>
      <w:r>
        <w:rPr>
          <w:rFonts w:ascii="Calibri" w:cs="Calibri" w:eastAsia="Calibri" w:hAnsi="Calibri"/>
          <w:b/>
          <w:bCs/>
          <w:color w:val="2B2118"/>
        </w:rPr>
        <w:t xml:space="preserve">Openstaande beslissingen deze week</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2600"/>
        <w:gridCol w:w="3150"/>
      </w:tblGrid>
      <w:tr>
        <w:trPr>
          <w:tblHeader/>
        </w:trPr>
        <w:tc>
          <w:tcPr>
            <w:tcW w:type="dxa" w:w="36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Beslissing</w:t>
            </w:r>
          </w:p>
        </w:tc>
        <w:tc>
          <w:tcPr>
            <w:tcW w:type="dxa" w:w="26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Wanneer nodig</w:t>
            </w:r>
          </w:p>
        </w:tc>
        <w:tc>
          <w:tcPr>
            <w:tcW w:type="dxa" w:w="315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Wie beslist</w:t>
            </w:r>
          </w:p>
        </w:tc>
      </w:tr>
      <w:tr>
        <w:tc>
          <w:tcPr>
            <w:tcW w:type="dxa" w:w="3600"/>
            <w:shd w:fill="FFFFFF" w:color="auto" w:val="clear"/>
            <w:tcMar>
              <w:top w:type="dxa" w:w="90"/>
              <w:left w:type="dxa" w:w="120"/>
              <w:bottom w:type="dxa" w:w="90"/>
              <w:right w:type="dxa" w:w="120"/>
            </w:tcMar>
          </w:tcPr>
          <w:p>
            <w:r>
              <w:rPr>
                <w:rFonts w:ascii="Calibri" w:cs="Calibri" w:eastAsia="Calibri" w:hAnsi="Calibri"/>
                <w:b/>
                <w:bCs/>
                <w:sz w:val="19"/>
                <w:szCs w:val="19"/>
              </w:rPr>
              <w:t xml:space="preserve">Bloemkeuze: Caputo 00 of lokale sterke bloem</w:t>
            </w:r>
          </w:p>
        </w:tc>
        <w:tc>
          <w:tcPr>
            <w:tcW w:type="dxa" w:w="26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Dag 3</w:t>
            </w:r>
          </w:p>
        </w:tc>
        <w:tc>
          <w:tcPr>
            <w:tcW w:type="dxa" w:w="31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Chef + eigenaar, samen proeven</w:t>
            </w:r>
          </w:p>
        </w:tc>
      </w:tr>
      <w:tr>
        <w:tc>
          <w:tcPr>
            <w:tcW w:type="dxa" w:w="3600"/>
            <w:shd w:fill="FBF8F3" w:color="auto" w:val="clear"/>
            <w:tcMar>
              <w:top w:type="dxa" w:w="90"/>
              <w:left w:type="dxa" w:w="120"/>
              <w:bottom w:type="dxa" w:w="90"/>
              <w:right w:type="dxa" w:w="120"/>
            </w:tcMar>
          </w:tcPr>
          <w:p>
            <w:r>
              <w:rPr>
                <w:rFonts w:ascii="Calibri" w:cs="Calibri" w:eastAsia="Calibri" w:hAnsi="Calibri"/>
                <w:b/>
                <w:bCs/>
                <w:sz w:val="19"/>
                <w:szCs w:val="19"/>
              </w:rPr>
              <w:t xml:space="preserve">Definitieve teamgrootte (extra bediening/keukenhulp nodig?)</w:t>
            </w:r>
          </w:p>
        </w:tc>
        <w:tc>
          <w:tcPr>
            <w:tcW w:type="dxa" w:w="26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Dag 1-2</w:t>
            </w:r>
          </w:p>
        </w:tc>
        <w:tc>
          <w:tcPr>
            <w:tcW w:type="dxa" w:w="31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Eigenaar</w:t>
            </w:r>
          </w:p>
        </w:tc>
      </w:tr>
      <w:tr>
        <w:tc>
          <w:tcPr>
            <w:tcW w:type="dxa" w:w="3600"/>
            <w:shd w:fill="FFFFFF" w:color="auto" w:val="clear"/>
            <w:tcMar>
              <w:top w:type="dxa" w:w="90"/>
              <w:left w:type="dxa" w:w="120"/>
              <w:bottom w:type="dxa" w:w="90"/>
              <w:right w:type="dxa" w:w="120"/>
            </w:tcMar>
          </w:tcPr>
          <w:p>
            <w:r>
              <w:rPr>
                <w:rFonts w:ascii="Calibri" w:cs="Calibri" w:eastAsia="Calibri" w:hAnsi="Calibri"/>
                <w:b/>
                <w:bCs/>
                <w:sz w:val="19"/>
                <w:szCs w:val="19"/>
              </w:rPr>
              <w:t xml:space="preserve">Exacte opendatum voor de officiële launch</w:t>
            </w:r>
          </w:p>
        </w:tc>
        <w:tc>
          <w:tcPr>
            <w:tcW w:type="dxa" w:w="26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Eind week 2</w:t>
            </w:r>
          </w:p>
        </w:tc>
        <w:tc>
          <w:tcPr>
            <w:tcW w:type="dxa" w:w="31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Eigenaar + Amplify</w:t>
            </w:r>
          </w:p>
        </w:tc>
      </w:tr>
      <w:tr>
        <w:tc>
          <w:tcPr>
            <w:tcW w:type="dxa" w:w="3600"/>
            <w:shd w:fill="FBF8F3" w:color="auto" w:val="clear"/>
            <w:tcMar>
              <w:top w:type="dxa" w:w="90"/>
              <w:left w:type="dxa" w:w="120"/>
              <w:bottom w:type="dxa" w:w="90"/>
              <w:right w:type="dxa" w:w="120"/>
            </w:tcMar>
          </w:tcPr>
          <w:p>
            <w:r>
              <w:rPr>
                <w:rFonts w:ascii="Calibri" w:cs="Calibri" w:eastAsia="Calibri" w:hAnsi="Calibri"/>
                <w:b/>
                <w:bCs/>
                <w:sz w:val="19"/>
                <w:szCs w:val="19"/>
              </w:rPr>
              <w:t xml:space="preserve">Wel of geen openingsactie/promotie</w:t>
            </w:r>
          </w:p>
        </w:tc>
        <w:tc>
          <w:tcPr>
            <w:tcW w:type="dxa" w:w="26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Week 3</w:t>
            </w:r>
          </w:p>
        </w:tc>
        <w:tc>
          <w:tcPr>
            <w:tcW w:type="dxa" w:w="31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Eigenaar + Amplify</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2026-09-07T12:22:17.202Z</dcterms:created>
  <dcterms:modified xsi:type="dcterms:W3CDTF">2026-09-07T12:22:17.217Z</dcterms:modified>
</cp:coreProperties>
</file>

<file path=docProps/custom.xml><?xml version="1.0" encoding="utf-8"?>
<Properties xmlns="http://schemas.openxmlformats.org/officeDocument/2006/custom-properties" xmlns:vt="http://schemas.openxmlformats.org/officeDocument/2006/docPropsVTypes"/>
</file>