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7409" w14:textId="0901BDFA" w:rsidR="00024037" w:rsidRDefault="001A61EC">
      <w:pPr>
        <w:spacing w:after="160"/>
      </w:pPr>
      <w:r>
        <w:rPr>
          <w:rFonts w:ascii="Arial" w:eastAsia="Arial" w:hAnsi="Arial" w:cs="Arial"/>
          <w:b/>
          <w:bCs/>
          <w:color w:val="1F4E79"/>
          <w:sz w:val="28"/>
          <w:szCs w:val="28"/>
        </w:rPr>
        <w:t>Consultas al pliego – Licitación Servicios de Obras Civiles Menores Planta Puerto General San Martín</w:t>
      </w:r>
      <w:r w:rsidR="00D93014">
        <w:rPr>
          <w:rFonts w:ascii="Arial" w:eastAsia="Arial" w:hAnsi="Arial" w:cs="Arial"/>
          <w:b/>
          <w:bCs/>
          <w:color w:val="1F4E79"/>
          <w:sz w:val="28"/>
          <w:szCs w:val="28"/>
        </w:rPr>
      </w:r>
      <w:r>
        <w:rPr>
          <w:rFonts w:ascii="Arial" w:eastAsia="Arial" w:hAnsi="Arial" w:cs="Arial"/>
          <w:b/>
          <w:bCs/>
          <w:color w:val="1F4E79"/>
          <w:sz w:val="28"/>
          <w:szCs w:val="28"/>
        </w:rPr>
      </w:r>
      <w:r w:rsidR="00D93014">
        <w:rPr>
          <w:rFonts w:ascii="Arial" w:eastAsia="Arial" w:hAnsi="Arial" w:cs="Arial"/>
          <w:b/>
          <w:bCs/>
          <w:color w:val="1F4E79"/>
          <w:sz w:val="28"/>
          <w:szCs w:val="28"/>
        </w:rPr>
      </w:r>
    </w:p>
    <w:p w14:paraId="02EA2D87" w14:textId="4299EC19" w:rsidR="00024037" w:rsidRDefault="001A61EC">
      <w:pPr>
        <w:spacing w:before="80" w:after="80"/>
      </w:pPr>
      <w:r>
        <w:rPr>
          <w:rFonts w:ascii="Arial" w:eastAsia="Arial" w:hAnsi="Arial" w:cs="Arial"/>
          <w:b/>
          <w:bCs/>
          <w:sz w:val="18"/>
          <w:szCs w:val="18"/>
        </w:rPr>
        <w:t>Contratante: Pampa Energía S.A.  Proceso: Licitación Servicios de Obras Civiles Menores Planta Puerto General San Martín     Moneda: Pesos argentinos (ARS)</w:t>
      </w:r>
      <w:r w:rsidR="00B07118" w:rsidRPr="00B07118">
        <w:rPr>
          <w:rFonts w:ascii="Arial" w:eastAsia="Arial" w:hAnsi="Arial" w:cs="Arial"/>
          <w:b/>
          <w:bCs/>
          <w:sz w:val="18"/>
          <w:szCs w:val="18"/>
        </w:rPr>
      </w:r>
      <w:proofErr w:type="gramStart"/>
      <w:r w:rsidR="00B07118" w:rsidRPr="00B07118">
        <w:rPr>
          <w:rFonts w:ascii="Arial" w:eastAsia="Arial" w:hAnsi="Arial" w:cs="Arial"/>
          <w:b/>
          <w:bCs/>
          <w:sz w:val="18"/>
          <w:szCs w:val="18"/>
        </w:rPr>
      </w:r>
      <w:r w:rsidR="00B07118">
        <w:rPr>
          <w:rFonts w:ascii="Arial" w:eastAsia="Arial" w:hAnsi="Arial" w:cs="Arial"/>
          <w:b/>
          <w:bCs/>
          <w:sz w:val="18"/>
          <w:szCs w:val="18"/>
        </w:rPr>
      </w:r>
      <w:r>
        <w:rPr>
          <w:rFonts w:ascii="Arial" w:eastAsia="Arial" w:hAnsi="Arial" w:cs="Arial"/>
          <w:b/>
          <w:bCs/>
          <w:sz w:val="18"/>
          <w:szCs w:val="18"/>
        </w:rPr>
      </w:r>
      <w:proofErr w:type="gramEnd"/>
      <w:r>
        <w:rPr>
          <w:rFonts w:ascii="Arial" w:eastAsia="Arial" w:hAnsi="Arial" w:cs="Arial"/>
          <w:b/>
          <w:bCs/>
          <w:sz w:val="18"/>
          <w:szCs w:val="18"/>
        </w:rPr>
      </w:r>
      <w:r w:rsidR="00CE77C2" w:rsidRP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D93014" w:rsidRPr="001A61EC">
        <w:rPr>
          <w:rFonts w:ascii="Arial" w:eastAsia="Arial" w:hAnsi="Arial" w:cs="Arial"/>
          <w:b/>
          <w:bCs/>
          <w:sz w:val="18"/>
          <w:szCs w:val="18"/>
        </w:rPr>
      </w:r>
      <w:r w:rsidR="00D93014">
        <w:rPr>
          <w:rFonts w:ascii="Arial" w:eastAsia="Arial" w:hAnsi="Arial" w:cs="Arial"/>
          <w:b/>
          <w:bCs/>
          <w:sz w:val="18"/>
          <w:szCs w:val="18"/>
        </w:rPr>
      </w:r>
      <w:r w:rsidR="00D93014" w:rsidRPr="001A61EC">
        <w:rPr>
          <w:rFonts w:ascii="Arial" w:eastAsia="Arial" w:hAnsi="Arial" w:cs="Arial"/>
          <w:b/>
          <w:bCs/>
          <w:sz w:val="18"/>
          <w:szCs w:val="18"/>
        </w:rPr>
      </w:r>
    </w:p>
    <w:p w14:paraId="6CE1469E" w14:textId="7A1A1F1D" w:rsidR="00024037" w:rsidRDefault="001A61EC">
      <w:pPr>
        <w:spacing w:before="80" w:after="80"/>
      </w:pPr>
      <w:r>
        <w:rPr>
          <w:rFonts w:ascii="Arial" w:eastAsia="Arial" w:hAnsi="Arial" w:cs="Arial"/>
          <w:b/>
          <w:bCs/>
          <w:sz w:val="18"/>
          <w:szCs w:val="18"/>
        </w:rPr>
        <w:t>Planta: Planta Puerto General San Martín (PGSM)    Requirente: No especificado en pliego Comprador: Tomás Ignacio Ortiz</w:t>
      </w:r>
      <w:r w:rsidR="00CE77C2" w:rsidRPr="00CE77C2">
        <w:rPr>
          <w:rFonts w:ascii="Arial" w:eastAsia="Arial" w:hAnsi="Arial" w:cs="Arial"/>
          <w:b/>
          <w:bCs/>
          <w:sz w:val="18"/>
          <w:szCs w:val="18"/>
        </w:rPr>
      </w:r>
      <w:r w:rsid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CE77C2" w:rsidRPr="00CE77C2">
        <w:rPr>
          <w:rFonts w:ascii="Arial" w:eastAsia="Arial" w:hAnsi="Arial" w:cs="Arial"/>
          <w:b/>
          <w:bCs/>
          <w:sz w:val="18"/>
          <w:szCs w:val="18"/>
        </w:rPr>
      </w:r>
      <w:r>
        <w:rPr>
          <w:rFonts w:ascii="Arial" w:eastAsia="Arial" w:hAnsi="Arial" w:cs="Arial"/>
          <w:b/>
          <w:bCs/>
          <w:sz w:val="18"/>
          <w:szCs w:val="18"/>
        </w:rPr>
      </w:r>
      <w:r w:rsidR="00CE77C2" w:rsidRPr="00CE77C2">
        <w:rPr>
          <w:rFonts w:ascii="Arial" w:eastAsia="Arial" w:hAnsi="Arial" w:cs="Arial"/>
          <w:b/>
          <w:bCs/>
          <w:sz w:val="18"/>
          <w:szCs w:val="18"/>
        </w:rPr>
      </w:r>
      <w:r w:rsidR="00CE77C2">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p>
    <w:p w14:paraId="6E7105B0" w14:textId="3EAE5841" w:rsidR="00024037" w:rsidRDefault="00D93014">
      <w:pPr>
        <w:spacing w:before="120"/>
      </w:pPr>
      <w:r w:rsidRPr="00D93014">
        <w:rPr>
          <w:rFonts w:ascii="Arial" w:eastAsia="Arial" w:hAnsi="Arial" w:cs="Arial"/>
          <w:sz w:val="18"/>
          <w:szCs w:val="18"/>
        </w:rPr>
        <w:t>Las siguientes consultas se formulan con referencia a los documentos del proceso licitatorio (ID 5068 - PREVENCION Y CONTROL DE RIESGOS EN LA POLÍTICA.pdf, ID 5103 - POLÍTICA DE ALCOHOL, DROGAS Y SUSTANCIAS.pdf, ID 5813 - MANUAL SPT_ CAPITULO 1 - SISTEMA DE PERMISOS.pdf, ID 5814 - MANUAL SPT_ CAPITULO 2 - CONTROL DE ENERGÍAS.pdf, ID 5815 - MANUAL SPT_ CAPITULO 3 - SEGURIDAD EN TRABAJOS.pdf, ID 5816 - MANUAL SPT_ CAPITULO 4 - TRABAJO EN ALTURA.pdf, ID 5817 - MANUAL SPT_ CAPITULO 5 - INGRESO A ESPACIO.pdf, ID 5818 - MANUAL SPT_ CAPITULO 6 - TRABAJOS EN CALIENTE.pdf, ID 5819 - MANUAL SPT_ CAPITULO 7 - TRABAJO DE EXCAVACIONES.pdf, ID 5820 - MANUAL SPT_ CAPITULO 8 - IZAJE DE CARGAS.pdf, ID 5944 - PRINCIPIOS DEL AMBIENTE.pdf, ID 6229 - REGLAS DE ORO DE SEGURIDAD Y SALUD.pdf, Indicaciones para cotizar acuerdo Obras Civiles Menores PGSM.docx, PAMPA - Cond.Grales de Obras 20190815v8.pdf). Las respuestas pasarán a formar parte integrante del pliego.</w:t>
      </w:r>
    </w:p>
    <w:p w14:paraId="00F41EF0" w14:textId="77777777" w:rsidR="00024037" w:rsidRDefault="001A61EC">
      <w:pPr>
        <w:spacing w:before="240" w:after="160"/>
      </w:pPr>
      <w:r>
        <w:rPr>
          <w:rFonts w:ascii="Arial" w:eastAsia="Arial" w:hAnsi="Arial" w:cs="Arial"/>
          <w:b/>
          <w:bCs/>
          <w:color w:val="1F4E79"/>
          <w:sz w:val="24"/>
          <w:szCs w:val="24"/>
        </w:rPr>
        <w:t>A. Consultas técnicas, operativas y económicas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31"/>
        <w:gridCol w:w="2196"/>
        <w:gridCol w:w="5533"/>
      </w:tblGrid>
      <w:tr w:rsidR="00024037" w14:paraId="0422DF4A"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53832D"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DC32B6" w14:textId="77777777" w:rsidR="00024037" w:rsidRDefault="001A61EC">
            <w:pPr>
              <w:jc w:val="center"/>
            </w:pPr>
            <w:r>
              <w:rPr>
                <w:rFonts w:ascii="Arial" w:eastAsia="Arial" w:hAnsi="Arial" w:cs="Arial"/>
                <w:b/>
                <w:bCs/>
                <w:color w:val="FFFFFF"/>
                <w:sz w:val="18"/>
                <w:szCs w:val="18"/>
              </w:rPr>
              <w:t>Categoría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923B89" w14:textId="77777777" w:rsidR="00024037" w:rsidRDefault="001A61EC">
            <w:pPr>
              <w:jc w:val="center"/>
            </w:pPr>
            <w:r>
              <w:rPr>
                <w:rFonts w:ascii="Arial" w:eastAsia="Arial" w:hAnsi="Arial" w:cs="Arial"/>
                <w:b/>
                <w:bCs/>
                <w:color w:val="FFFFFF"/>
                <w:sz w:val="18"/>
                <w:szCs w:val="18"/>
              </w:rPr>
              <w:t>Archivo / Punto de origen</w:t>
            </w:r>
          </w:p>
        </w:tc>
        <w:tc>
          <w:tcPr>
            <w:tcW w:w="5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502B691" w14:textId="77777777" w:rsidR="00024037" w:rsidRDefault="001A61EC">
            <w:pPr>
              <w:jc w:val="center"/>
            </w:pPr>
            <w:r>
              <w:rPr>
                <w:rFonts w:ascii="Arial" w:eastAsia="Arial" w:hAnsi="Arial" w:cs="Arial"/>
                <w:b/>
                <w:bCs/>
                <w:color w:val="FFFFFF"/>
                <w:sz w:val="18"/>
                <w:szCs w:val="18"/>
              </w:rPr>
              <w:t>Consulta</w:t>
            </w:r>
          </w:p>
        </w:tc>
      </w:tr>
      <w:tr>
        <w:tc>
          <w:tcPr>
            <w:tcW w:type="dxa" w:w="500"/>
          </w:tcPr>
          <w:p>
            <w:r>
              <w:t>1</w:t>
            </w:r>
          </w:p>
        </w:tc>
        <w:tc>
          <w:tcPr>
            <w:tcW w:type="dxa" w:w="1131"/>
          </w:tcPr>
          <w:p>
            <w:r>
              <w:t>Operativa</w:t>
            </w:r>
          </w:p>
        </w:tc>
        <w:tc>
          <w:tcPr>
            <w:tcW w:type="dxa" w:w="2196"/>
          </w:tcPr>
          <w:p>
            <w:r>
              <w:t>Indicaciones para cotizar acuerdo Obras Civiles Menores PGSM.docx</w:t>
              <w:br/>
              <w:t>Pág: 1</w:t>
              <w:br/>
              <w:t>"Se deberán detallar todos los precios (moneda ARS) en la planilla adjunta 'Planilla de Cotización Obras Civiles Menores PGSM'"</w:t>
            </w:r>
          </w:p>
        </w:tc>
        <w:tc>
          <w:tcPr>
            <w:tcW w:type="dxa" w:w="5533"/>
          </w:tcPr>
          <w:p>
            <w:r>
              <w:t>No se adjuntan en el pliego la 'Planilla de Cotización Obras Civiles Menores PGSM', el documento de 'Modalidad de Actualización de Tarifas', las 'Condiciones Particulares del Contrato', ni los Anexos A, B, C, D, E, F, G, H mencionados en las políticas de alcohol/drogas y manuales SPT. Se solicita la provisión de toda esta documentación faltante para poder cotizar adecuadamente.</w:t>
            </w:r>
          </w:p>
        </w:tc>
      </w:tr>
      <w:tr>
        <w:tc>
          <w:tcPr>
            <w:tcW w:type="dxa" w:w="500"/>
          </w:tcPr>
          <w:p>
            <w:r>
              <w:t>2</w:t>
            </w:r>
          </w:p>
        </w:tc>
        <w:tc>
          <w:tcPr>
            <w:tcW w:type="dxa" w:w="1131"/>
          </w:tcPr>
          <w:p>
            <w:r>
              <w:t>Operativa</w:t>
            </w:r>
          </w:p>
        </w:tc>
        <w:tc>
          <w:tcPr>
            <w:tcW w:type="dxa" w:w="2196"/>
          </w:tcPr>
          <w:p>
            <w:r>
              <w:t>PAMPA - Cond.Grales de Obras 20190815v8.pdf</w:t>
              <w:br/>
              <w:t>Pág: 1</w:t>
              <w:br/>
              <w:t>"31.- GASTOS DE AGUA Y ENERGÍA PARA LA OBRA"</w:t>
            </w:r>
          </w:p>
        </w:tc>
        <w:tc>
          <w:tcPr>
            <w:tcW w:type="dxa" w:w="5533"/>
          </w:tcPr>
          <w:p>
            <w:r>
              <w:t>El pliego menciona en su índice el punto 31 sobre gastos de agua y energía, pero no se detalla en el cuerpo del texto analizado quién asume el costo y la provisión de los puntos de conexión de agua, energía eléctrica, áreas de obrador, andamios y disposición final de residuos. ¿La planta proveerá estos servicios sin cargo para el contratista?</w:t>
            </w:r>
          </w:p>
        </w:tc>
      </w:tr>
      <w:tr>
        <w:tc>
          <w:tcPr>
            <w:tcW w:type="dxa" w:w="500"/>
          </w:tcPr>
          <w:p>
            <w:r>
              <w:t>3</w:t>
            </w:r>
          </w:p>
        </w:tc>
        <w:tc>
          <w:tcPr>
            <w:tcW w:type="dxa" w:w="1131"/>
          </w:tcPr>
          <w:p>
            <w:r>
              <w:t>Económica</w:t>
            </w:r>
          </w:p>
        </w:tc>
        <w:tc>
          <w:tcPr>
            <w:tcW w:type="dxa" w:w="2196"/>
          </w:tcPr>
          <w:p>
            <w:r>
              <w:t>PAMPA - Cond.Grales de Obras 20190815v8.pdf</w:t>
              <w:br/>
              <w:t>Pág: 5</w:t>
              <w:br/>
              <w:t>"El rechazo de un subcontratista no dará derecho a EL CONTRATISTA a reclamo alguno ni a solicitar la modificación de los términos establecidos para la ejecución de la OBRA."</w:t>
            </w:r>
          </w:p>
        </w:tc>
        <w:tc>
          <w:tcPr>
            <w:tcW w:type="dxa" w:w="5533"/>
          </w:tcPr>
          <w:p>
            <w:r>
              <w:t>¿Existe algún mecanismo de compensación económica o reconocimiento de costos por paralización de obra (standby) debido a demoras en las aprobaciones de subcontratistas, permisos de trabajo por parte de Pampa Energía, o interferencias operativas ajenas al contratista?</w:t>
            </w:r>
          </w:p>
        </w:tc>
      </w:tr>
      <w:tr>
        <w:tc>
          <w:tcPr>
            <w:tcW w:type="dxa" w:w="500"/>
          </w:tcPr>
          <w:p>
            <w:r>
              <w:t>4</w:t>
            </w:r>
          </w:p>
        </w:tc>
        <w:tc>
          <w:tcPr>
            <w:tcW w:type="dxa" w:w="1131"/>
          </w:tcPr>
          <w:p>
            <w:r>
              <w:t>Técnica</w:t>
            </w:r>
          </w:p>
        </w:tc>
        <w:tc>
          <w:tcPr>
            <w:tcW w:type="dxa" w:w="2196"/>
          </w:tcPr>
          <w:p>
            <w:r>
              <w:t>ID 5068 - PREVENCION Y CONTROL DE RIESGOS EN LA POLÍTICA.pdf</w:t>
              <w:br/>
              <w:t>Pág: 2</w:t>
              <w:br/>
              <w:t>"Coqueo: Hábito cultural de masticación de coca... generará un resultado positivo para cocaína, por lo tanto quedará a criterio del médico de planta de cuando la persona deberá continuar con el siguiente paso de este procedimiento."</w:t>
            </w:r>
          </w:p>
        </w:tc>
        <w:tc>
          <w:tcPr>
            <w:tcW w:type="dxa" w:w="5533"/>
          </w:tcPr>
          <w:p>
            <w:r>
              <w:t>Dado que el coqueo es una práctica cultural común en ciertas regiones de Argentina y genera un resultado positivo para cocaína, ¿cuál es el criterio objetivo y el protocolo exacto que aplicará el médico de planta para autorizar o rechazar el ingreso del personal que declare coqueo, a fin de evitar demoras operativas y vacantes imprevistas en la cuadrilla?</w:t>
            </w:r>
          </w:p>
        </w:tc>
      </w:tr>
      <w:tr>
        <w:tc>
          <w:tcPr>
            <w:tcW w:type="dxa" w:w="500"/>
          </w:tcPr>
          <w:p>
            <w:r>
              <w:t>5</w:t>
            </w:r>
          </w:p>
        </w:tc>
        <w:tc>
          <w:tcPr>
            <w:tcW w:type="dxa" w:w="1131"/>
          </w:tcPr>
          <w:p>
            <w:r>
              <w:t>Económica</w:t>
            </w:r>
          </w:p>
        </w:tc>
        <w:tc>
          <w:tcPr>
            <w:tcW w:type="dxa" w:w="2196"/>
          </w:tcPr>
          <w:p>
            <w:r>
              <w:t>Indicaciones para cotizar acuerdo Obras Civiles Menores PGSM.docx</w:t>
              <w:br/>
              <w:t>Pág: 1</w:t>
              <w:br/>
              <w:t>"MODALIDAD DE PAGO: Certificaciones quincenales, pagaderas a 30 días fecha recepción factura."</w:t>
            </w:r>
          </w:p>
        </w:tc>
        <w:tc>
          <w:tcPr>
            <w:tcW w:type="dxa" w:w="5533"/>
          </w:tcPr>
          <w:p>
            <w:r>
              <w:t>Existe una discrepancia en la modalidad de pago. Las 'Indicaciones para cotizar' establecen certificaciones quincenales pagaderas a 30 días, mientras que las 'Condiciones Generales' indican que los pagos se realizarán únicamente los días martes y jueves posteriores al vencimiento. Se solicita confirmar si se respetará estrictamente el plazo de 30 días desde la factura o si se aplicará la prórroga automática al día de pago de la compañía (martes/jueves).</w:t>
            </w:r>
          </w:p>
        </w:tc>
      </w:tr>
      <w:tr>
        <w:tc>
          <w:tcPr>
            <w:tcW w:type="dxa" w:w="500"/>
          </w:tcPr>
          <w:p>
            <w:r>
              <w:t>6</w:t>
            </w:r>
          </w:p>
        </w:tc>
        <w:tc>
          <w:tcPr>
            <w:tcW w:type="dxa" w:w="1131"/>
          </w:tcPr>
          <w:p>
            <w:r>
              <w:t>Técnica</w:t>
            </w:r>
          </w:p>
        </w:tc>
        <w:tc>
          <w:tcPr>
            <w:tcW w:type="dxa" w:w="2196"/>
          </w:tcPr>
          <w:p>
            <w:r>
              <w:t>ID 5816 - MANUAL SPT_ CAPITULO 4 - TRABAJO EN ALTURA.pdf</w:t>
              <w:br/>
              <w:t>Pág: 4</w:t>
              <w:br/>
              <w:t>"Trabajos en altura: son todas las actividades o tareas programadas en las que una o más personas están expuestas al riesgo de caída desniveles (*) iguales o superiores dos metros (2,0 metros). Para trabajos en altura deberá poseer una 'Habilitación'."</w:t>
            </w:r>
          </w:p>
        </w:tc>
        <w:tc>
          <w:tcPr>
            <w:tcW w:type="dxa" w:w="5533"/>
          </w:tcPr>
          <w:p>
            <w:r>
              <w:t>El pliego exige apto médico para trabajos en altura (&gt;= 2.0m), pero para 'Trabajos en distinto nivel' (&lt; 1.80m) indica que 'No es necesario el apto médico'. ¿Qué requisitos médicos y de habilitación aplican para los trabajos realizados en el rango de altura entre 1.80 metros y 2.00 metros?</w:t>
            </w:r>
          </w:p>
        </w:tc>
      </w:tr>
      <w:tr>
        <w:tc>
          <w:tcPr>
            <w:tcW w:type="dxa" w:w="500"/>
          </w:tcPr>
          <w:p>
            <w:r>
              <w:t>7</w:t>
            </w:r>
          </w:p>
        </w:tc>
        <w:tc>
          <w:tcPr>
            <w:tcW w:type="dxa" w:w="1131"/>
          </w:tcPr>
          <w:p>
            <w:r>
              <w:t>Económica</w:t>
            </w:r>
          </w:p>
        </w:tc>
        <w:tc>
          <w:tcPr>
            <w:tcW w:type="dxa" w:w="2196"/>
          </w:tcPr>
          <w:p>
            <w:r>
              <w:t>PAMPA - Cond.Grales de Obras 20190815v8.pdf</w:t>
              <w:br/>
              <w:t>Pág: 14</w:t>
              <w:br/>
              <w:t>"EL CONTRATISTA estará obligado a subsanar todas las observaciones que se detallen en el Punch List... en un plazo no mayor a dos (2) meses después de la Recepción Provisoria de la Obra."</w:t>
            </w:r>
          </w:p>
        </w:tc>
        <w:tc>
          <w:tcPr>
            <w:tcW w:type="dxa" w:w="5533"/>
          </w:tcPr>
          <w:p>
            <w:r>
              <w:t>¿Las tareas para subsanar el Punch List durante el período de garantía de 2 meses serán certificadas y pagadas, o deben ser consideradas como parte de los costos generales e imprevistos de la oferta original del contratista?</w:t>
            </w:r>
          </w:p>
        </w:tc>
      </w:tr>
      <w:tr>
        <w:tc>
          <w:tcPr>
            <w:tcW w:type="dxa" w:w="500"/>
          </w:tcPr>
          <w:p>
            <w:r>
              <w:t>8</w:t>
            </w:r>
          </w:p>
        </w:tc>
        <w:tc>
          <w:tcPr>
            <w:tcW w:type="dxa" w:w="1131"/>
          </w:tcPr>
          <w:p>
            <w:r>
              <w:t>Técnica</w:t>
            </w:r>
          </w:p>
        </w:tc>
        <w:tc>
          <w:tcPr>
            <w:tcW w:type="dxa" w:w="2196"/>
          </w:tcPr>
          <w:p>
            <w:r>
              <w:t>ID 5819 - MANUAL SPT_ CAPITULO 7 - TRABAJO DE EXCAVACIONES.pdf</w:t>
              <w:br/>
              <w:t>Pág: 7</w:t>
              <w:br/>
              <w:t>"...cuando se supere 1,20 m o se realice dentro de instalaciones industriales y la profundidad sea de 20 cm o superior, se deberá obtener un permiso de trabajo..."</w:t>
            </w:r>
          </w:p>
        </w:tc>
        <w:tc>
          <w:tcPr>
            <w:tcW w:type="dxa" w:w="5533"/>
          </w:tcPr>
          <w:p>
            <w:r>
              <w:t>Se solicita aclarar el límite inferior para requerir un permiso de excavación. La definición general habla de profundidades mayores a 30 cm, pero la sección de requerimientos exige permiso a partir de los 20 cm en áreas industriales. ¿Se requiere permiso para excavaciones de entre 20 cm y 30 cm en áreas no industriales?</w:t>
            </w:r>
          </w:p>
        </w:tc>
      </w:tr>
    </w:tbl>
    <w:p w14:paraId="62DE6379" w14:textId="77777777" w:rsidR="00024037" w:rsidRDefault="00024037">
      <w:pPr>
        <w:spacing w:before="240"/>
      </w:pPr>
    </w:p>
    <w:p w14:paraId="089B0EAC" w14:textId="77777777" w:rsidR="00024037" w:rsidRDefault="001A61EC">
      <w:pPr>
        <w:spacing w:before="240" w:after="160"/>
      </w:pPr>
      <w:r>
        <w:rPr>
          <w:rFonts w:ascii="Arial" w:eastAsia="Arial" w:hAnsi="Arial" w:cs="Arial"/>
          <w:b/>
          <w:bCs/>
          <w:color w:val="1F4E79"/>
          <w:sz w:val="24"/>
          <w:szCs w:val="24"/>
        </w:rPr>
        <w:lastRenderedPageBreak/>
        <w:t>B. Inconsistencias detectadas en el pliego - Se solicita aclaración oficial</w:t>
      </w:r>
    </w:p>
    <w:p w14:paraId="3F8E9DAC" w14:textId="77777777" w:rsidR="00024037" w:rsidRDefault="001A61EC">
      <w:pPr>
        <w:spacing w:before="80" w:after="80"/>
      </w:pPr>
      <w:r>
        <w:rPr>
          <w:rFonts w:ascii="Arial" w:eastAsia="Arial" w:hAnsi="Arial" w:cs="Arial"/>
          <w:sz w:val="18"/>
          <w:szCs w:val="18"/>
        </w:rPr>
        <w:t>Las siguientes observaciones identifican contradicciones entre documentos del mismo proceso licitatorio. Se solicita a PAMPA ENERGÍA S.A. una aclaración formal que indique qué documento prevalece en cada caso, a fin de garantizar que todas las ofertas se formulen sobre las mismas bases.</w:t>
      </w:r>
    </w:p>
    <w:p w14:paraId="5D43AA5F" w14:textId="77777777" w:rsidR="00024037" w:rsidRDefault="000240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381"/>
        <w:gridCol w:w="2412"/>
        <w:gridCol w:w="5078"/>
      </w:tblGrid>
      <w:tr w:rsidR="00024037" w14:paraId="04601348"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EBE504"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BD9082" w14:textId="77777777" w:rsidR="00024037" w:rsidRDefault="001A61EC">
            <w:pPr>
              <w:jc w:val="center"/>
            </w:pPr>
            <w:r>
              <w:rPr>
                <w:rFonts w:ascii="Arial" w:eastAsia="Arial" w:hAnsi="Arial" w:cs="Arial"/>
                <w:b/>
                <w:bCs/>
                <w:color w:val="FFFFFF"/>
                <w:sz w:val="18"/>
                <w:szCs w:val="18"/>
              </w:rPr>
              <w:t>Tipo</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5DC510" w14:textId="77777777" w:rsidR="00024037" w:rsidRDefault="001A61EC">
            <w:pPr>
              <w:jc w:val="center"/>
            </w:pPr>
            <w:r>
              <w:rPr>
                <w:rFonts w:ascii="Arial" w:eastAsia="Arial" w:hAnsi="Arial" w:cs="Arial"/>
                <w:b/>
                <w:bCs/>
                <w:color w:val="FFFFFF"/>
                <w:sz w:val="18"/>
                <w:szCs w:val="18"/>
              </w:rPr>
              <w:t>Documentos en conflicto</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5DB7C6" w14:textId="77777777" w:rsidR="00024037" w:rsidRDefault="001A61EC">
            <w:pPr>
              <w:jc w:val="center"/>
            </w:pPr>
            <w:r>
              <w:rPr>
                <w:rFonts w:ascii="Arial" w:eastAsia="Arial" w:hAnsi="Arial" w:cs="Arial"/>
                <w:b/>
                <w:bCs/>
                <w:color w:val="FFFFFF"/>
                <w:sz w:val="18"/>
                <w:szCs w:val="18"/>
              </w:rPr>
              <w:t>Descripción de la inconsistencia y pregunta</w:t>
            </w:r>
          </w:p>
        </w:tc>
      </w:tr>
      <w:tr>
        <w:tc>
          <w:tcPr>
            <w:tcW w:type="dxa" w:w="489"/>
          </w:tcPr>
          <w:p>
            <w:r>
              <w:t>9</w:t>
            </w:r>
          </w:p>
        </w:tc>
        <w:tc>
          <w:tcPr>
            <w:tcW w:type="dxa" w:w="1381"/>
          </w:tcPr>
          <w:p>
            <w:r>
              <w:t>Contradicción de límites</w:t>
            </w:r>
          </w:p>
        </w:tc>
        <w:tc>
          <w:tcPr>
            <w:tcW w:type="dxa" w:w="2412"/>
          </w:tcPr>
          <w:p>
            <w:r>
              <w:t>ID 5816 - MANUAL SPT_ CAPITULO 4 - TRABAJO EN ALTURA.pdf</w:t>
              <w:br/>
              <w:t>Pág: 4</w:t>
              <w:br/>
              <w:t>"Trabajos en altura: son todas las actividades o tareas programadas en las que una o más personas están expuestas al riesgo de caída desniveles (*) iguales o superiores dos metros (2,0 metros)... Trabajos en distinto nivel: actividades o tareas programadas que requiera que dos o más personas estén expuestas al riesgo de caída y recorra en caída libre una distancia menor a 1,80 metros: No es necesario el apto médico."</w:t>
            </w:r>
          </w:p>
        </w:tc>
        <w:tc>
          <w:tcPr>
            <w:tcW w:type="dxa" w:w="5078"/>
          </w:tcPr>
          <w:p>
            <w:r>
              <w:t>Existe un vacío regulatorio y una contradicción lógica para los trabajos realizados entre 1.80 metros y 1.99 metros de altura. No quedan clasificados ni como 'Trabajo en altura' (&gt;= 2.0m) ni como 'Trabajo en distinto nivel' (&lt; 1.80m). ¿Se requiere apto médico y habilitación para este rango intermedio?</w:t>
            </w:r>
          </w:p>
        </w:tc>
      </w:tr>
      <w:tr>
        <w:tc>
          <w:tcPr>
            <w:tcW w:type="dxa" w:w="489"/>
          </w:tcPr>
          <w:p>
            <w:r>
              <w:t>10</w:t>
            </w:r>
          </w:p>
        </w:tc>
        <w:tc>
          <w:tcPr>
            <w:tcW w:type="dxa" w:w="1381"/>
          </w:tcPr>
          <w:p>
            <w:r>
              <w:t>Contradicción de especificaciones</w:t>
            </w:r>
          </w:p>
        </w:tc>
        <w:tc>
          <w:tcPr>
            <w:tcW w:type="dxa" w:w="2412"/>
          </w:tcPr>
          <w:p>
            <w:r>
              <w:t>ID 5819 - MANUAL SPT_ CAPITULO 7 - TRABAJO DE EXCAVACIONES.pdf</w:t>
              <w:br/>
              <w:t>Pág: 2 y 7</w:t>
              <w:br/>
              <w:t>"Excavaciones: Es el conjunto de operaciones que tienen como fin realizar una zanja, un hoyo, una perforación o una cavidad mayor a los treinta centímetros (30) de profundidad... (Pág. 2) vs ...cuando se supere 1,20 m o se realice dentro de instalaciones industriales y la profundidad sea de 20 cm o superior, se deberá obtener un permiso de trabajo... (Pág. 7)."</w:t>
            </w:r>
          </w:p>
        </w:tc>
        <w:tc>
          <w:tcPr>
            <w:tcW w:type="dxa" w:w="5078"/>
          </w:tcPr>
          <w:p>
            <w:r>
              <w:t>Hay una contradicción entre la definición de excavación (&gt; 30 cm) y el umbral para solicitar permiso de trabajo en áreas industriales (&gt;= 20 cm). Si una tarea en área industrial tiene 25 cm de profundidad, técnicamente no es una 'excavación' según la definición de la página 2, pero sí requiere permiso de trabajo según la página 7. Se solicita unificar los criterios.</w:t>
            </w:r>
          </w:p>
        </w:tc>
      </w:tr>
      <w:tr>
        <w:tc>
          <w:tcPr>
            <w:tcW w:type="dxa" w:w="489"/>
          </w:tcPr>
          <w:p>
            <w:r>
              <w:t>11</w:t>
            </w:r>
          </w:p>
        </w:tc>
        <w:tc>
          <w:tcPr>
            <w:tcW w:type="dxa" w:w="1381"/>
          </w:tcPr>
          <w:p>
            <w:r>
              <w:t>Contradicción comercial</w:t>
            </w:r>
          </w:p>
        </w:tc>
        <w:tc>
          <w:tcPr>
            <w:tcW w:type="dxa" w:w="2412"/>
          </w:tcPr>
          <w:p>
            <w:r>
              <w:t>Indicaciones para cotizar acuerdo Obras Civiles Menores PGSM.docx, PAMPA - Cond.Grales de Obras 20190815v8.pdf</w:t>
              <w:br/>
              <w:t>Pág: 1 (Indicaciones) y 12 (Condiciones Generales)</w:t>
              <w:br/>
              <w:t>"MODALIDAD DE PAGO: Certificaciones quincenales, pagaderas a 30 días fecha recepción factura. (Indicaciones) vs En ningún caso la fecha de pago de las facturas será menor a treinta (30) días corridos contados desde la presentación de la factura. Los pagos serán efectuados siempre los días martes y jueves... (Condiciones Generales)."</w:t>
            </w:r>
          </w:p>
        </w:tc>
        <w:tc>
          <w:tcPr>
            <w:tcW w:type="dxa" w:w="5078"/>
          </w:tcPr>
          <w:p>
            <w:r>
              <w:t>Las Indicaciones para cotizar establecen certificaciones quincenales, mientras que las Condiciones Generales de Obras (Cláusula 13) regulan la 'medición y certificación de los trabajos ejecutados en cada mes' (certificación mensual). Además, las Condiciones Generales imponen un esquema de pago restringido a martes y jueves, lo que puede dilatar el plazo de 30 días acordado en las Indicaciones. Se solicita aclarar cuál documento prevalece.</w:t>
            </w:r>
          </w:p>
        </w:tc>
      </w:tr>
    </w:tbl>
    <w:p w14:paraId="3F40F8FF" w14:textId="77777777" w:rsidR="00024037" w:rsidRDefault="00024037">
      <w:pPr>
        <w:spacing w:before="240"/>
      </w:pPr>
    </w:p>
    <w:p w14:paraId="3A9D31B1" w14:textId="77777777" w:rsidR="00024037" w:rsidRDefault="001A61EC">
      <w:pPr>
        <w:spacing w:before="80" w:after="80"/>
      </w:pPr>
      <w:r>
        <w:rPr>
          <w:rFonts w:ascii="Arial" w:eastAsia="Arial" w:hAnsi="Arial" w:cs="Arial"/>
          <w:sz w:val="18"/>
          <w:szCs w:val="18"/>
        </w:rPr>
        <w:t>Sin otro particular, quedamos a disposición para cualquier aclaración adicional.</w:t>
      </w:r>
    </w:p>
    <w:sectPr w:rsidR="00024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F37"/>
    <w:multiLevelType w:val="hybridMultilevel"/>
    <w:tmpl w:val="B35A1E50"/>
    <w:lvl w:ilvl="0" w:tplc="6E7C072C">
      <w:start w:val="1"/>
      <w:numFmt w:val="bullet"/>
      <w:lvlText w:val="●"/>
      <w:lvlJc w:val="left"/>
      <w:pPr>
        <w:ind w:left="720" w:hanging="360"/>
      </w:pPr>
    </w:lvl>
    <w:lvl w:ilvl="1" w:tplc="7B0C1B28">
      <w:start w:val="1"/>
      <w:numFmt w:val="bullet"/>
      <w:lvlText w:val="○"/>
      <w:lvlJc w:val="left"/>
      <w:pPr>
        <w:ind w:left="1440" w:hanging="360"/>
      </w:pPr>
    </w:lvl>
    <w:lvl w:ilvl="2" w:tplc="56C09056">
      <w:start w:val="1"/>
      <w:numFmt w:val="bullet"/>
      <w:lvlText w:val="■"/>
      <w:lvlJc w:val="left"/>
      <w:pPr>
        <w:ind w:left="2160" w:hanging="360"/>
      </w:pPr>
    </w:lvl>
    <w:lvl w:ilvl="3" w:tplc="CD4EE374">
      <w:start w:val="1"/>
      <w:numFmt w:val="bullet"/>
      <w:lvlText w:val="●"/>
      <w:lvlJc w:val="left"/>
      <w:pPr>
        <w:ind w:left="2880" w:hanging="360"/>
      </w:pPr>
    </w:lvl>
    <w:lvl w:ilvl="4" w:tplc="98047DDC">
      <w:start w:val="1"/>
      <w:numFmt w:val="bullet"/>
      <w:lvlText w:val="○"/>
      <w:lvlJc w:val="left"/>
      <w:pPr>
        <w:ind w:left="3600" w:hanging="360"/>
      </w:pPr>
    </w:lvl>
    <w:lvl w:ilvl="5" w:tplc="E0084D38">
      <w:start w:val="1"/>
      <w:numFmt w:val="bullet"/>
      <w:lvlText w:val="■"/>
      <w:lvlJc w:val="left"/>
      <w:pPr>
        <w:ind w:left="4320" w:hanging="360"/>
      </w:pPr>
    </w:lvl>
    <w:lvl w:ilvl="6" w:tplc="AD540670">
      <w:start w:val="1"/>
      <w:numFmt w:val="bullet"/>
      <w:lvlText w:val="●"/>
      <w:lvlJc w:val="left"/>
      <w:pPr>
        <w:ind w:left="5040" w:hanging="360"/>
      </w:pPr>
    </w:lvl>
    <w:lvl w:ilvl="7" w:tplc="769CC6A4">
      <w:start w:val="1"/>
      <w:numFmt w:val="bullet"/>
      <w:lvlText w:val="●"/>
      <w:lvlJc w:val="left"/>
      <w:pPr>
        <w:ind w:left="5760" w:hanging="360"/>
      </w:pPr>
    </w:lvl>
    <w:lvl w:ilvl="8" w:tplc="1E96D490">
      <w:start w:val="1"/>
      <w:numFmt w:val="bullet"/>
      <w:lvlText w:val="●"/>
      <w:lvlJc w:val="left"/>
      <w:pPr>
        <w:ind w:left="6480" w:hanging="360"/>
      </w:pPr>
    </w:lvl>
  </w:abstractNum>
  <w:num w:numId="1" w16cid:durableId="11148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37"/>
    <w:rsid w:val="00024037"/>
    <w:rsid w:val="0003404F"/>
    <w:rsid w:val="001A61EC"/>
    <w:rsid w:val="00240001"/>
    <w:rsid w:val="00AF0592"/>
    <w:rsid w:val="00B07118"/>
    <w:rsid w:val="00CE77C2"/>
    <w:rsid w:val="00D93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EAC3"/>
  <w15:docId w15:val="{343D6937-6E9E-4645-B345-ED5167C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4613A-67D5-4F1A-8249-DBA7EE949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1EF20-01F3-4B9B-A65D-1B1F99BEA44A}">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3.xml><?xml version="1.0" encoding="utf-8"?>
<ds:datastoreItem xmlns:ds="http://schemas.openxmlformats.org/officeDocument/2006/customXml" ds:itemID="{CC5AEAFE-C867-41CA-850F-9E08BF8CD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1828</Words>
  <Characters>10056</Characters>
  <Application>Microsoft Office Word</Application>
  <DocSecurity>0</DocSecurity>
  <Lines>83</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6</cp:revision>
  <dcterms:created xsi:type="dcterms:W3CDTF">2026-07-06T18:21:00Z</dcterms:created>
  <dcterms:modified xsi:type="dcterms:W3CDTF">2026-07-09T18:52:00Z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ies>
</file>