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7409" w14:textId="0901BDFA" w:rsidR="00024037" w:rsidRDefault="001A61EC">
      <w:pPr>
        <w:spacing w:after="160"/>
      </w:pPr>
      <w:r>
        <w:rPr>
          <w:rFonts w:ascii="Arial" w:eastAsia="Arial" w:hAnsi="Arial" w:cs="Arial"/>
          <w:b/>
          <w:bCs/>
          <w:color w:val="1F4E79"/>
          <w:sz w:val="28"/>
          <w:szCs w:val="28"/>
        </w:rPr>
        <w:t>Consultas al pliego – Contratación de Mano de Obra para Mantenimiento Preventivo y Correctivo</w:t>
      </w:r>
      <w:r w:rsidR="00D93014">
        <w:rPr>
          <w:rFonts w:ascii="Arial" w:eastAsia="Arial" w:hAnsi="Arial" w:cs="Arial"/>
          <w:b/>
          <w:bCs/>
          <w:color w:val="1F4E79"/>
          <w:sz w:val="28"/>
          <w:szCs w:val="28"/>
        </w:rPr>
      </w:r>
      <w:r>
        <w:rPr>
          <w:rFonts w:ascii="Arial" w:eastAsia="Arial" w:hAnsi="Arial" w:cs="Arial"/>
          <w:b/>
          <w:bCs/>
          <w:color w:val="1F4E79"/>
          <w:sz w:val="28"/>
          <w:szCs w:val="28"/>
        </w:rPr>
      </w:r>
      <w:r w:rsidR="00D93014">
        <w:rPr>
          <w:rFonts w:ascii="Arial" w:eastAsia="Arial" w:hAnsi="Arial" w:cs="Arial"/>
          <w:b/>
          <w:bCs/>
          <w:color w:val="1F4E79"/>
          <w:sz w:val="28"/>
          <w:szCs w:val="28"/>
        </w:rPr>
      </w:r>
    </w:p>
    <w:p w14:paraId="02EA2D87" w14:textId="4299EC19" w:rsidR="00024037" w:rsidRDefault="001A61EC">
      <w:pPr>
        <w:spacing w:before="80" w:after="80"/>
      </w:pPr>
      <w:r>
        <w:rPr>
          <w:rFonts w:ascii="Arial" w:eastAsia="Arial" w:hAnsi="Arial" w:cs="Arial"/>
          <w:b/>
          <w:bCs/>
          <w:sz w:val="18"/>
          <w:szCs w:val="18"/>
        </w:rPr>
        <w:t>Contratante: MetroGAS S.A.  Proceso: Concurso N° CP 24268     Moneda: Pesos Argentinos (a moneda Abril 2026)</w:t>
      </w:r>
      <w:r w:rsidR="00B07118" w:rsidRPr="00B07118">
        <w:rPr>
          <w:rFonts w:ascii="Arial" w:eastAsia="Arial" w:hAnsi="Arial" w:cs="Arial"/>
          <w:b/>
          <w:bCs/>
          <w:sz w:val="18"/>
          <w:szCs w:val="18"/>
        </w:rPr>
      </w:r>
      <w:proofErr w:type="gramStart"/>
      <w:r w:rsidR="00B07118" w:rsidRPr="00B07118">
        <w:rPr>
          <w:rFonts w:ascii="Arial" w:eastAsia="Arial" w:hAnsi="Arial" w:cs="Arial"/>
          <w:b/>
          <w:bCs/>
          <w:sz w:val="18"/>
          <w:szCs w:val="18"/>
        </w:rPr>
      </w:r>
      <w:r w:rsidR="00B07118">
        <w:rPr>
          <w:rFonts w:ascii="Arial" w:eastAsia="Arial" w:hAnsi="Arial" w:cs="Arial"/>
          <w:b/>
          <w:bCs/>
          <w:sz w:val="18"/>
          <w:szCs w:val="18"/>
        </w:rPr>
      </w:r>
      <w:r>
        <w:rPr>
          <w:rFonts w:ascii="Arial" w:eastAsia="Arial" w:hAnsi="Arial" w:cs="Arial"/>
          <w:b/>
          <w:bCs/>
          <w:sz w:val="18"/>
          <w:szCs w:val="18"/>
        </w:rPr>
      </w:r>
      <w:proofErr w:type="gramEnd"/>
      <w:r>
        <w:rPr>
          <w:rFonts w:ascii="Arial" w:eastAsia="Arial" w:hAnsi="Arial" w:cs="Arial"/>
          <w:b/>
          <w:bCs/>
          <w:sz w:val="18"/>
          <w:szCs w:val="18"/>
        </w:rPr>
      </w:r>
      <w:r w:rsidR="00CE77C2" w:rsidRP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D93014" w:rsidRPr="001A61EC">
        <w:rPr>
          <w:rFonts w:ascii="Arial" w:eastAsia="Arial" w:hAnsi="Arial" w:cs="Arial"/>
          <w:b/>
          <w:bCs/>
          <w:sz w:val="18"/>
          <w:szCs w:val="18"/>
        </w:rPr>
      </w:r>
      <w:r w:rsidR="00D93014">
        <w:rPr>
          <w:rFonts w:ascii="Arial" w:eastAsia="Arial" w:hAnsi="Arial" w:cs="Arial"/>
          <w:b/>
          <w:bCs/>
          <w:sz w:val="18"/>
          <w:szCs w:val="18"/>
        </w:rPr>
      </w:r>
      <w:r w:rsidR="00D93014" w:rsidRPr="001A61EC">
        <w:rPr>
          <w:rFonts w:ascii="Arial" w:eastAsia="Arial" w:hAnsi="Arial" w:cs="Arial"/>
          <w:b/>
          <w:bCs/>
          <w:sz w:val="18"/>
          <w:szCs w:val="18"/>
        </w:rPr>
      </w:r>
    </w:p>
    <w:p w14:paraId="6CE1469E" w14:textId="7A1A1F1D" w:rsidR="00024037" w:rsidRDefault="001A61EC">
      <w:pPr>
        <w:spacing w:before="80" w:after="80"/>
      </w:pPr>
      <w:r>
        <w:rPr>
          <w:rFonts w:ascii="Arial" w:eastAsia="Arial" w:hAnsi="Arial" w:cs="Arial"/>
          <w:b/>
          <w:bCs/>
          <w:sz w:val="18"/>
          <w:szCs w:val="18"/>
        </w:rPr>
        <w:t>Planta: Instalaciones de MetroGAS en CABA y Zona Sur del AMBA (Edificios corporativos, centros operativos, sucursales y depósitos)    Requirente: Jefatura de Mantenimiento Edilicio Comprador: None</w:t>
      </w:r>
      <w:r w:rsidR="00CE77C2" w:rsidRPr="00CE77C2">
        <w:rPr>
          <w:rFonts w:ascii="Arial" w:eastAsia="Arial" w:hAnsi="Arial" w:cs="Arial"/>
          <w:b/>
          <w:bCs/>
          <w:sz w:val="18"/>
          <w:szCs w:val="18"/>
        </w:rPr>
      </w:r>
      <w:r w:rsid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CE77C2" w:rsidRPr="00CE77C2">
        <w:rPr>
          <w:rFonts w:ascii="Arial" w:eastAsia="Arial" w:hAnsi="Arial" w:cs="Arial"/>
          <w:b/>
          <w:bCs/>
          <w:sz w:val="18"/>
          <w:szCs w:val="18"/>
        </w:rPr>
      </w:r>
      <w:r>
        <w:rPr>
          <w:rFonts w:ascii="Arial" w:eastAsia="Arial" w:hAnsi="Arial" w:cs="Arial"/>
          <w:b/>
          <w:bCs/>
          <w:sz w:val="18"/>
          <w:szCs w:val="18"/>
        </w:rPr>
      </w:r>
      <w:r w:rsidR="00CE77C2" w:rsidRPr="00CE77C2">
        <w:rPr>
          <w:rFonts w:ascii="Arial" w:eastAsia="Arial" w:hAnsi="Arial" w:cs="Arial"/>
          <w:b/>
          <w:bCs/>
          <w:sz w:val="18"/>
          <w:szCs w:val="18"/>
        </w:rPr>
      </w:r>
      <w:r w:rsidR="00CE77C2">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p>
    <w:p w14:paraId="6E7105B0" w14:textId="3EAE5841" w:rsidR="00024037" w:rsidRDefault="00D93014">
      <w:pPr>
        <w:spacing w:before="120"/>
      </w:pPr>
      <w:r w:rsidRPr="00D93014">
        <w:rPr>
          <w:rFonts w:ascii="Arial" w:eastAsia="Arial" w:hAnsi="Arial" w:cs="Arial"/>
          <w:sz w:val="18"/>
          <w:szCs w:val="18"/>
        </w:rPr>
        <w:t>Las siguientes consultas se formulan con referencia a los documentos del proceso licitatorio (Anexo Calificación de Oferta-Requisitos Mínimos 1.pdf, Anexo Evaluación de Proveedores.pdf, Anexo II- Condiciones Generales Contrataciones.pdf, ANEXO IV - Plan de Mant. Civil.pdf, Anexo- Estándar de Seguridad Informática v3.pdf, ANEXO-III_Plan Mant. Electrico.pdf, ANEXO-II_Planilla Cotizacion Andamios.pdf, ANEXO-I_Planilla_Cotizacion HH.pdf, ANEXO-V_Plan Mant. Portones.pdf, CodigoEticayConducta_MGAS_2026_digital.pdf, Consideraciones Seguros.pdf, Cuestionario Debida Diligencia_MGAS_con Logo_122018.pdf, Directivas.pdf, Formulario Adhesion CEC Proveedores.pdf, MetroGAS - Manual Proveedor- Sourcing Licitacion V2 (1).pdf, Modelo DDJJ Unificado.pdf, Nota Incidentes de Ciberseguridad V1.pdf, PET-Mant Preventivo y Correctivo_Mano de Obra .pdf, PG-RHU-011.pdf, PP-SHA-015 Trabajos en Altura.pdf, PP-SHA-029 Bloqueo de Equipos.pdf, PP-SHA-034 Riesgo Eléctrico.pdf, PP-SHA-052 Trabajo en Caliente rev2.pdf, REQUERIMIENTOS DE COTIZACIÓN.pdf). Las respuestas pasarán a formar parte integrante del pliego.</w:t>
      </w:r>
    </w:p>
    <w:p w14:paraId="00F41EF0" w14:textId="77777777" w:rsidR="00024037" w:rsidRDefault="001A61EC">
      <w:pPr>
        <w:spacing w:before="240" w:after="160"/>
      </w:pPr>
      <w:r>
        <w:rPr>
          <w:rFonts w:ascii="Arial" w:eastAsia="Arial" w:hAnsi="Arial" w:cs="Arial"/>
          <w:b/>
          <w:bCs/>
          <w:color w:val="1F4E79"/>
          <w:sz w:val="24"/>
          <w:szCs w:val="24"/>
        </w:rPr>
        <w:t>A. Consultas técnicas, operativas y económicas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31"/>
        <w:gridCol w:w="2196"/>
        <w:gridCol w:w="5533"/>
      </w:tblGrid>
      <w:tr w:rsidR="00024037" w14:paraId="0422DF4A"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53832D"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DC32B6" w14:textId="77777777" w:rsidR="00024037" w:rsidRDefault="001A61EC">
            <w:pPr>
              <w:jc w:val="center"/>
            </w:pPr>
            <w:r>
              <w:rPr>
                <w:rFonts w:ascii="Arial" w:eastAsia="Arial" w:hAnsi="Arial" w:cs="Arial"/>
                <w:b/>
                <w:bCs/>
                <w:color w:val="FFFFFF"/>
                <w:sz w:val="18"/>
                <w:szCs w:val="18"/>
              </w:rPr>
              <w:t>Categoría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923B89" w14:textId="77777777" w:rsidR="00024037" w:rsidRDefault="001A61EC">
            <w:pPr>
              <w:jc w:val="center"/>
            </w:pPr>
            <w:r>
              <w:rPr>
                <w:rFonts w:ascii="Arial" w:eastAsia="Arial" w:hAnsi="Arial" w:cs="Arial"/>
                <w:b/>
                <w:bCs/>
                <w:color w:val="FFFFFF"/>
                <w:sz w:val="18"/>
                <w:szCs w:val="18"/>
              </w:rPr>
              <w:t>Archivo / Punto de origen</w:t>
            </w:r>
          </w:p>
        </w:tc>
        <w:tc>
          <w:tcPr>
            <w:tcW w:w="5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502B691" w14:textId="77777777" w:rsidR="00024037" w:rsidRDefault="001A61EC">
            <w:pPr>
              <w:jc w:val="center"/>
            </w:pPr>
            <w:r>
              <w:rPr>
                <w:rFonts w:ascii="Arial" w:eastAsia="Arial" w:hAnsi="Arial" w:cs="Arial"/>
                <w:b/>
                <w:bCs/>
                <w:color w:val="FFFFFF"/>
                <w:sz w:val="18"/>
                <w:szCs w:val="18"/>
              </w:rPr>
              <w:t>Consulta</w:t>
            </w:r>
          </w:p>
        </w:tc>
      </w:tr>
      <w:tr>
        <w:tc>
          <w:tcPr>
            <w:tcW w:type="dxa" w:w="500"/>
          </w:tcPr>
          <w:p>
            <w:r>
              <w:t>1</w:t>
            </w:r>
          </w:p>
        </w:tc>
        <w:tc>
          <w:tcPr>
            <w:tcW w:type="dxa" w:w="1131"/>
          </w:tcPr>
          <w:p>
            <w:r>
              <w:t>Operativa</w:t>
            </w:r>
          </w:p>
        </w:tc>
        <w:tc>
          <w:tcPr>
            <w:tcW w:type="dxa" w:w="2196"/>
          </w:tcPr>
          <w:p>
            <w:r>
              <w:t>Anexo Calificación de Oferta-Requisitos Mínimos 1.pdf</w:t>
              <w:br/>
              <w:t>Pág: 1</w:t>
              <w:br/>
              <w:t>"INCLUIR EN EL RFI a) Análisis de costos ítem por ítem en porcentual... b) Declaración jurada unificada... c) Reporte Incidentes de Ciberseguridad... d) Cuestionario de Debida Diligencia... e) Constancia de Notificación y Divulgación del Código de Ética... f) Inscripciones ante organismos públicos... g) Contrato social..."</w:t>
            </w:r>
          </w:p>
        </w:tc>
        <w:tc>
          <w:tcPr>
            <w:tcW w:type="dxa" w:w="5533"/>
          </w:tcPr>
          <w:p>
            <w:r>
              <w:t>Se requiere confirmar y consolidar en una sola respuesta la nómina completa de documentos institucionales, societarios, previsionales, impositivos y de compliance (Cuestionario de Debida Diligencia, Adhesión al Código de Ética, Adenda de Ciberseguridad y DDJJ Unificada) que deben adjuntarse de manera obligatoria en el Sobre 1 (Oferta Técnica) dentro del portal SAP Ariba.</w:t>
            </w:r>
          </w:p>
        </w:tc>
      </w:tr>
      <w:tr>
        <w:tc>
          <w:tcPr>
            <w:tcW w:type="dxa" w:w="500"/>
          </w:tcPr>
          <w:p>
            <w:r>
              <w:t>2</w:t>
            </w:r>
          </w:p>
        </w:tc>
        <w:tc>
          <w:tcPr>
            <w:tcW w:type="dxa" w:w="1131"/>
          </w:tcPr>
          <w:p>
            <w:r>
              <w:t>Técnica</w:t>
            </w:r>
          </w:p>
        </w:tc>
        <w:tc>
          <w:tcPr>
            <w:tcW w:type="dxa" w:w="2196"/>
          </w:tcPr>
          <w:p>
            <w:r>
              <w:t>PET-Mant Preventivo y Correctivo_Mano de Obra .pdf</w:t>
              <w:br/>
              <w:t>Pág: 21</w:t>
              <w:br/>
              <w:t>"A. CIVIL Civil: Oficial albañil 2, Medio oficial / Durlock / pintura 4... B. TECNICO: Electricista 3, Herrero 1"</w:t>
            </w:r>
          </w:p>
        </w:tc>
        <w:tc>
          <w:tcPr>
            <w:tcW w:type="dxa" w:w="5533"/>
          </w:tcPr>
          <w:p>
            <w:r>
              <w:t>Existe una discrepancia entre la tabla de dotación de la Cláusula 5.1 del PET y el Anexo I Planilla de Cotización HH. Se solicita confirmar la dotación mínima diaria exigida para el frente civil (Oficiales, Medios Oficiales y Ayudantes).</w:t>
            </w:r>
          </w:p>
        </w:tc>
      </w:tr>
      <w:tr>
        <w:tc>
          <w:tcPr>
            <w:tcW w:type="dxa" w:w="500"/>
          </w:tcPr>
          <w:p>
            <w:r>
              <w:t>3</w:t>
            </w:r>
          </w:p>
        </w:tc>
        <w:tc>
          <w:tcPr>
            <w:tcW w:type="dxa" w:w="1131"/>
          </w:tcPr>
          <w:p>
            <w:r>
              <w:t>Económica</w:t>
            </w:r>
          </w:p>
        </w:tc>
        <w:tc>
          <w:tcPr>
            <w:tcW w:type="dxa" w:w="2196"/>
          </w:tcPr>
          <w:p>
            <w:r>
              <w:t>PET-Mant Preventivo y Correctivo_Mano de Obra .pdf</w:t>
              <w:br/>
              <w:t>Pág: 11</w:t>
              <w:br/>
              <w:t>"Las certificaciones presentadas con posterioridad a dicha fecha... no serán consideradas para la aplicación de ajustes por polinómicas o actualizaciones de precios correspondientes al período original."</w:t>
            </w:r>
          </w:p>
        </w:tc>
        <w:tc>
          <w:tcPr>
            <w:tcW w:type="dxa" w:w="5533"/>
          </w:tcPr>
          <w:p>
            <w:r>
              <w:t>A fin de estructurar correctamente la oferta económica a 12 meses, se solicita proveer la fórmula polinómica y los índices oficiales que utilizará MetroGAS para la redeterminación de precios del contrato.</w:t>
            </w:r>
          </w:p>
        </w:tc>
      </w:tr>
      <w:tr>
        <w:tc>
          <w:tcPr>
            <w:tcW w:type="dxa" w:w="500"/>
          </w:tcPr>
          <w:p>
            <w:r>
              <w:t>4</w:t>
            </w:r>
          </w:p>
        </w:tc>
        <w:tc>
          <w:tcPr>
            <w:tcW w:type="dxa" w:w="1131"/>
          </w:tcPr>
          <w:p>
            <w:r>
              <w:t>Operativa</w:t>
            </w:r>
          </w:p>
        </w:tc>
        <w:tc>
          <w:tcPr>
            <w:tcW w:type="dxa" w:w="2196"/>
          </w:tcPr>
          <w:p>
            <w:r>
              <w:t>PET-Mant Preventivo y Correctivo_Mano de Obra .pdf</w:t>
              <w:br/>
              <w:t>Pág: 29</w:t>
              <w:br/>
              <w:t>"Ante el llamado de MetroGAS, el CONTRATISTA está obligado a presentarse en la locación indicada con un tiempo de respuesta no mayor a dos (2) horas desde la notificación."</w:t>
            </w:r>
          </w:p>
        </w:tc>
        <w:tc>
          <w:tcPr>
            <w:tcW w:type="dxa" w:w="5533"/>
          </w:tcPr>
          <w:p>
            <w:r>
              <w:t>Respecto al servicio de Guardia Eventual Eléctrica, se consulta si se requiere un esquema de retén/disponibilidad pasiva las 24 horas los 365 días del año o si las convocatorias responderán a franjas horarias específicas.</w:t>
            </w:r>
          </w:p>
        </w:tc>
      </w:tr>
      <w:tr>
        <w:tc>
          <w:tcPr>
            <w:tcW w:type="dxa" w:w="500"/>
          </w:tcPr>
          <w:p>
            <w:r>
              <w:t>5</w:t>
            </w:r>
          </w:p>
        </w:tc>
        <w:tc>
          <w:tcPr>
            <w:tcW w:type="dxa" w:w="1131"/>
          </w:tcPr>
          <w:p>
            <w:r>
              <w:t>Técnica</w:t>
            </w:r>
          </w:p>
        </w:tc>
        <w:tc>
          <w:tcPr>
            <w:tcW w:type="dxa" w:w="2196"/>
          </w:tcPr>
          <w:p>
            <w:r>
              <w:t>PET-Mant Preventivo y Correctivo_Mano de Obra .pdf</w:t>
              <w:br/>
              <w:t>Pág: 25</w:t>
              <w:br/>
              <w:t>"A tal efecto, el CONTRATISTA deberá disponer como mínimo de dos (2) vehículos utilitarios tipo furgón o camioneta, adecuados para el transporte de herramientas y materiales necesarios para la ejecución de las tareas."</w:t>
            </w:r>
          </w:p>
        </w:tc>
        <w:tc>
          <w:tcPr>
            <w:tcW w:type="dxa" w:w="5533"/>
          </w:tcPr>
          <w:p>
            <w:r>
              <w:t>Se solicita precisar si los dos (2) vehículos utilitarios exigidos deben contar con una antigüedad máxima requerida, sistema de seguimiento por GPS o ploteo/identificación institucional de MetroGAS.</w:t>
            </w:r>
          </w:p>
        </w:tc>
      </w:tr>
      <w:tr>
        <w:tc>
          <w:tcPr>
            <w:tcW w:type="dxa" w:w="500"/>
          </w:tcPr>
          <w:p>
            <w:r>
              <w:t>6</w:t>
            </w:r>
          </w:p>
        </w:tc>
        <w:tc>
          <w:tcPr>
            <w:tcW w:type="dxa" w:w="1131"/>
          </w:tcPr>
          <w:p>
            <w:r>
              <w:t>Económica</w:t>
            </w:r>
          </w:p>
        </w:tc>
        <w:tc>
          <w:tcPr>
            <w:tcW w:type="dxa" w:w="2196"/>
          </w:tcPr>
          <w:p>
            <w:r>
              <w:t>ANEXO-II_Planilla Cotizacion Andamios.pdf</w:t>
              <w:br/>
              <w:t>Pág: 1</w:t>
              <w:br/>
              <w:t>"Plataformas elevadoras: provisión a cargo de MetroGAS. Condición de pago: 60 días fecha presentación de facturas."</w:t>
            </w:r>
          </w:p>
        </w:tc>
        <w:tc>
          <w:tcPr>
            <w:tcW w:type="dxa" w:w="5533"/>
          </w:tcPr>
          <w:p>
            <w:r>
              <w:t>Se consulta si ante la eventual necesidad de uso de plataformas elevadoras mecánicas (PEMP) el alquiler y traslado será 100% asumido y gestionado por MetroGAS o si debe cotizarse como un adicional.</w:t>
            </w:r>
          </w:p>
        </w:tc>
      </w:tr>
      <w:tr>
        <w:tc>
          <w:tcPr>
            <w:tcW w:type="dxa" w:w="500"/>
          </w:tcPr>
          <w:p>
            <w:r>
              <w:t>7</w:t>
            </w:r>
          </w:p>
        </w:tc>
        <w:tc>
          <w:tcPr>
            <w:tcW w:type="dxa" w:w="1131"/>
          </w:tcPr>
          <w:p>
            <w:r>
              <w:t>Técnica</w:t>
            </w:r>
          </w:p>
        </w:tc>
        <w:tc>
          <w:tcPr>
            <w:tcW w:type="dxa" w:w="2196"/>
          </w:tcPr>
          <w:p>
            <w:r>
              <w:t>Anexo- Estándar de Seguridad Informática v3.pdf</w:t>
              <w:br/>
              <w:t>Pág: 11</w:t>
              <w:br/>
              <w:t>"15.1 Para la prestación de Servicios en el entorno OT, el proveedor o sus empleados deben contar con alguna de las siguientes certificaciones/conocimientos: IC32, IC33, IC34, IC37..."</w:t>
            </w:r>
          </w:p>
        </w:tc>
        <w:tc>
          <w:tcPr>
            <w:tcW w:type="dxa" w:w="5533"/>
          </w:tcPr>
          <w:p>
            <w:r>
              <w:t>Se solicita confirmar si los requisitos de certificación en Ciberseguridad OT (ISA/IEC 62443) aplican al personal de mantenimiento edilicio de la presente licitación o si quedan exceptuados.</w:t>
            </w:r>
          </w:p>
        </w:tc>
      </w:tr>
      <w:tr>
        <w:tc>
          <w:tcPr>
            <w:tcW w:type="dxa" w:w="500"/>
          </w:tcPr>
          <w:p>
            <w:r>
              <w:t>8</w:t>
            </w:r>
          </w:p>
        </w:tc>
        <w:tc>
          <w:tcPr>
            <w:tcW w:type="dxa" w:w="1131"/>
          </w:tcPr>
          <w:p>
            <w:r>
              <w:t>Operativa</w:t>
            </w:r>
          </w:p>
        </w:tc>
        <w:tc>
          <w:tcPr>
            <w:tcW w:type="dxa" w:w="2196"/>
          </w:tcPr>
          <w:p>
            <w:r>
              <w:t>Anexo II- Condiciones Generales Contrataciones.pdf</w:t>
              <w:br/>
              <w:t>Pág: 21</w:t>
              <w:br/>
              <w:t>"El primer día hábil de cada mes durante la vigencia del Contrato... el Contratista deberá presentar para su certificación por parte de MetroGAS (i) cómputo de los trabajos ejecutados..."</w:t>
            </w:r>
          </w:p>
        </w:tc>
        <w:tc>
          <w:tcPr>
            <w:tcW w:type="dxa" w:w="5533"/>
          </w:tcPr>
          <w:p>
            <w:r>
              <w:t>Existe un descalce en la ventana operativa de certificación entre el PET (cierre los días 20 de cada mes) y las Condiciones Generales (primer día hábil). Se solicita ratificar la fecha de corte exacta para la medición del servicio.</w:t>
            </w:r>
          </w:p>
        </w:tc>
      </w:tr>
      <w:tr>
        <w:tc>
          <w:tcPr>
            <w:tcW w:type="dxa" w:w="500"/>
          </w:tcPr>
          <w:p>
            <w:r>
              <w:t>9</w:t>
            </w:r>
          </w:p>
        </w:tc>
        <w:tc>
          <w:tcPr>
            <w:tcW w:type="dxa" w:w="1131"/>
          </w:tcPr>
          <w:p>
            <w:r>
              <w:t>Económica</w:t>
            </w:r>
          </w:p>
        </w:tc>
        <w:tc>
          <w:tcPr>
            <w:tcW w:type="dxa" w:w="2196"/>
          </w:tcPr>
          <w:p>
            <w:r>
              <w:t>Anexo II- Condiciones Generales Contrataciones.pdf</w:t>
              <w:br/>
              <w:t>Pág: 13</w:t>
              <w:br/>
              <w:t>"6.4 Garantía de Tenencia de Materiales: Si el Contrato previera la entrega de materiales propiedad de MetroGAS para efectuar las tareas... presentar una Garantía de Tenencia de Materiales equivalente al 2%..."</w:t>
            </w:r>
          </w:p>
        </w:tc>
        <w:tc>
          <w:tcPr>
            <w:tcW w:type="dxa" w:w="5533"/>
          </w:tcPr>
          <w:p>
            <w:r>
              <w:t>Se requiere confirmar si en esta contratación se entregará acopio de materiales propiedad de MetroGAS que exija la emisión de la Póliza de Tenencia de Materiales por el 2% del contrato.</w:t>
            </w:r>
          </w:p>
        </w:tc>
      </w:tr>
    </w:tbl>
    <w:p w14:paraId="62DE6379" w14:textId="77777777" w:rsidR="00024037" w:rsidRDefault="00024037">
      <w:pPr>
        <w:spacing w:before="240"/>
      </w:pPr>
    </w:p>
    <w:p w14:paraId="089B0EAC" w14:textId="77777777" w:rsidR="00024037" w:rsidRDefault="001A61EC">
      <w:pPr>
        <w:spacing w:before="240" w:after="160"/>
      </w:pPr>
      <w:r>
        <w:rPr>
          <w:rFonts w:ascii="Arial" w:eastAsia="Arial" w:hAnsi="Arial" w:cs="Arial"/>
          <w:b/>
          <w:bCs/>
          <w:color w:val="1F4E79"/>
          <w:sz w:val="24"/>
          <w:szCs w:val="24"/>
        </w:rPr>
        <w:lastRenderedPageBreak/>
        <w:t>B. Inconsistencias detectadas en el pliego - Se solicita aclaración oficial</w:t>
      </w:r>
    </w:p>
    <w:p w14:paraId="3F8E9DAC" w14:textId="77777777" w:rsidR="00024037" w:rsidRDefault="001A61EC">
      <w:pPr>
        <w:spacing w:before="80" w:after="80"/>
      </w:pPr>
      <w:r>
        <w:rPr>
          <w:rFonts w:ascii="Arial" w:eastAsia="Arial" w:hAnsi="Arial" w:cs="Arial"/>
          <w:sz w:val="18"/>
          <w:szCs w:val="18"/>
        </w:rPr>
        <w:t>Las siguientes observaciones identifican contradicciones entre documentos del mismo proceso licitatorio. Se solicita a PAMPA ENERGÍA S.A. una aclaración formal que indique qué documento prevalece en cada caso, a fin de garantizar que todas las ofertas se formulen sobre las mismas bases.</w:t>
      </w:r>
    </w:p>
    <w:p w14:paraId="5D43AA5F" w14:textId="77777777" w:rsidR="00024037" w:rsidRDefault="000240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1381"/>
        <w:gridCol w:w="2412"/>
        <w:gridCol w:w="5078"/>
      </w:tblGrid>
      <w:tr w:rsidR="00024037" w14:paraId="04601348"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7EBE504"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BD9082" w14:textId="77777777" w:rsidR="00024037" w:rsidRDefault="001A61EC">
            <w:pPr>
              <w:jc w:val="center"/>
            </w:pPr>
            <w:r>
              <w:rPr>
                <w:rFonts w:ascii="Arial" w:eastAsia="Arial" w:hAnsi="Arial" w:cs="Arial"/>
                <w:b/>
                <w:bCs/>
                <w:color w:val="FFFFFF"/>
                <w:sz w:val="18"/>
                <w:szCs w:val="18"/>
              </w:rPr>
              <w:t>Tipo</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5DC510" w14:textId="77777777" w:rsidR="00024037" w:rsidRDefault="001A61EC">
            <w:pPr>
              <w:jc w:val="center"/>
            </w:pPr>
            <w:r>
              <w:rPr>
                <w:rFonts w:ascii="Arial" w:eastAsia="Arial" w:hAnsi="Arial" w:cs="Arial"/>
                <w:b/>
                <w:bCs/>
                <w:color w:val="FFFFFF"/>
                <w:sz w:val="18"/>
                <w:szCs w:val="18"/>
              </w:rPr>
              <w:t>Documentos en conflicto</w:t>
            </w:r>
          </w:p>
        </w:tc>
        <w:tc>
          <w:tcPr>
            <w:tcW w:w="5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65DB7C6" w14:textId="77777777" w:rsidR="00024037" w:rsidRDefault="001A61EC">
            <w:pPr>
              <w:jc w:val="center"/>
            </w:pPr>
            <w:r>
              <w:rPr>
                <w:rFonts w:ascii="Arial" w:eastAsia="Arial" w:hAnsi="Arial" w:cs="Arial"/>
                <w:b/>
                <w:bCs/>
                <w:color w:val="FFFFFF"/>
                <w:sz w:val="18"/>
                <w:szCs w:val="18"/>
              </w:rPr>
              <w:t>Descripción de la inconsistencia y pregunta</w:t>
            </w:r>
          </w:p>
        </w:tc>
      </w:tr>
      <w:tr>
        <w:tc>
          <w:tcPr>
            <w:tcW w:type="dxa" w:w="489"/>
          </w:tcPr>
          <w:p>
            <w:r>
              <w:t>10</w:t>
            </w:r>
          </w:p>
        </w:tc>
        <w:tc>
          <w:tcPr>
            <w:tcW w:type="dxa" w:w="1381"/>
          </w:tcPr>
          <w:p>
            <w:r>
              <w:t>Contradicción</w:t>
            </w:r>
          </w:p>
        </w:tc>
        <w:tc>
          <w:tcPr>
            <w:tcW w:type="dxa" w:w="2412"/>
          </w:tcPr>
          <w:p>
            <w:r>
              <w:t>PET-Mant Preventivo y Correctivo_Mano de Obra .pdf, Anexo II- Condiciones Generales Contrataciones.pdf</w:t>
              <w:br/>
              <w:t>Pág: PET Pág. 4 / Cond. Gral. Pág. 11</w:t>
              <w:br/>
              <w:t>"PET: 'Bajo ningún concepto se aceptará personal Subcontratistas' vs Cond. Gral.: '5.1 Si el Oferente previera subcontratar, transferir y/o ceder total o parcialmente... deberá obligatoria y justificadamente indicarlo en su Oferta...'"</w:t>
            </w:r>
          </w:p>
        </w:tc>
        <w:tc>
          <w:tcPr>
            <w:tcW w:type="dxa" w:w="5078"/>
          </w:tcPr>
          <w:p>
            <w:r>
              <w:t>El PET prohíbe de manera taxativa la subcontratación de mano de obra, mientras que las Condiciones Generales dedican la Cláusula 5 a detallar los requisitos para la aprobación de subcontratistas. Se solicita aclarar cuál norma prevalece.</w:t>
            </w:r>
          </w:p>
        </w:tc>
      </w:tr>
      <w:tr>
        <w:tc>
          <w:tcPr>
            <w:tcW w:type="dxa" w:w="489"/>
          </w:tcPr>
          <w:p>
            <w:r>
              <w:t>11</w:t>
            </w:r>
          </w:p>
        </w:tc>
        <w:tc>
          <w:tcPr>
            <w:tcW w:type="dxa" w:w="1381"/>
          </w:tcPr>
          <w:p>
            <w:r>
              <w:t>Contradicción</w:t>
            </w:r>
          </w:p>
        </w:tc>
        <w:tc>
          <w:tcPr>
            <w:tcW w:type="dxa" w:w="2412"/>
          </w:tcPr>
          <w:p>
            <w:r>
              <w:t>PET-Mant Preventivo y Correctivo_Mano de Obra .pdf, Anexo II- Condiciones Generales Contrataciones.pdf</w:t>
              <w:br/>
              <w:t>Pág: PET Pág. 9 / Cond. Gral. Pág. 23</w:t>
              <w:br/>
              <w:t>"PET Punto 9: 'Para el caso de reparación, será de DOCE (12) meses a partir de la fecha de efectuada cada reparación parcial' vs Cond. Gral. Cláusula 13.2: 'importa el nacimiento del Período de Prueba, el que se extenderá por el período de 12 (doce) meses contados a partir del citado labrado [del Acta de Recepción Provisoria general]'"</w:t>
            </w:r>
          </w:p>
        </w:tc>
        <w:tc>
          <w:tcPr>
            <w:tcW w:type="dxa" w:w="5078"/>
          </w:tcPr>
          <w:p>
            <w:r>
              <w:t>Existe divergencia respecto del hito que da inicio al cómputo de la garantía de 12 meses (cada reparación parcial finalizada vs la Recepción Provisoria global de la obra/servicio).</w:t>
            </w:r>
          </w:p>
        </w:tc>
      </w:tr>
      <w:tr>
        <w:tc>
          <w:tcPr>
            <w:tcW w:type="dxa" w:w="489"/>
          </w:tcPr>
          <w:p>
            <w:r>
              <w:t>12</w:t>
            </w:r>
          </w:p>
        </w:tc>
        <w:tc>
          <w:tcPr>
            <w:tcW w:type="dxa" w:w="1381"/>
          </w:tcPr>
          <w:p>
            <w:r>
              <w:t>Inconsistencia de Datos</w:t>
            </w:r>
          </w:p>
        </w:tc>
        <w:tc>
          <w:tcPr>
            <w:tcW w:type="dxa" w:w="2412"/>
          </w:tcPr>
          <w:p>
            <w:r>
              <w:t>PET-Mant Preventivo y Correctivo_Mano de Obra .pdf, ANEXO-I_Planilla_Cotizacion HH.pdf</w:t>
              <w:br/>
              <w:t>Pág: PET Pág. 21 / Anexo I Pág. 1</w:t>
              <w:br/>
              <w:t>"PET Punto 5.1: 'A. CIVIL: Oficial albañil 2, Medio oficial / Durlock / pintura 4, Ayudante 0' vs Anexo I Planilla Cotización: '1. MANO DE OBRA CIVIL: Oficial Albañil Dot. mín 2, Medio Oficial Dot. mín 2, Ayudante Dot. mín 1'"</w:t>
            </w:r>
          </w:p>
        </w:tc>
        <w:tc>
          <w:tcPr>
            <w:tcW w:type="dxa" w:w="5078"/>
          </w:tcPr>
          <w:p>
            <w:r>
              <w:t>En la tabla de cuadrillas del PET figura una dotación de 4 Medios Oficiales y 0 Ayudantes para el área Civil, mientras que la Planilla de Cotización exige cotizar 2 Medios Oficiales y 1 Ayudante. Se solicita indicar la plantilla oficial a cotizar.</w:t>
            </w:r>
          </w:p>
        </w:tc>
      </w:tr>
      <w:tr>
        <w:tc>
          <w:tcPr>
            <w:tcW w:type="dxa" w:w="489"/>
          </w:tcPr>
          <w:p>
            <w:r>
              <w:t>13</w:t>
            </w:r>
          </w:p>
        </w:tc>
        <w:tc>
          <w:tcPr>
            <w:tcW w:type="dxa" w:w="1381"/>
          </w:tcPr>
          <w:p>
            <w:r>
              <w:t>Ambigüedad Comercial</w:t>
            </w:r>
          </w:p>
        </w:tc>
        <w:tc>
          <w:tcPr>
            <w:tcW w:type="dxa" w:w="2412"/>
          </w:tcPr>
          <w:p>
            <w:r>
              <w:t>PET-Mant Preventivo y Correctivo_Mano de Obra .pdf, Anexo II- Condiciones Generales Contrataciones.pdf</w:t>
              <w:br/>
              <w:t>Pág: PET Pág. 11 / Cond. Gral. Pág. 28</w:t>
              <w:br/>
              <w:t>"PET Punto 11: '...no serán consideradas para la aplicación de ajustes por polinómicas o actualizaciones de precios...' vs Cond. Gral. Cláusula 19.2: '...actualizado en ambos casos, de corresponder, con la polinómica de ajuste contractual...'"</w:t>
            </w:r>
          </w:p>
        </w:tc>
        <w:tc>
          <w:tcPr>
            <w:tcW w:type="dxa" w:w="5078"/>
          </w:tcPr>
          <w:p>
            <w:r>
              <w:t>Los pliegos hacen mención repetida a un mecanismo de ajuste polinómico de precios, pero no se adjunta en ningún anexo la fórmula ni la composición de rubros e índices para su cálculo.</w:t>
            </w:r>
          </w:p>
        </w:tc>
      </w:tr>
      <w:tr>
        <w:tc>
          <w:tcPr>
            <w:tcW w:type="dxa" w:w="489"/>
          </w:tcPr>
          <w:p>
            <w:r>
              <w:t>14</w:t>
            </w:r>
          </w:p>
        </w:tc>
        <w:tc>
          <w:tcPr>
            <w:tcW w:type="dxa" w:w="1381"/>
          </w:tcPr>
          <w:p>
            <w:r>
              <w:t>Contradicción normativa SSMA</w:t>
            </w:r>
          </w:p>
        </w:tc>
        <w:tc>
          <w:tcPr>
            <w:tcW w:type="dxa" w:w="2412"/>
          </w:tcPr>
          <w:p>
            <w:r>
              <w:t>PP-SHA-015 Trabajos en Altura.pdf, PET-Mant Preventivo y Correctivo_Mano de Obra .pdf</w:t>
              <w:br/>
              <w:t>Pág: PP-SHA-015 Pág. 7 / PET Pág. 28</w:t>
              <w:br/>
              <w:t>"PP-SHA-015: 'En todo trabajo con riesgo de caída a distinto nivel será obligatorio, a partir de una diferencia de nivel de DOS METROS (2,00 m) el uso de sistemas anticaídas...' vs PP-SHA-015 Pág. 20 (texto secundario): 'A partir de una diferencia de nivel de 2,5 metros los trabajadores deben utilizar arnés...'"</w:t>
            </w:r>
          </w:p>
        </w:tc>
        <w:tc>
          <w:tcPr>
            <w:tcW w:type="dxa" w:w="5078"/>
          </w:tcPr>
          <w:p>
            <w:r>
              <w:t>Aclarar cuál es la altura exacta a partir de la cual es exigible la emisión del Permiso de Trabajo Seguro (PTS) y el uso de arnés anticaídas (2,00 metros de acuerdo a la última revisión 2 del procedimiento o 2,50 metros).</w:t>
            </w:r>
          </w:p>
        </w:tc>
      </w:tr>
    </w:tbl>
    <w:p w14:paraId="3F40F8FF" w14:textId="77777777" w:rsidR="00024037" w:rsidRDefault="00024037">
      <w:pPr>
        <w:spacing w:before="240"/>
      </w:pPr>
    </w:p>
    <w:p w14:paraId="3A9D31B1" w14:textId="77777777" w:rsidR="00024037" w:rsidRDefault="001A61EC">
      <w:pPr>
        <w:spacing w:before="80" w:after="80"/>
      </w:pPr>
      <w:r>
        <w:rPr>
          <w:rFonts w:ascii="Arial" w:eastAsia="Arial" w:hAnsi="Arial" w:cs="Arial"/>
          <w:sz w:val="18"/>
          <w:szCs w:val="18"/>
        </w:rPr>
        <w:t>Sin otro particular, quedamos a disposición para cualquier aclaración adicional.</w:t>
      </w:r>
    </w:p>
    <w:sectPr w:rsidR="000240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F37"/>
    <w:multiLevelType w:val="hybridMultilevel"/>
    <w:tmpl w:val="B35A1E50"/>
    <w:lvl w:ilvl="0" w:tplc="6E7C072C">
      <w:start w:val="1"/>
      <w:numFmt w:val="bullet"/>
      <w:lvlText w:val="●"/>
      <w:lvlJc w:val="left"/>
      <w:pPr>
        <w:ind w:left="720" w:hanging="360"/>
      </w:pPr>
    </w:lvl>
    <w:lvl w:ilvl="1" w:tplc="7B0C1B28">
      <w:start w:val="1"/>
      <w:numFmt w:val="bullet"/>
      <w:lvlText w:val="○"/>
      <w:lvlJc w:val="left"/>
      <w:pPr>
        <w:ind w:left="1440" w:hanging="360"/>
      </w:pPr>
    </w:lvl>
    <w:lvl w:ilvl="2" w:tplc="56C09056">
      <w:start w:val="1"/>
      <w:numFmt w:val="bullet"/>
      <w:lvlText w:val="■"/>
      <w:lvlJc w:val="left"/>
      <w:pPr>
        <w:ind w:left="2160" w:hanging="360"/>
      </w:pPr>
    </w:lvl>
    <w:lvl w:ilvl="3" w:tplc="CD4EE374">
      <w:start w:val="1"/>
      <w:numFmt w:val="bullet"/>
      <w:lvlText w:val="●"/>
      <w:lvlJc w:val="left"/>
      <w:pPr>
        <w:ind w:left="2880" w:hanging="360"/>
      </w:pPr>
    </w:lvl>
    <w:lvl w:ilvl="4" w:tplc="98047DDC">
      <w:start w:val="1"/>
      <w:numFmt w:val="bullet"/>
      <w:lvlText w:val="○"/>
      <w:lvlJc w:val="left"/>
      <w:pPr>
        <w:ind w:left="3600" w:hanging="360"/>
      </w:pPr>
    </w:lvl>
    <w:lvl w:ilvl="5" w:tplc="E0084D38">
      <w:start w:val="1"/>
      <w:numFmt w:val="bullet"/>
      <w:lvlText w:val="■"/>
      <w:lvlJc w:val="left"/>
      <w:pPr>
        <w:ind w:left="4320" w:hanging="360"/>
      </w:pPr>
    </w:lvl>
    <w:lvl w:ilvl="6" w:tplc="AD540670">
      <w:start w:val="1"/>
      <w:numFmt w:val="bullet"/>
      <w:lvlText w:val="●"/>
      <w:lvlJc w:val="left"/>
      <w:pPr>
        <w:ind w:left="5040" w:hanging="360"/>
      </w:pPr>
    </w:lvl>
    <w:lvl w:ilvl="7" w:tplc="769CC6A4">
      <w:start w:val="1"/>
      <w:numFmt w:val="bullet"/>
      <w:lvlText w:val="●"/>
      <w:lvlJc w:val="left"/>
      <w:pPr>
        <w:ind w:left="5760" w:hanging="360"/>
      </w:pPr>
    </w:lvl>
    <w:lvl w:ilvl="8" w:tplc="1E96D490">
      <w:start w:val="1"/>
      <w:numFmt w:val="bullet"/>
      <w:lvlText w:val="●"/>
      <w:lvlJc w:val="left"/>
      <w:pPr>
        <w:ind w:left="6480" w:hanging="360"/>
      </w:pPr>
    </w:lvl>
  </w:abstractNum>
  <w:num w:numId="1" w16cid:durableId="111486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37"/>
    <w:rsid w:val="00024037"/>
    <w:rsid w:val="0003404F"/>
    <w:rsid w:val="001A61EC"/>
    <w:rsid w:val="00240001"/>
    <w:rsid w:val="00AF0592"/>
    <w:rsid w:val="00B07118"/>
    <w:rsid w:val="00CE77C2"/>
    <w:rsid w:val="00D930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EAC3"/>
  <w15:docId w15:val="{343D6937-6E9E-4645-B345-ED5167C4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B4613A-67D5-4F1A-8249-DBA7EE949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1EF20-01F3-4B9B-A65D-1B1F99BEA44A}">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customXml/itemProps3.xml><?xml version="1.0" encoding="utf-8"?>
<ds:datastoreItem xmlns:ds="http://schemas.openxmlformats.org/officeDocument/2006/customXml" ds:itemID="{CC5AEAFE-C867-41CA-850F-9E08BF8CD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1828</Words>
  <Characters>10056</Characters>
  <Application>Microsoft Office Word</Application>
  <DocSecurity>0</DocSecurity>
  <Lines>83</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6</cp:revision>
  <dcterms:created xsi:type="dcterms:W3CDTF">2026-07-06T18:21:00Z</dcterms:created>
  <dcterms:modified xsi:type="dcterms:W3CDTF">2026-07-09T18:52:00Z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ies>
</file>