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7409" w14:textId="0901BDFA" w:rsidR="00024037" w:rsidRDefault="001A61EC">
      <w:pPr>
        <w:spacing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Consultas al pliego – Llamado a Licitación - Mantenimiento Metalúrgico, Mecánico y Eléctrico</w:t>
      </w:r>
      <w:r w:rsidR="00D93014">
        <w:rPr>
          <w:rFonts w:ascii="Arial" w:eastAsia="Arial" w:hAnsi="Arial" w:cs="Arial"/>
          <w:b/>
          <w:bCs/>
          <w:color w:val="1F4E79"/>
          <w:sz w:val="28"/>
          <w:szCs w:val="28"/>
        </w:rPr>
      </w:r>
      <w:r>
        <w:rPr>
          <w:rFonts w:ascii="Arial" w:eastAsia="Arial" w:hAnsi="Arial" w:cs="Arial"/>
          <w:b/>
          <w:bCs/>
          <w:color w:val="1F4E79"/>
          <w:sz w:val="28"/>
          <w:szCs w:val="28"/>
        </w:rPr>
      </w:r>
      <w:r w:rsidR="00D93014">
        <w:rPr>
          <w:rFonts w:ascii="Arial" w:eastAsia="Arial" w:hAnsi="Arial" w:cs="Arial"/>
          <w:b/>
          <w:bCs/>
          <w:color w:val="1F4E79"/>
          <w:sz w:val="28"/>
          <w:szCs w:val="28"/>
        </w:rPr>
      </w:r>
    </w:p>
    <w:p w14:paraId="02EA2D87" w14:textId="4299EC19" w:rsidR="00024037" w:rsidRDefault="001A61EC">
      <w:pPr>
        <w:spacing w:before="80" w:after="80"/>
      </w:pPr>
      <w:r>
        <w:rPr>
          <w:rFonts w:ascii="Arial" w:eastAsia="Arial" w:hAnsi="Arial" w:cs="Arial"/>
          <w:b/>
          <w:bCs/>
          <w:sz w:val="18"/>
          <w:szCs w:val="18"/>
        </w:rPr>
        <w:t>Contratante: Raízen Argentina S.A.U.  Proceso: None     Moneda: Pesos argentinos ($)</w:t>
      </w:r>
      <w:r w:rsidR="00B07118" w:rsidRPr="00B07118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B07118" w:rsidRPr="00B07118">
        <w:rPr>
          <w:rFonts w:ascii="Arial" w:eastAsia="Arial" w:hAnsi="Arial" w:cs="Arial"/>
          <w:b/>
          <w:bCs/>
          <w:sz w:val="18"/>
          <w:szCs w:val="18"/>
        </w:rPr>
      </w:r>
      <w:r w:rsidR="00B07118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proofErr w:type="gramEnd"/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sz w:val="18"/>
          <w:szCs w:val="18"/>
        </w:rPr>
      </w:r>
      <w:proofErr w:type="gramEnd"/>
      <w:r>
        <w:rPr>
          <w:rFonts w:ascii="Arial" w:eastAsia="Arial" w:hAnsi="Arial" w:cs="Arial"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D93014" w:rsidRPr="001A61EC">
        <w:rPr>
          <w:rFonts w:ascii="Arial" w:eastAsia="Arial" w:hAnsi="Arial" w:cs="Arial"/>
          <w:b/>
          <w:bCs/>
          <w:sz w:val="18"/>
          <w:szCs w:val="18"/>
        </w:rPr>
      </w:r>
      <w:r w:rsidR="00D93014">
        <w:rPr>
          <w:rFonts w:ascii="Arial" w:eastAsia="Arial" w:hAnsi="Arial" w:cs="Arial"/>
          <w:b/>
          <w:bCs/>
          <w:sz w:val="18"/>
          <w:szCs w:val="18"/>
        </w:rPr>
      </w:r>
      <w:r w:rsidR="00D93014" w:rsidRPr="001A61EC">
        <w:rPr>
          <w:rFonts w:ascii="Arial" w:eastAsia="Arial" w:hAnsi="Arial" w:cs="Arial"/>
          <w:b/>
          <w:bCs/>
          <w:sz w:val="18"/>
          <w:szCs w:val="18"/>
        </w:rPr>
      </w:r>
    </w:p>
    <w:p w14:paraId="6CE1469E" w14:textId="7A1A1F1D" w:rsidR="00024037" w:rsidRDefault="001A61EC">
      <w:pPr>
        <w:spacing w:before="80" w:after="80"/>
      </w:pPr>
      <w:r>
        <w:rPr>
          <w:rFonts w:ascii="Arial" w:eastAsia="Arial" w:hAnsi="Arial" w:cs="Arial"/>
          <w:b/>
          <w:bCs/>
          <w:sz w:val="18"/>
          <w:szCs w:val="18"/>
        </w:rPr>
        <w:t>Planta: Depósito / Refinería Raízen Argentina    Requirente: None Comprador: None</w:t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 w:rsidR="00CE77C2">
        <w:rPr>
          <w:rFonts w:ascii="Arial" w:eastAsia="Arial" w:hAnsi="Arial" w:cs="Arial"/>
          <w:b/>
          <w:bCs/>
          <w:sz w:val="18"/>
          <w:szCs w:val="18"/>
        </w:rPr>
      </w:r>
      <w:proofErr w:type="gramStart"/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sz w:val="18"/>
          <w:szCs w:val="18"/>
        </w:rPr>
      </w:r>
      <w:proofErr w:type="gramEnd"/>
      <w:r>
        <w:rPr>
          <w:rFonts w:ascii="Arial" w:eastAsia="Arial" w:hAnsi="Arial" w:cs="Arial"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="00CE77C2" w:rsidRPr="00CE77C2">
        <w:rPr>
          <w:rFonts w:ascii="Arial" w:eastAsia="Arial" w:hAnsi="Arial" w:cs="Arial"/>
          <w:b/>
          <w:bCs/>
          <w:sz w:val="18"/>
          <w:szCs w:val="18"/>
        </w:rPr>
      </w:r>
      <w:r w:rsidR="00CE77C2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Pr="001A61EC">
        <w:rPr>
          <w:rFonts w:ascii="Arial" w:eastAsia="Arial" w:hAnsi="Arial" w:cs="Arial"/>
          <w:b/>
          <w:bCs/>
          <w:sz w:val="18"/>
          <w:szCs w:val="18"/>
        </w:rPr>
      </w:r>
      <w:r>
        <w:rPr>
          <w:rFonts w:ascii="Arial" w:eastAsia="Arial" w:hAnsi="Arial" w:cs="Arial"/>
          <w:b/>
          <w:bCs/>
          <w:sz w:val="18"/>
          <w:szCs w:val="18"/>
        </w:rPr>
      </w:r>
      <w:r w:rsidRPr="001A61EC">
        <w:rPr>
          <w:rFonts w:ascii="Arial" w:eastAsia="Arial" w:hAnsi="Arial" w:cs="Arial"/>
          <w:b/>
          <w:bCs/>
          <w:sz w:val="18"/>
          <w:szCs w:val="18"/>
        </w:rPr>
      </w:r>
    </w:p>
    <w:p w14:paraId="6E7105B0" w14:textId="3EAE5841" w:rsidR="00024037" w:rsidRDefault="00D93014">
      <w:pPr>
        <w:spacing w:before="120"/>
      </w:pPr>
      <w:r w:rsidRPr="00D93014">
        <w:rPr>
          <w:rFonts w:ascii="Arial" w:eastAsia="Arial" w:hAnsi="Arial" w:cs="Arial"/>
          <w:sz w:val="18"/>
          <w:szCs w:val="18"/>
        </w:rPr>
        <w:t>Las siguientes consultas se formulan con referencia a los documentos del proceso licitatorio (Anexo C. Pliego tecnico.docx, Anexo D. Hoja de cotización.xlsx). Las respuestas pasarán a formar parte integrante del pliego.</w:t>
      </w:r>
    </w:p>
    <w:p w14:paraId="00F41EF0" w14:textId="77777777" w:rsidR="00024037" w:rsidRDefault="001A61EC">
      <w:pPr>
        <w:spacing w:before="240" w:after="1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A. Consultas técnicas, operativas y económicas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31"/>
        <w:gridCol w:w="2196"/>
        <w:gridCol w:w="5533"/>
      </w:tblGrid>
      <w:tr w:rsidR="00024037" w14:paraId="0422DF4A" w14:textId="77777777">
        <w:trPr>
          <w:tblHeader/>
        </w:trPr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3832D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C32B6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23B89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Archivo / Punto de origen</w:t>
            </w:r>
          </w:p>
        </w:tc>
        <w:tc>
          <w:tcPr>
            <w:tcW w:w="5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2B691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Consulta</w:t>
            </w:r>
          </w:p>
        </w:tc>
      </w:tr>
      <w:tr>
        <w:tc>
          <w:tcPr>
            <w:tcW w:type="dxa" w:w="500"/>
          </w:tcPr>
          <w:p>
            <w:r>
              <w:t>1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C. Pliego tecnico.docx</w:t>
              <w:br/>
              <w:t>Pág: 3</w:t>
              <w:br/>
              <w:t>"El desarrollo de las tareas dentro del Depósito se realizará de acuerdo a las Condiciones Generales de Contratación de Raízen Argentina S.A.U., los procedimientos de Ingeniería de la Refinería (Normas E), las normas de SSMA..."</w:t>
            </w:r>
          </w:p>
        </w:tc>
        <w:tc>
          <w:tcPr>
            <w:tcW w:type="dxa" w:w="5533"/>
          </w:tcPr>
          <w:p>
            <w:r>
              <w:t>Solicitamos adjuntar o proveer acceso a la documentación complementaria mencionada: 'Condiciones Generales de Contratación de Raízen', 'Normas E de Ingeniería', 'Política de SSMA', 'Política de Alcohol y Drogas', 'Reglas que Salvan Vidas' y estándares de la evaluación 'Greenbanding'.</w:t>
            </w:r>
          </w:p>
        </w:tc>
      </w:tr>
      <w:tr>
        <w:tc>
          <w:tcPr>
            <w:tcW w:type="dxa" w:w="500"/>
          </w:tcPr>
          <w:p>
            <w:r>
              <w:t>2</w:t>
            </w:r>
          </w:p>
        </w:tc>
        <w:tc>
          <w:tcPr>
            <w:tcW w:type="dxa" w:w="1131"/>
          </w:tcPr>
          <w:p>
            <w:r>
              <w:t>Económica</w:t>
            </w:r>
          </w:p>
        </w:tc>
        <w:tc>
          <w:tcPr>
            <w:tcW w:type="dxa" w:w="2196"/>
          </w:tcPr>
          <w:p>
            <w:r>
              <w:t>Anexo C. Pliego tecnico.docx</w:t>
              <w:br/>
              <w:t>Pág: 3</w:t>
              <w:br/>
              <w:t>"la cláusula de juste de los precios será acordada con el área de compras e indicada en el contrato"</w:t>
            </w:r>
          </w:p>
        </w:tc>
        <w:tc>
          <w:tcPr>
            <w:tcW w:type="dxa" w:w="5533"/>
          </w:tcPr>
          <w:p>
            <w:r>
              <w:t>Considerando un plazo contractual de 2 a 3 años y dada la coyuntura macroeconómica, solicitar la indicación previa del índice de redeterminación (ej. variaciones de escala UOM CCT 260/75 o IPC) y la periodicidad de actualización de las tarifas cotizadas.</w:t>
            </w:r>
          </w:p>
        </w:tc>
      </w:tr>
      <w:tr>
        <w:tc>
          <w:tcPr>
            <w:tcW w:type="dxa" w:w="500"/>
          </w:tcPr>
          <w:p>
            <w:r>
              <w:t>3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C. Pliego tecnico.docx</w:t>
              <w:br/>
              <w:t>Pág: 3</w:t>
              <w:br/>
              <w:t>"Respecto a la mano obra requerida para horario normal de trabajo dentro de planta, será requerido un mínimo de 2 personas (1 Oficial Mecánico y 1 Oficial Eléctrico)."</w:t>
            </w:r>
          </w:p>
        </w:tc>
        <w:tc>
          <w:tcPr>
            <w:tcW w:type="dxa" w:w="5533"/>
          </w:tcPr>
          <w:p>
            <w:r>
              <w:t>Dado que en el punto 3 se exige la presencia continua de personal de supervisión autorizada, favor de aclarar si dicho rol supervisor debe prorratearse dentro del valor por hora de los oficiales o si se solicitará y facturará mediante la tarifa por HH de Supervisor según requerimiento diario.</w:t>
            </w:r>
          </w:p>
        </w:tc>
      </w:tr>
      <w:tr>
        <w:tc>
          <w:tcPr>
            <w:tcW w:type="dxa" w:w="500"/>
          </w:tcPr>
          <w:p>
            <w:r>
              <w:t>4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C. Pliego tecnico.docx</w:t>
              <w:br/>
              <w:t>Pág: 5</w:t>
              <w:br/>
              <w:t>"Cuando esto no sea posible (emergencias), se espera una respuesta por parte del contratista de no más de 6 horas entre el requerimiento del servicio por parte de Raízen y la presencia del personal del contratista en planta..."</w:t>
            </w:r>
          </w:p>
        </w:tc>
        <w:tc>
          <w:tcPr>
            <w:tcW w:type="dxa" w:w="5533"/>
          </w:tcPr>
          <w:p>
            <w:r>
              <w:t>Favor de precisar cuál es el procedimiento operativo y de guardia previsto para la tramitación, firma y validación de Permisos de Trabajo (PTW) fuera del horario normal durante llamados de emergencia dentro del plazo de 6 horas estipulado.</w:t>
            </w:r>
          </w:p>
        </w:tc>
      </w:tr>
      <w:tr>
        <w:tc>
          <w:tcPr>
            <w:tcW w:type="dxa" w:w="500"/>
          </w:tcPr>
          <w:p>
            <w:r>
              <w:t>5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C. Pliego tecnico.docx</w:t>
              <w:br/>
              <w:t>Pág: 4</w:t>
              <w:br/>
              <w:t>"el Contratista deberá asegurar que la indumentaria de trabajo provista sea confeccionada con materiales que no generen ni acumulen electricidad estática (antiestáticos o disipativos)..."</w:t>
            </w:r>
          </w:p>
        </w:tc>
        <w:tc>
          <w:tcPr>
            <w:tcW w:type="dxa" w:w="5533"/>
          </w:tcPr>
          <w:p>
            <w:r>
              <w:t>Solicitamos confirmar si la indumentaria antiestática/disipativa debe cumplir con alguna norma técnica internacional específica adicional (ej. NFPA 2112, EN ISO 11612 / EN 1149) o si basta con la certificación IRAM / CCT 260/75 de UOM para el sector.</w:t>
            </w:r>
          </w:p>
        </w:tc>
      </w:tr>
      <w:tr>
        <w:tc>
          <w:tcPr>
            <w:tcW w:type="dxa" w:w="500"/>
          </w:tcPr>
          <w:p>
            <w:r>
              <w:t>6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C. Pliego tecnico.docx</w:t>
              <w:br/>
              <w:t>Pág: 3</w:t>
              <w:br/>
              <w:t>"La Compañía le asignara un lugar para ubicar un taller donde puedan desarrollar estas tareas"</w:t>
            </w:r>
          </w:p>
        </w:tc>
        <w:tc>
          <w:tcPr>
            <w:tcW w:type="dxa" w:w="5533"/>
          </w:tcPr>
          <w:p>
            <w:r>
              <w:t>Se solicita aclarar qué servicios (energía eléctrica, iluminación, agua, aire comprimido, conectividad) estarán disponibles en el taller asignado y si las dimensiones permiten el resguardo de herramientas y equipos extraordinarios.</w:t>
            </w:r>
          </w:p>
        </w:tc>
      </w:tr>
      <w:tr>
        <w:tc>
          <w:tcPr>
            <w:tcW w:type="dxa" w:w="500"/>
          </w:tcPr>
          <w:p>
            <w:r>
              <w:t>7</w:t>
            </w:r>
          </w:p>
        </w:tc>
        <w:tc>
          <w:tcPr>
            <w:tcW w:type="dxa" w:w="1131"/>
          </w:tcPr>
          <w:p>
            <w:r>
              <w:t>Técnica</w:t>
            </w:r>
          </w:p>
        </w:tc>
        <w:tc>
          <w:tcPr>
            <w:tcW w:type="dxa" w:w="2196"/>
          </w:tcPr>
          <w:p>
            <w:r>
              <w:t>Anexo C. Pliego tecnico.docx</w:t>
              <w:br/>
              <w:t>Pág: 3</w:t>
              <w:br/>
              <w:t>"En los casos en que la tarea requiera algún elemento no previsto en la provisión del contratista (por ejemplo grúas de más de 8 toneladas), este se encargará de programar y coordinar para que la supervisión de Raízen se los provea."</w:t>
            </w:r>
          </w:p>
        </w:tc>
        <w:tc>
          <w:tcPr>
            <w:tcW w:type="dxa" w:w="5533"/>
          </w:tcPr>
          <w:p>
            <w:r>
              <w:t>Favor de confirmar si el contratista solo debe proveer grúas hasta 8 toneladas en caso de requerirse como equipo extraordinario, quedando el izaje de tonelaje mayor a cargo de Raízen sin costo contractual para la adjudicataria.</w:t>
            </w:r>
          </w:p>
        </w:tc>
      </w:tr>
      <w:tr>
        <w:tc>
          <w:tcPr>
            <w:tcW w:type="dxa" w:w="500"/>
          </w:tcPr>
          <w:p>
            <w:r>
              <w:t>8</w:t>
            </w:r>
          </w:p>
        </w:tc>
        <w:tc>
          <w:tcPr>
            <w:tcW w:type="dxa" w:w="1131"/>
          </w:tcPr>
          <w:p>
            <w:r>
              <w:t>Económica</w:t>
            </w:r>
          </w:p>
        </w:tc>
        <w:tc>
          <w:tcPr>
            <w:tcW w:type="dxa" w:w="2196"/>
          </w:tcPr>
          <w:p>
            <w:r>
              <w:t>Anexo C. Pliego tecnico.docx</w:t>
              <w:br/>
              <w:t>Pág: 4</w:t>
              <w:br/>
              <w:t>"Raízen exigirá su reemplazo sin derecho a reclamo alguno por parte del Contratista y realizará el descuento de las horas por trabajos mal desempeñados, desperdicio de materiales como pinturas, virutas etc."</w:t>
            </w:r>
          </w:p>
        </w:tc>
        <w:tc>
          <w:tcPr>
            <w:tcW w:type="dxa" w:w="5533"/>
          </w:tcPr>
          <w:p>
            <w:r>
              <w:t>Solicitamos definir cuál es el procedimiento de auditoría técnica formal y el plazo de revisión para fundamentar objetivamente la deducción o descuento de horas por 'trabajo mal desempeñado'.</w:t>
            </w:r>
          </w:p>
        </w:tc>
      </w:tr>
      <w:tr>
        <w:tc>
          <w:tcPr>
            <w:tcW w:type="dxa" w:w="500"/>
          </w:tcPr>
          <w:p>
            <w:r>
              <w:t>9</w:t>
            </w:r>
          </w:p>
        </w:tc>
        <w:tc>
          <w:tcPr>
            <w:tcW w:type="dxa" w:w="1131"/>
          </w:tcPr>
          <w:p>
            <w:r>
              <w:t>Operativa</w:t>
            </w:r>
          </w:p>
        </w:tc>
        <w:tc>
          <w:tcPr>
            <w:tcW w:type="dxa" w:w="2196"/>
          </w:tcPr>
          <w:p>
            <w:r>
              <w:t>Anexo C. Pliego tecnico.docx</w:t>
              <w:br/>
              <w:t>Pág: 4</w:t>
              <w:br/>
              <w:t>"Raízen puede exigir el reemplazo de cualquier persona sin derecho a reclamo por parte del Contratista."</w:t>
            </w:r>
          </w:p>
        </w:tc>
        <w:tc>
          <w:tcPr>
            <w:tcW w:type="dxa" w:w="5533"/>
          </w:tcPr>
          <w:p>
            <w:r>
              <w:t>En caso de solicitarse el reemplazo de un operario o supervisor, favor de precisar el plazo otorgado a la Contratista para la presentación de nuevos currículums y la correspondiente habilitación en SSMA/planta sin incurrir en mora de dotación.</w:t>
            </w:r>
          </w:p>
        </w:tc>
      </w:tr>
      <w:tr>
        <w:tc>
          <w:tcPr>
            <w:tcW w:type="dxa" w:w="500"/>
          </w:tcPr>
          <w:p>
            <w:r>
              <w:t>10</w:t>
            </w:r>
          </w:p>
        </w:tc>
        <w:tc>
          <w:tcPr>
            <w:tcW w:type="dxa" w:w="1131"/>
          </w:tcPr>
          <w:p>
            <w:r>
              <w:t>Económica</w:t>
            </w:r>
          </w:p>
        </w:tc>
        <w:tc>
          <w:tcPr>
            <w:tcW w:type="dxa" w:w="2196"/>
          </w:tcPr>
          <w:p>
            <w:r>
              <w:t>Anexo D. Hoja de cotización.xlsx</w:t>
              <w:br/>
              <w:t>Pág: Hoja INGRESO VALORES</w:t>
              <w:br/>
              <w:t>"El precio de la hora hombre deberá desglosarse tal como se indica en la planilla de cotización, siendo condición excluyente para la aceptación de la oferta."</w:t>
            </w:r>
          </w:p>
        </w:tc>
        <w:tc>
          <w:tcPr>
            <w:tcW w:type="dxa" w:w="5533"/>
          </w:tcPr>
          <w:p>
            <w:r>
              <w:t>Dado que el Anexo D solo cuenta con celdas para el valor final por HH ($/HN, $/HEA, $/HEB), solicitamos aclarar si existe una planilla estándar de desglose de estructura de costos (mano de obra directa, cargas sociales, EPP/herramientas, GG y beneficio) que deba ser presentada como anexo a la oferta.</w:t>
            </w:r>
          </w:p>
        </w:tc>
      </w:tr>
    </w:tbl>
    <w:p w14:paraId="62DE6379" w14:textId="77777777" w:rsidR="00024037" w:rsidRDefault="00024037">
      <w:pPr>
        <w:spacing w:before="240"/>
      </w:pPr>
    </w:p>
    <w:p w14:paraId="089B0EAC" w14:textId="77777777" w:rsidR="00024037" w:rsidRDefault="001A61EC">
      <w:pPr>
        <w:spacing w:before="240" w:after="1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B. Inconsistencias detectadas en el pliego - Se solicita aclaración oficial</w:t>
      </w:r>
    </w:p>
    <w:p w14:paraId="3F8E9DAC" w14:textId="77777777" w:rsidR="00024037" w:rsidRDefault="001A61EC">
      <w:pPr>
        <w:spacing w:before="80" w:after="80"/>
      </w:pPr>
      <w:r>
        <w:rPr>
          <w:rFonts w:ascii="Arial" w:eastAsia="Arial" w:hAnsi="Arial" w:cs="Arial"/>
          <w:sz w:val="18"/>
          <w:szCs w:val="18"/>
        </w:rPr>
        <w:t>Las siguientes observaciones identifican contradicciones entre documentos del mismo proceso licitatorio. Se solicita a PAMPA ENERGÍA S.A. una aclaración formal que indique qué documento prevalece en cada caso, a fin de garantizar que todas las ofertas se formulen sobre las mismas bases.</w:t>
      </w:r>
    </w:p>
    <w:p w14:paraId="5D43AA5F" w14:textId="77777777" w:rsidR="00024037" w:rsidRDefault="000240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"/>
        <w:gridCol w:w="1381"/>
        <w:gridCol w:w="2412"/>
        <w:gridCol w:w="5078"/>
      </w:tblGrid>
      <w:tr w:rsidR="00024037" w14:paraId="04601348" w14:textId="77777777">
        <w:trPr>
          <w:tblHeader/>
        </w:trPr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BE504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D9082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DC510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Documentos en conflicto</w:t>
            </w:r>
          </w:p>
        </w:tc>
        <w:tc>
          <w:tcPr>
            <w:tcW w:w="5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DB7C6" w14:textId="77777777" w:rsidR="00024037" w:rsidRDefault="001A61E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 la inconsistencia y pregunta</w:t>
            </w:r>
          </w:p>
        </w:tc>
      </w:tr>
      <w:tr>
        <w:tc>
          <w:tcPr>
            <w:tcW w:type="dxa" w:w="489"/>
          </w:tcPr>
          <w:p>
            <w:r>
              <w:t>11</w:t>
            </w:r>
          </w:p>
        </w:tc>
        <w:tc>
          <w:tcPr>
            <w:tcW w:type="dxa" w:w="1381"/>
          </w:tcPr>
          <w:p>
            <w:r>
              <w:t>Contradicción de Dotación y Supervisión</w:t>
            </w:r>
          </w:p>
        </w:tc>
        <w:tc>
          <w:tcPr>
            <w:tcW w:type="dxa" w:w="2412"/>
          </w:tcPr>
          <w:p>
            <w:r>
              <w:t>Anexo C. Pliego técnico (Punto 3), Anexo C. Pliego técnico (Punto 3.2)</w:t>
              <w:br/>
              <w:t>Pág: Páginas 2 y 3</w:t>
              <w:br/>
              <w:t>"esto obliga a que siempre esté presente alguna de estas personas tanto en los trabajos programados como de emergencia vs Respecto a la mano obra requerida para horario normal de trabajo dentro de planta, será requerido un mínimo de 2 personas (1 Oficial Mecánico y 1 Oficial Eléctrico)."</w:t>
            </w:r>
          </w:p>
        </w:tc>
        <w:tc>
          <w:tcPr>
            <w:tcW w:type="dxa" w:w="5078"/>
          </w:tcPr>
          <w:p>
            <w:r>
              <w:t>Existe discrepancia sobre la dotación mínima fija obligatoria: el punto 3 exige la presencia permanente de una figura de supervisión/representante, mientras que el punto 3.2 establece que la mano de obra mínima requerida en horario normal dentro de planta es de solo 2 oficiales (mecanico y electricista).</w:t>
            </w:r>
          </w:p>
        </w:tc>
      </w:tr>
      <w:tr>
        <w:tc>
          <w:tcPr>
            <w:tcW w:type="dxa" w:w="489"/>
          </w:tcPr>
          <w:p>
            <w:r>
              <w:t>12</w:t>
            </w:r>
          </w:p>
        </w:tc>
        <w:tc>
          <w:tcPr>
            <w:tcW w:type="dxa" w:w="1381"/>
          </w:tcPr>
          <w:p>
            <w:r>
              <w:t>Contradicción en Provisión de Grúas y Equipos de Izaje</w:t>
            </w:r>
          </w:p>
        </w:tc>
        <w:tc>
          <w:tcPr>
            <w:tcW w:type="dxa" w:w="2412"/>
          </w:tcPr>
          <w:p>
            <w:r>
              <w:t>Anexo C. Pliego técnico (Punto 3.1), Anexo C. Pliego técnico (Punto 3.4), Anexo D. Hoja de cotización.xlsx</w:t>
              <w:br/>
              <w:t>Pág: Páginas 2 y 3, Hoja INGRESO VALORES</w:t>
              <w:br/>
              <w:t>"(por ejemplo grúas de más de 8 toneladas), este se encargará de programar y coordinar para que la supervisión de Raízen se los provea vs 3.4.- Equipos extraordinarios. Equipos de izaje (grúas)... Todos estos elementos estarán a cargo del contratista"</w:t>
            </w:r>
          </w:p>
        </w:tc>
        <w:tc>
          <w:tcPr>
            <w:tcW w:type="dxa" w:w="5078"/>
          </w:tcPr>
          <w:p>
            <w:r>
              <w:t>En el punto 3.1 se aclara que las grúas &gt; 8 toneladas son provistas por Raízen, pero el punto 3.4 y la tabla del Anexo D listan 'Equipos de izaje (grúas)' dentro de los ítems extraordinarios a cotizar y proveer por el contratista sin tope de tonelaje.</w:t>
            </w:r>
          </w:p>
        </w:tc>
      </w:tr>
      <w:tr>
        <w:tc>
          <w:tcPr>
            <w:tcW w:type="dxa" w:w="489"/>
          </w:tcPr>
          <w:p>
            <w:r>
              <w:t>13</w:t>
            </w:r>
          </w:p>
        </w:tc>
        <w:tc>
          <w:tcPr>
            <w:tcW w:type="dxa" w:w="1381"/>
          </w:tcPr>
          <w:p>
            <w:r>
              <w:t>Incoherencia entre Tiempos de Respuesta y Gestión de PTW</w:t>
            </w:r>
          </w:p>
        </w:tc>
        <w:tc>
          <w:tcPr>
            <w:tcW w:type="dxa" w:w="2412"/>
          </w:tcPr>
          <w:p>
            <w:r>
              <w:t>Anexo C. Pliego técnico (Punto 3.1), Anexo C. Pliego técnico (Punto 7)</w:t>
              <w:br/>
              <w:t>Pág: Páginas 2 y 5</w:t>
              <w:br/>
              <w:t>"Una vez obtenido el permiso de trabajo para comenzar la reparación/limpieza comenzará a correr el plazo de entrega que se estipule para cada caso vs se espera una respuesta por parte del contratista de no más de 6 horas entre el requerimiento del servicio por parte de Raízen y la presencia del personal del contratista en planta, en condiciones de iniciar las tareas requeridas."</w:t>
            </w:r>
          </w:p>
        </w:tc>
        <w:tc>
          <w:tcPr>
            <w:tcW w:type="dxa" w:w="5078"/>
          </w:tcPr>
          <w:p>
            <w:r>
              <w:t>Para servicios programados la ejecución depende de la firma previa del PTW, mientras que para emergencias se exige inicio/presencia en menos de 6 horas, sin prever el tiempo operativo de emisión e inspección de gases/PTW por parte del personal de Raízen.</w:t>
            </w:r>
          </w:p>
        </w:tc>
      </w:tr>
      <w:tr>
        <w:tc>
          <w:tcPr>
            <w:tcW w:type="dxa" w:w="489"/>
          </w:tcPr>
          <w:p>
            <w:r>
              <w:t>14</w:t>
            </w:r>
          </w:p>
        </w:tc>
        <w:tc>
          <w:tcPr>
            <w:tcW w:type="dxa" w:w="1381"/>
          </w:tcPr>
          <w:p>
            <w:r>
              <w:t>Ambigüedad Contractual y Comercial en Ajuste de Precios</w:t>
            </w:r>
          </w:p>
        </w:tc>
        <w:tc>
          <w:tcPr>
            <w:tcW w:type="dxa" w:w="2412"/>
          </w:tcPr>
          <w:p>
            <w:r>
              <w:t>Anexo C. Pliego técnico (Punto 3.3), Anexo D. Hoja de cotización.xlsx</w:t>
              <w:br/>
              <w:t>Pág: Página 3 y Hoja INGRESO VALORES</w:t>
              <w:br/>
              <w:t>"No se aplicarán coeficientes de corrección de ningún tipo, la cláusula de juste de los precios será acordada con el área de compras e indicada en el contrato vs Indice de ajuste: [Campo para completar sin parámetro de fórmula]"</w:t>
            </w:r>
          </w:p>
        </w:tc>
        <w:tc>
          <w:tcPr>
            <w:tcW w:type="dxa" w:w="5078"/>
          </w:tcPr>
          <w:p>
            <w:r>
              <w:t>El pliego prohíbe el uso de coeficientes de corrección en la oferta pero difiere la definición de la fórmula/índice de reajuste a una negociación posterior al contrato, dejando desprotegido al contratista en un contrato a 2 o 3 años abonado a 60 días.</w:t>
            </w:r>
          </w:p>
        </w:tc>
      </w:tr>
      <w:tr>
        <w:tc>
          <w:tcPr>
            <w:tcW w:type="dxa" w:w="489"/>
          </w:tcPr>
          <w:p>
            <w:r>
              <w:t>15</w:t>
            </w:r>
          </w:p>
        </w:tc>
        <w:tc>
          <w:tcPr>
            <w:tcW w:type="dxa" w:w="1381"/>
          </w:tcPr>
          <w:p>
            <w:r>
              <w:t>Contradicción en Alcance de Materiales Consumibles y Repuestos</w:t>
            </w:r>
          </w:p>
        </w:tc>
        <w:tc>
          <w:tcPr>
            <w:tcW w:type="dxa" w:w="2412"/>
          </w:tcPr>
          <w:p>
            <w:r>
              <w:t>Anexo C. Pliego técnico (Punto 3.1), Anexo C. Pliego técnico (Punto 6.1)</w:t>
              <w:br/>
              <w:t>Pág: Páginas 2 y 4</w:t>
              <w:br/>
              <w:t>"el contratista se encargará de la provisión de repuestos y materiales particulares que luego serán facturados Raízen vs Se considera incluido en el precio de las tarifas cotizadas la provisión de todas las máquinas, herramientas y equipos básicos, materiales consumibles tales como aportes para soldadura, gases industriales, discos de amolado..."</w:t>
            </w:r>
          </w:p>
        </w:tc>
        <w:tc>
          <w:tcPr>
            <w:tcW w:type="dxa" w:w="5078"/>
          </w:tcPr>
          <w:p>
            <w:r>
              <w:t>Existe falta de precisión respecto a los límites de materiales consumibles incluidos en la tarifa HH vs. materiales o repuestos 'particulares' facturables a Raízen, en especial cuando se requieran intervenciones mecánicas/eléctricas no estandarizadas.</w:t>
            </w:r>
          </w:p>
        </w:tc>
      </w:tr>
    </w:tbl>
    <w:p w14:paraId="3F40F8FF" w14:textId="77777777" w:rsidR="00024037" w:rsidRDefault="00024037">
      <w:pPr>
        <w:spacing w:before="240"/>
      </w:pPr>
    </w:p>
    <w:p w14:paraId="3A9D31B1" w14:textId="77777777" w:rsidR="00024037" w:rsidRDefault="001A61EC">
      <w:pPr>
        <w:spacing w:before="80" w:after="80"/>
      </w:pPr>
      <w:r>
        <w:rPr>
          <w:rFonts w:ascii="Arial" w:eastAsia="Arial" w:hAnsi="Arial" w:cs="Arial"/>
          <w:sz w:val="18"/>
          <w:szCs w:val="18"/>
        </w:rPr>
        <w:t>Sin otro particular, quedamos a disposición para cualquier aclaración adicional.</w:t>
      </w:r>
    </w:p>
    <w:sectPr w:rsidR="000240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4F37"/>
    <w:multiLevelType w:val="hybridMultilevel"/>
    <w:tmpl w:val="B35A1E50"/>
    <w:lvl w:ilvl="0" w:tplc="6E7C072C">
      <w:start w:val="1"/>
      <w:numFmt w:val="bullet"/>
      <w:lvlText w:val="●"/>
      <w:lvlJc w:val="left"/>
      <w:pPr>
        <w:ind w:left="720" w:hanging="360"/>
      </w:pPr>
    </w:lvl>
    <w:lvl w:ilvl="1" w:tplc="7B0C1B28">
      <w:start w:val="1"/>
      <w:numFmt w:val="bullet"/>
      <w:lvlText w:val="○"/>
      <w:lvlJc w:val="left"/>
      <w:pPr>
        <w:ind w:left="1440" w:hanging="360"/>
      </w:pPr>
    </w:lvl>
    <w:lvl w:ilvl="2" w:tplc="56C09056">
      <w:start w:val="1"/>
      <w:numFmt w:val="bullet"/>
      <w:lvlText w:val="■"/>
      <w:lvlJc w:val="left"/>
      <w:pPr>
        <w:ind w:left="2160" w:hanging="360"/>
      </w:pPr>
    </w:lvl>
    <w:lvl w:ilvl="3" w:tplc="CD4EE374">
      <w:start w:val="1"/>
      <w:numFmt w:val="bullet"/>
      <w:lvlText w:val="●"/>
      <w:lvlJc w:val="left"/>
      <w:pPr>
        <w:ind w:left="2880" w:hanging="360"/>
      </w:pPr>
    </w:lvl>
    <w:lvl w:ilvl="4" w:tplc="98047DDC">
      <w:start w:val="1"/>
      <w:numFmt w:val="bullet"/>
      <w:lvlText w:val="○"/>
      <w:lvlJc w:val="left"/>
      <w:pPr>
        <w:ind w:left="3600" w:hanging="360"/>
      </w:pPr>
    </w:lvl>
    <w:lvl w:ilvl="5" w:tplc="E0084D38">
      <w:start w:val="1"/>
      <w:numFmt w:val="bullet"/>
      <w:lvlText w:val="■"/>
      <w:lvlJc w:val="left"/>
      <w:pPr>
        <w:ind w:left="4320" w:hanging="360"/>
      </w:pPr>
    </w:lvl>
    <w:lvl w:ilvl="6" w:tplc="AD540670">
      <w:start w:val="1"/>
      <w:numFmt w:val="bullet"/>
      <w:lvlText w:val="●"/>
      <w:lvlJc w:val="left"/>
      <w:pPr>
        <w:ind w:left="5040" w:hanging="360"/>
      </w:pPr>
    </w:lvl>
    <w:lvl w:ilvl="7" w:tplc="769CC6A4">
      <w:start w:val="1"/>
      <w:numFmt w:val="bullet"/>
      <w:lvlText w:val="●"/>
      <w:lvlJc w:val="left"/>
      <w:pPr>
        <w:ind w:left="5760" w:hanging="360"/>
      </w:pPr>
    </w:lvl>
    <w:lvl w:ilvl="8" w:tplc="1E96D490">
      <w:start w:val="1"/>
      <w:numFmt w:val="bullet"/>
      <w:lvlText w:val="●"/>
      <w:lvlJc w:val="left"/>
      <w:pPr>
        <w:ind w:left="6480" w:hanging="360"/>
      </w:pPr>
    </w:lvl>
  </w:abstractNum>
  <w:num w:numId="1" w16cid:durableId="111486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037"/>
    <w:rsid w:val="00024037"/>
    <w:rsid w:val="0003404F"/>
    <w:rsid w:val="001A61EC"/>
    <w:rsid w:val="00240001"/>
    <w:rsid w:val="00AF0592"/>
    <w:rsid w:val="00B07118"/>
    <w:rsid w:val="00CE77C2"/>
    <w:rsid w:val="00D9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2EAC3"/>
  <w15:docId w15:val="{343D6937-6E9E-4645-B345-ED5167C4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B4613A-67D5-4F1A-8249-DBA7EE949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31EF20-01F3-4B9B-A65D-1B1F99BEA44A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customXml/itemProps3.xml><?xml version="1.0" encoding="utf-8"?>
<ds:datastoreItem xmlns:ds="http://schemas.openxmlformats.org/officeDocument/2006/customXml" ds:itemID="{CC5AEAFE-C867-41CA-850F-9E08BF8CD3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1828</Words>
  <Characters>10056</Characters>
  <Application>Microsoft Office Word</Application>
  <DocSecurity>0</DocSecurity>
  <Lines>83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6</cp:revision>
  <dcterms:created xsi:type="dcterms:W3CDTF">2026-07-06T18:21:00Z</dcterms:created>
  <dcterms:modified xsi:type="dcterms:W3CDTF">2026-07-09T18:52:00Z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</Properties>
</file>