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27409" w14:textId="0901BDFA" w:rsidR="00024037" w:rsidRDefault="001A61EC">
      <w:pPr>
        <w:spacing w:after="160"/>
      </w:pPr>
      <w:r>
        <w:rPr>
          <w:rFonts w:ascii="Arial" w:eastAsia="Arial" w:hAnsi="Arial" w:cs="Arial"/>
          <w:b/>
          <w:bCs/>
          <w:color w:val="1F4E79"/>
          <w:sz w:val="28"/>
          <w:szCs w:val="28"/>
        </w:rPr>
        <w:t>Consultas al pliego – Ejecución del Mantenimiento Metalúrgico, Mecánico y Eléctrico (Contrato de suministro de servicios por horas hombre)</w:t>
      </w:r>
      <w:r w:rsidR="00D93014">
        <w:rPr>
          <w:rFonts w:ascii="Arial" w:eastAsia="Arial" w:hAnsi="Arial" w:cs="Arial"/>
          <w:b/>
          <w:bCs/>
          <w:color w:val="1F4E79"/>
          <w:sz w:val="28"/>
          <w:szCs w:val="28"/>
        </w:rPr>
      </w:r>
      <w:r>
        <w:rPr>
          <w:rFonts w:ascii="Arial" w:eastAsia="Arial" w:hAnsi="Arial" w:cs="Arial"/>
          <w:b/>
          <w:bCs/>
          <w:color w:val="1F4E79"/>
          <w:sz w:val="28"/>
          <w:szCs w:val="28"/>
        </w:rPr>
      </w:r>
      <w:r w:rsidR="00D93014">
        <w:rPr>
          <w:rFonts w:ascii="Arial" w:eastAsia="Arial" w:hAnsi="Arial" w:cs="Arial"/>
          <w:b/>
          <w:bCs/>
          <w:color w:val="1F4E79"/>
          <w:sz w:val="28"/>
          <w:szCs w:val="28"/>
        </w:rPr>
      </w:r>
    </w:p>
    <w:p w14:paraId="02EA2D87" w14:textId="4299EC19" w:rsidR="00024037" w:rsidRDefault="001A61EC">
      <w:pPr>
        <w:spacing w:before="80" w:after="80"/>
      </w:pPr>
      <w:r>
        <w:rPr>
          <w:rFonts w:ascii="Arial" w:eastAsia="Arial" w:hAnsi="Arial" w:cs="Arial"/>
          <w:b/>
          <w:bCs/>
          <w:sz w:val="18"/>
          <w:szCs w:val="18"/>
        </w:rPr>
        <w:t>Contratante: Raízen Argentina S.A.U.  Proceso: PR104218 - Mantenimiento Metalúrgico, Mecánico y Eléctrico ASE - 2026/2029     Moneda: Pesos argentinos ($)</w:t>
      </w:r>
      <w:r w:rsidR="00B07118" w:rsidRPr="00B07118">
        <w:rPr>
          <w:rFonts w:ascii="Arial" w:eastAsia="Arial" w:hAnsi="Arial" w:cs="Arial"/>
          <w:b/>
          <w:bCs/>
          <w:sz w:val="18"/>
          <w:szCs w:val="18"/>
        </w:rPr>
      </w:r>
      <w:proofErr w:type="gramStart"/>
      <w:r w:rsidR="00B07118" w:rsidRPr="00B07118">
        <w:rPr>
          <w:rFonts w:ascii="Arial" w:eastAsia="Arial" w:hAnsi="Arial" w:cs="Arial"/>
          <w:b/>
          <w:bCs/>
          <w:sz w:val="18"/>
          <w:szCs w:val="18"/>
        </w:rPr>
      </w:r>
      <w:r w:rsidR="00B07118">
        <w:rPr>
          <w:rFonts w:ascii="Arial" w:eastAsia="Arial" w:hAnsi="Arial" w:cs="Arial"/>
          <w:b/>
          <w:bCs/>
          <w:sz w:val="18"/>
          <w:szCs w:val="18"/>
        </w:rPr>
      </w:r>
      <w:r>
        <w:rPr>
          <w:rFonts w:ascii="Arial" w:eastAsia="Arial" w:hAnsi="Arial" w:cs="Arial"/>
          <w:b/>
          <w:bCs/>
          <w:sz w:val="18"/>
          <w:szCs w:val="18"/>
        </w:rPr>
      </w:r>
      <w:proofErr w:type="gramEnd"/>
      <w:r>
        <w:rPr>
          <w:rFonts w:ascii="Arial" w:eastAsia="Arial" w:hAnsi="Arial" w:cs="Arial"/>
          <w:b/>
          <w:bCs/>
          <w:sz w:val="18"/>
          <w:szCs w:val="18"/>
        </w:rPr>
      </w:r>
      <w:r w:rsidR="00CE77C2" w:rsidRPr="00CE77C2">
        <w:rPr>
          <w:rFonts w:ascii="Arial" w:eastAsia="Arial" w:hAnsi="Arial" w:cs="Arial"/>
          <w:b/>
          <w:bCs/>
          <w:sz w:val="18"/>
          <w:szCs w:val="18"/>
        </w:rPr>
      </w:r>
      <w:proofErr w:type="gramStart"/>
      <w:r w:rsidR="00CE77C2" w:rsidRPr="00CE77C2">
        <w:rPr>
          <w:rFonts w:ascii="Arial" w:eastAsia="Arial" w:hAnsi="Arial" w:cs="Arial"/>
          <w:b/>
          <w:bCs/>
          <w:sz w:val="18"/>
          <w:szCs w:val="18"/>
        </w:rPr>
      </w:r>
      <w:r>
        <w:rPr>
          <w:rFonts w:ascii="Arial" w:eastAsia="Arial" w:hAnsi="Arial" w:cs="Arial"/>
          <w:sz w:val="18"/>
          <w:szCs w:val="18"/>
        </w:rPr>
      </w:r>
      <w:proofErr w:type="gramEnd"/>
      <w:r>
        <w:rPr>
          <w:rFonts w:ascii="Arial" w:eastAsia="Arial" w:hAnsi="Arial" w:cs="Arial"/>
          <w:sz w:val="18"/>
          <w:szCs w:val="18"/>
        </w:rPr>
      </w:r>
      <w:r>
        <w:rPr>
          <w:rFonts w:ascii="Arial" w:eastAsia="Arial" w:hAnsi="Arial" w:cs="Arial"/>
          <w:b/>
          <w:bCs/>
          <w:sz w:val="18"/>
          <w:szCs w:val="18"/>
        </w:rPr>
      </w:r>
      <w:r w:rsidR="00D93014" w:rsidRPr="001A61EC">
        <w:rPr>
          <w:rFonts w:ascii="Arial" w:eastAsia="Arial" w:hAnsi="Arial" w:cs="Arial"/>
          <w:b/>
          <w:bCs/>
          <w:sz w:val="18"/>
          <w:szCs w:val="18"/>
        </w:rPr>
      </w:r>
      <w:r w:rsidR="00D93014">
        <w:rPr>
          <w:rFonts w:ascii="Arial" w:eastAsia="Arial" w:hAnsi="Arial" w:cs="Arial"/>
          <w:b/>
          <w:bCs/>
          <w:sz w:val="18"/>
          <w:szCs w:val="18"/>
        </w:rPr>
      </w:r>
      <w:r w:rsidR="00D93014" w:rsidRPr="001A61EC">
        <w:rPr>
          <w:rFonts w:ascii="Arial" w:eastAsia="Arial" w:hAnsi="Arial" w:cs="Arial"/>
          <w:b/>
          <w:bCs/>
          <w:sz w:val="18"/>
          <w:szCs w:val="18"/>
        </w:rPr>
      </w:r>
    </w:p>
    <w:p w14:paraId="6CE1469E" w14:textId="7A1A1F1D" w:rsidR="00024037" w:rsidRDefault="001A61EC">
      <w:pPr>
        <w:spacing w:before="80" w:after="80"/>
      </w:pPr>
      <w:r>
        <w:rPr>
          <w:rFonts w:ascii="Arial" w:eastAsia="Arial" w:hAnsi="Arial" w:cs="Arial"/>
          <w:b/>
          <w:bCs/>
          <w:sz w:val="18"/>
          <w:szCs w:val="18"/>
        </w:rPr>
        <w:t>Planta: Depósito Arroyo Seco (Pavón N°1730, Arroyo Seco, Santa Fe)    Requirente: None Comprador: None</w:t>
      </w:r>
      <w:r w:rsidR="00CE77C2" w:rsidRPr="00CE77C2">
        <w:rPr>
          <w:rFonts w:ascii="Arial" w:eastAsia="Arial" w:hAnsi="Arial" w:cs="Arial"/>
          <w:b/>
          <w:bCs/>
          <w:sz w:val="18"/>
          <w:szCs w:val="18"/>
        </w:rPr>
      </w:r>
      <w:r w:rsidR="00CE77C2">
        <w:rPr>
          <w:rFonts w:ascii="Arial" w:eastAsia="Arial" w:hAnsi="Arial" w:cs="Arial"/>
          <w:b/>
          <w:bCs/>
          <w:sz w:val="18"/>
          <w:szCs w:val="18"/>
        </w:rPr>
      </w:r>
      <w:proofErr w:type="gramStart"/>
      <w:r w:rsidR="00CE77C2" w:rsidRPr="00CE77C2">
        <w:rPr>
          <w:rFonts w:ascii="Arial" w:eastAsia="Arial" w:hAnsi="Arial" w:cs="Arial"/>
          <w:b/>
          <w:bCs/>
          <w:sz w:val="18"/>
          <w:szCs w:val="18"/>
        </w:rPr>
      </w:r>
      <w:r>
        <w:rPr>
          <w:rFonts w:ascii="Arial" w:eastAsia="Arial" w:hAnsi="Arial" w:cs="Arial"/>
          <w:sz w:val="18"/>
          <w:szCs w:val="18"/>
        </w:rPr>
      </w:r>
      <w:proofErr w:type="gramEnd"/>
      <w:r>
        <w:rPr>
          <w:rFonts w:ascii="Arial" w:eastAsia="Arial" w:hAnsi="Arial" w:cs="Arial"/>
          <w:sz w:val="18"/>
          <w:szCs w:val="18"/>
        </w:rPr>
      </w:r>
      <w:r>
        <w:rPr>
          <w:rFonts w:ascii="Arial" w:eastAsia="Arial" w:hAnsi="Arial" w:cs="Arial"/>
          <w:b/>
          <w:bCs/>
          <w:sz w:val="18"/>
          <w:szCs w:val="18"/>
        </w:rPr>
      </w:r>
      <w:r w:rsidR="00CE77C2" w:rsidRPr="00CE77C2">
        <w:rPr>
          <w:rFonts w:ascii="Arial" w:eastAsia="Arial" w:hAnsi="Arial" w:cs="Arial"/>
          <w:b/>
          <w:bCs/>
          <w:sz w:val="18"/>
          <w:szCs w:val="18"/>
        </w:rPr>
      </w:r>
      <w:r>
        <w:rPr>
          <w:rFonts w:ascii="Arial" w:eastAsia="Arial" w:hAnsi="Arial" w:cs="Arial"/>
          <w:b/>
          <w:bCs/>
          <w:sz w:val="18"/>
          <w:szCs w:val="18"/>
        </w:rPr>
      </w:r>
      <w:r w:rsidR="00CE77C2" w:rsidRPr="00CE77C2">
        <w:rPr>
          <w:rFonts w:ascii="Arial" w:eastAsia="Arial" w:hAnsi="Arial" w:cs="Arial"/>
          <w:b/>
          <w:bCs/>
          <w:sz w:val="18"/>
          <w:szCs w:val="18"/>
        </w:rPr>
      </w:r>
      <w:r w:rsidR="00CE77C2">
        <w:rPr>
          <w:rFonts w:ascii="Arial" w:eastAsia="Arial" w:hAnsi="Arial" w:cs="Arial"/>
          <w:b/>
          <w:bCs/>
          <w:sz w:val="18"/>
          <w:szCs w:val="18"/>
        </w:rPr>
      </w:r>
      <w:r>
        <w:rPr>
          <w:rFonts w:ascii="Arial" w:eastAsia="Arial" w:hAnsi="Arial" w:cs="Arial"/>
          <w:b/>
          <w:bCs/>
          <w:sz w:val="18"/>
          <w:szCs w:val="18"/>
        </w:rPr>
      </w:r>
      <w:r w:rsidRPr="001A61EC">
        <w:rPr>
          <w:rFonts w:ascii="Arial" w:eastAsia="Arial" w:hAnsi="Arial" w:cs="Arial"/>
          <w:b/>
          <w:bCs/>
          <w:sz w:val="18"/>
          <w:szCs w:val="18"/>
        </w:rPr>
      </w:r>
      <w:r>
        <w:rPr>
          <w:rFonts w:ascii="Arial" w:eastAsia="Arial" w:hAnsi="Arial" w:cs="Arial"/>
          <w:b/>
          <w:bCs/>
          <w:sz w:val="18"/>
          <w:szCs w:val="18"/>
        </w:rPr>
      </w:r>
      <w:r w:rsidRPr="001A61EC">
        <w:rPr>
          <w:rFonts w:ascii="Arial" w:eastAsia="Arial" w:hAnsi="Arial" w:cs="Arial"/>
          <w:b/>
          <w:bCs/>
          <w:sz w:val="18"/>
          <w:szCs w:val="18"/>
        </w:rPr>
      </w:r>
    </w:p>
    <w:p w14:paraId="6E7105B0" w14:textId="3EAE5841" w:rsidR="00024037" w:rsidRDefault="00D93014">
      <w:pPr>
        <w:spacing w:before="120"/>
      </w:pPr>
      <w:r w:rsidRPr="00D93014">
        <w:rPr>
          <w:rFonts w:ascii="Arial" w:eastAsia="Arial" w:hAnsi="Arial" w:cs="Arial"/>
          <w:sz w:val="18"/>
          <w:szCs w:val="18"/>
        </w:rPr>
        <w:t>Las siguientes consultas se formulan con referencia a los documentos del proceso licitatorio (Anexo C. Pliego técnico.pdf, Anexo D. Hoja de cotización.xlsx, Manual de Contratistas Raizen-LDT v2026.pdf). Las respuestas pasarán a formar parte integrante del pliego.</w:t>
      </w:r>
    </w:p>
    <w:p w14:paraId="00F41EF0" w14:textId="77777777" w:rsidR="00024037" w:rsidRDefault="001A61EC">
      <w:pPr>
        <w:spacing w:before="240" w:after="160"/>
      </w:pPr>
      <w:r>
        <w:rPr>
          <w:rFonts w:ascii="Arial" w:eastAsia="Arial" w:hAnsi="Arial" w:cs="Arial"/>
          <w:b/>
          <w:bCs/>
          <w:color w:val="1F4E79"/>
          <w:sz w:val="24"/>
          <w:szCs w:val="24"/>
        </w:rPr>
        <w:t>A. Consultas técnicas, operativas y económicas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131"/>
        <w:gridCol w:w="2196"/>
        <w:gridCol w:w="5533"/>
      </w:tblGrid>
      <w:tr w:rsidR="00024037" w14:paraId="0422DF4A" w14:textId="77777777">
        <w:trPr>
          <w:tblHeader/>
        </w:trPr>
        <w:tc>
          <w:tcPr>
            <w:tcW w:w="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3053832D" w14:textId="77777777" w:rsidR="00024037" w:rsidRDefault="001A61EC">
            <w:pPr>
              <w:jc w:val="center"/>
            </w:pPr>
            <w:r>
              <w:rPr>
                <w:rFonts w:ascii="Arial" w:eastAsia="Arial" w:hAnsi="Arial" w:cs="Arial"/>
                <w:b/>
                <w:bCs/>
                <w:color w:val="FFFFFF"/>
                <w:sz w:val="18"/>
                <w:szCs w:val="18"/>
              </w:rPr>
              <w:t>#</w:t>
            </w:r>
          </w:p>
        </w:tc>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0EDC32B6" w14:textId="77777777" w:rsidR="00024037" w:rsidRDefault="001A61EC">
            <w:pPr>
              <w:jc w:val="center"/>
            </w:pPr>
            <w:r>
              <w:rPr>
                <w:rFonts w:ascii="Arial" w:eastAsia="Arial" w:hAnsi="Arial" w:cs="Arial"/>
                <w:b/>
                <w:bCs/>
                <w:color w:val="FFFFFF"/>
                <w:sz w:val="18"/>
                <w:szCs w:val="18"/>
              </w:rPr>
              <w:t>Categoría</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30923B89" w14:textId="77777777" w:rsidR="00024037" w:rsidRDefault="001A61EC">
            <w:pPr>
              <w:jc w:val="center"/>
            </w:pPr>
            <w:r>
              <w:rPr>
                <w:rFonts w:ascii="Arial" w:eastAsia="Arial" w:hAnsi="Arial" w:cs="Arial"/>
                <w:b/>
                <w:bCs/>
                <w:color w:val="FFFFFF"/>
                <w:sz w:val="18"/>
                <w:szCs w:val="18"/>
              </w:rPr>
              <w:t>Archivo / Punto de origen</w:t>
            </w:r>
          </w:p>
        </w:tc>
        <w:tc>
          <w:tcPr>
            <w:tcW w:w="5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502B691" w14:textId="77777777" w:rsidR="00024037" w:rsidRDefault="001A61EC">
            <w:pPr>
              <w:jc w:val="center"/>
            </w:pPr>
            <w:r>
              <w:rPr>
                <w:rFonts w:ascii="Arial" w:eastAsia="Arial" w:hAnsi="Arial" w:cs="Arial"/>
                <w:b/>
                <w:bCs/>
                <w:color w:val="FFFFFF"/>
                <w:sz w:val="18"/>
                <w:szCs w:val="18"/>
              </w:rPr>
              <w:t>Consulta</w:t>
            </w:r>
          </w:p>
        </w:tc>
      </w:tr>
      <w:tr>
        <w:tc>
          <w:tcPr>
            <w:tcW w:type="dxa" w:w="500"/>
          </w:tcPr>
          <w:p>
            <w:r>
              <w:t>1</w:t>
            </w:r>
          </w:p>
        </w:tc>
        <w:tc>
          <w:tcPr>
            <w:tcW w:type="dxa" w:w="1131"/>
          </w:tcPr>
          <w:p>
            <w:r>
              <w:t>Técnica</w:t>
            </w:r>
          </w:p>
        </w:tc>
        <w:tc>
          <w:tcPr>
            <w:tcW w:type="dxa" w:w="2196"/>
          </w:tcPr>
          <w:p>
            <w:r>
              <w:t>Anexo C. Pliego técnico.pdf</w:t>
              <w:br/>
              <w:t>Pág: 2</w:t>
              <w:br/>
              <w:t>"de acuerdo con las Condiciones Generales de Contratación de Raízen Argentina S.A.U., los procedimientos de Ingeniería de la Refinería (Normas E), las normas de SSMA"</w:t>
            </w:r>
          </w:p>
        </w:tc>
        <w:tc>
          <w:tcPr>
            <w:tcW w:type="dxa" w:w="5533"/>
          </w:tcPr>
          <w:p>
            <w:r>
              <w:t>Solicitamos adjuntar formalmente la totalidad de la documentación complementaria no provista en el paquete licitatorio: 1) Condiciones Generales de Contratación de Raízen Argentina S.A.U., 2) Normas E de Ingeniería de Refinería, 3) Procedimiento de Uso Seguro de Amoladoras Portátiles Eléctricas, 4) Procedimiento de Evaluación Greenbanding y SSMA, y 5) Manual de Emergencias de la Planta Arroyo Seco.</w:t>
            </w:r>
          </w:p>
        </w:tc>
      </w:tr>
      <w:tr>
        <w:tc>
          <w:tcPr>
            <w:tcW w:type="dxa" w:w="500"/>
          </w:tcPr>
          <w:p>
            <w:r>
              <w:t>2</w:t>
            </w:r>
          </w:p>
        </w:tc>
        <w:tc>
          <w:tcPr>
            <w:tcW w:type="dxa" w:w="1131"/>
          </w:tcPr>
          <w:p>
            <w:r>
              <w:t>Económica</w:t>
            </w:r>
          </w:p>
        </w:tc>
        <w:tc>
          <w:tcPr>
            <w:tcW w:type="dxa" w:w="2196"/>
          </w:tcPr>
          <w:p>
            <w:r>
              <w:t>Anexo C. Pliego técnico.pdf</w:t>
              <w:br/>
              <w:t>Pág: 4 y 5</w:t>
              <w:br/>
              <w:t>"excepto aquellas indicadas y solicitadas equipos extraordinarios, mediante precios unitarios en el punto 5."</w:t>
            </w:r>
          </w:p>
        </w:tc>
        <w:tc>
          <w:tcPr>
            <w:tcW w:type="dxa" w:w="5533"/>
          </w:tcPr>
          <w:p>
            <w:r>
              <w:t>El pliego indica que los equipos extraordinarios (plataforma articulada Z de 12m, grúas &lt;= 8 t, corte plasma) se cotizarán por precios unitarios según el punto 5. Sin embargo, en el Anexo D (excel) no existen ítems para cotizar dichos equipos ni las guardias. ¿Dónde o bajo qué formato deben volcarse los precios unitarios de equipos extraordinarios?</w:t>
            </w:r>
          </w:p>
        </w:tc>
      </w:tr>
      <w:tr>
        <w:tc>
          <w:tcPr>
            <w:tcW w:type="dxa" w:w="500"/>
          </w:tcPr>
          <w:p>
            <w:r>
              <w:t>3</w:t>
            </w:r>
          </w:p>
        </w:tc>
        <w:tc>
          <w:tcPr>
            <w:tcW w:type="dxa" w:w="1131"/>
          </w:tcPr>
          <w:p>
            <w:r>
              <w:t>Operativa</w:t>
            </w:r>
          </w:p>
        </w:tc>
        <w:tc>
          <w:tcPr>
            <w:tcW w:type="dxa" w:w="2196"/>
          </w:tcPr>
          <w:p>
            <w:r>
              <w:t>Anexo C. Pliego técnico.pdf</w:t>
              <w:br/>
              <w:t>Pág: 3</w:t>
              <w:br/>
              <w:t>"Se deberá disponer de una guardia eléctrica y mecánica para eventualidades que afecten a las operaciones... En caso que la eventualidad lo requiera, la empresa deberá presentarse en planta Arroyo Seco lo antes posible, en un plazo no mayor a 1,5 Hs."</w:t>
            </w:r>
          </w:p>
        </w:tc>
        <w:tc>
          <w:tcPr>
            <w:tcW w:type="dxa" w:w="5533"/>
          </w:tcPr>
          <w:p>
            <w:r>
              <w:t>Solicitamos confirmar la dotación mínima requerida de personal para las guardias pasivas eléctrica y mecánica fuera del horario normal y aclarar si el tiempo de respuesta de 1,5 horas es desde la recepción de la llamada o de arribo efectivo a la planta.</w:t>
            </w:r>
          </w:p>
        </w:tc>
      </w:tr>
      <w:tr>
        <w:tc>
          <w:tcPr>
            <w:tcW w:type="dxa" w:w="500"/>
          </w:tcPr>
          <w:p>
            <w:r>
              <w:t>4</w:t>
            </w:r>
          </w:p>
        </w:tc>
        <w:tc>
          <w:tcPr>
            <w:tcW w:type="dxa" w:w="1131"/>
          </w:tcPr>
          <w:p>
            <w:r>
              <w:t>Económica</w:t>
            </w:r>
          </w:p>
        </w:tc>
        <w:tc>
          <w:tcPr>
            <w:tcW w:type="dxa" w:w="2196"/>
          </w:tcPr>
          <w:p>
            <w:r>
              <w:t>Manual de Contratistas Raizen-LDT v2026.pdf</w:t>
              <w:br/>
              <w:t>Pág: 18</w:t>
              <w:br/>
              <w:t>"El Oferente tendrá que presentar la fórmula de ajuste y el departamento de C&amp;P la validará y luego aprobará la misma para continuar con el proyecto."</w:t>
            </w:r>
          </w:p>
        </w:tc>
        <w:tc>
          <w:tcPr>
            <w:tcW w:type="dxa" w:w="5533"/>
          </w:tcPr>
          <w:p>
            <w:r>
              <w:t>Dado que el pago es a 60 días de fecha de factura y el ajuste de precios es semestral, ¿cuáles son los índices oficiales (IPC, ICC, etc.) admitidos por Raízen para la fórmula de reajuste y cuál es el porcentaje de variación mínima gatillo para solicitar un reajuste extraordinario?</w:t>
            </w:r>
          </w:p>
        </w:tc>
      </w:tr>
      <w:tr>
        <w:tc>
          <w:tcPr>
            <w:tcW w:type="dxa" w:w="500"/>
          </w:tcPr>
          <w:p>
            <w:r>
              <w:t>5</w:t>
            </w:r>
          </w:p>
        </w:tc>
        <w:tc>
          <w:tcPr>
            <w:tcW w:type="dxa" w:w="1131"/>
          </w:tcPr>
          <w:p>
            <w:r>
              <w:t>Técnica</w:t>
            </w:r>
          </w:p>
        </w:tc>
        <w:tc>
          <w:tcPr>
            <w:tcW w:type="dxa" w:w="2196"/>
          </w:tcPr>
          <w:p>
            <w:r>
              <w:t>Anexo C. Pliego técnico.pdf</w:t>
              <w:br/>
              <w:t>Pág: 1</w:t>
              <w:br/>
              <w:t>"Incluyendo soldaduras calificadas de cañerías de producto que estarán sometidas a presión."</w:t>
            </w:r>
          </w:p>
        </w:tc>
        <w:tc>
          <w:tcPr>
            <w:tcW w:type="dxa" w:w="5533"/>
          </w:tcPr>
          <w:p>
            <w:r>
              <w:t>Aclarar bajo qué norma o estándar de ingeniería (ej. ASME B31.3, API 1104, ASME IX) deberán calificarse los soldadores y procedimientos, y si el costo de los Ensayos No Destructivos (END) como radiografías y tintas penetrantes estará a cargo de Raízen o del contratista.</w:t>
            </w:r>
          </w:p>
        </w:tc>
      </w:tr>
      <w:tr>
        <w:tc>
          <w:tcPr>
            <w:tcW w:type="dxa" w:w="500"/>
          </w:tcPr>
          <w:p>
            <w:r>
              <w:t>6</w:t>
            </w:r>
          </w:p>
        </w:tc>
        <w:tc>
          <w:tcPr>
            <w:tcW w:type="dxa" w:w="1131"/>
          </w:tcPr>
          <w:p>
            <w:r>
              <w:t>Operativa</w:t>
            </w:r>
          </w:p>
        </w:tc>
        <w:tc>
          <w:tcPr>
            <w:tcW w:type="dxa" w:w="2196"/>
          </w:tcPr>
          <w:p>
            <w:r>
              <w:t>Anexo C. Pliego técnico.pdf</w:t>
              <w:br/>
              <w:t>Pág: 3</w:t>
              <w:br/>
              <w:t>"Dentro de estos la capacitación y evaluación interna por parte de Raizen para la habilitación del personal eléctrico. Como mínimo dos personas del equipo eléctrico."</w:t>
            </w:r>
          </w:p>
        </w:tc>
        <w:tc>
          <w:tcPr>
            <w:tcW w:type="dxa" w:w="5533"/>
          </w:tcPr>
          <w:p>
            <w:r>
              <w:t>Se solicita indicar la duración, contenidos y frecuencia de las capacitaciones y evaluaciones internas impartidas por Raízen para habilitación del personal eléctrico, y si las horas dedicadas a este proceso se certificarán como horas trabajadas.</w:t>
            </w:r>
          </w:p>
        </w:tc>
      </w:tr>
      <w:tr>
        <w:tc>
          <w:tcPr>
            <w:tcW w:type="dxa" w:w="500"/>
          </w:tcPr>
          <w:p>
            <w:r>
              <w:t>7</w:t>
            </w:r>
          </w:p>
        </w:tc>
        <w:tc>
          <w:tcPr>
            <w:tcW w:type="dxa" w:w="1131"/>
          </w:tcPr>
          <w:p>
            <w:r>
              <w:t>Económica</w:t>
            </w:r>
          </w:p>
        </w:tc>
        <w:tc>
          <w:tcPr>
            <w:tcW w:type="dxa" w:w="2196"/>
          </w:tcPr>
          <w:p>
            <w:r>
              <w:t>Anexo C. Pliego técnico.pdf</w:t>
              <w:br/>
              <w:t>Pág: 7</w:t>
              <w:br/>
              <w:t>"Raízen exigirá su reemplazo sin derecho a reclamo alguno por parte del Contratista y realizará el descuento de las horas por trabajos mal desempeñados, desperdicio de materiales como pinturas, virutas etc."</w:t>
            </w:r>
          </w:p>
        </w:tc>
        <w:tc>
          <w:tcPr>
            <w:tcW w:type="dxa" w:w="5533"/>
          </w:tcPr>
          <w:p>
            <w:r>
              <w:t>A fin de evitar discrepancias en la liquidación mensual, ¿cuál es el procedimiento administrativo y técnico formal para constatar y notificar un 'trabajo mal desempeñado' previo a la aplicación de cualquier descuento de horas trabajadas?</w:t>
            </w:r>
          </w:p>
        </w:tc>
      </w:tr>
      <w:tr>
        <w:tc>
          <w:tcPr>
            <w:tcW w:type="dxa" w:w="500"/>
          </w:tcPr>
          <w:p>
            <w:r>
              <w:t>8</w:t>
            </w:r>
          </w:p>
        </w:tc>
        <w:tc>
          <w:tcPr>
            <w:tcW w:type="dxa" w:w="1131"/>
          </w:tcPr>
          <w:p>
            <w:r>
              <w:t>Técnica</w:t>
            </w:r>
          </w:p>
        </w:tc>
        <w:tc>
          <w:tcPr>
            <w:tcW w:type="dxa" w:w="2196"/>
          </w:tcPr>
          <w:p>
            <w:r>
              <w:t>Anexo C. Pliego técnico.pdf</w:t>
              <w:br/>
              <w:t>Pág: 5</w:t>
              <w:br/>
              <w:t>"La Compañía le asignara un lugar para ubicar un tráiler donde puedan desarrollar estas tareas"</w:t>
            </w:r>
          </w:p>
        </w:tc>
        <w:tc>
          <w:tcPr>
            <w:tcW w:type="dxa" w:w="5533"/>
          </w:tcPr>
          <w:p>
            <w:r>
              <w:t>Confirmar si la ubicación asignada para el tráiler de la contratista cuenta con los puntos de acometida de energía eléctrica, agua, desagüe cloacal y conectividad provistos sin cargo por Raízen.</w:t>
            </w:r>
          </w:p>
        </w:tc>
      </w:tr>
      <w:tr>
        <w:tc>
          <w:tcPr>
            <w:tcW w:type="dxa" w:w="500"/>
          </w:tcPr>
          <w:p>
            <w:r>
              <w:t>9</w:t>
            </w:r>
          </w:p>
        </w:tc>
        <w:tc>
          <w:tcPr>
            <w:tcW w:type="dxa" w:w="1131"/>
          </w:tcPr>
          <w:p>
            <w:r>
              <w:t>Operativa</w:t>
            </w:r>
          </w:p>
        </w:tc>
        <w:tc>
          <w:tcPr>
            <w:tcW w:type="dxa" w:w="2196"/>
          </w:tcPr>
          <w:p>
            <w:r>
              <w:t>Anexo C. Pliego técnico.pdf</w:t>
              <w:br/>
              <w:t>Pág: 6</w:t>
              <w:br/>
              <w:t>"El Contratista no deberá cambiar de manera frecuente el personal sin acuerdo con Raizen, pero Raízen puede exigir el reemplazo de cualquier persona sin derecho a reclamo por parte del Contratista."</w:t>
            </w:r>
          </w:p>
        </w:tc>
        <w:tc>
          <w:tcPr>
            <w:tcW w:type="dxa" w:w="5533"/>
          </w:tcPr>
          <w:p>
            <w:r>
              <w:t>¿Cuál es el plazo corrido fijado para presentar el reemplazo habilitado en Achilles y Greenbanding ante una exigencia de sustitución de personal impulsada por Raízen?</w:t>
            </w:r>
          </w:p>
        </w:tc>
      </w:tr>
      <w:tr>
        <w:tc>
          <w:tcPr>
            <w:tcW w:type="dxa" w:w="500"/>
          </w:tcPr>
          <w:p>
            <w:r>
              <w:t>10</w:t>
            </w:r>
          </w:p>
        </w:tc>
        <w:tc>
          <w:tcPr>
            <w:tcW w:type="dxa" w:w="1131"/>
          </w:tcPr>
          <w:p>
            <w:r>
              <w:t>Económica</w:t>
            </w:r>
          </w:p>
        </w:tc>
        <w:tc>
          <w:tcPr>
            <w:tcW w:type="dxa" w:w="2196"/>
          </w:tcPr>
          <w:p>
            <w:r>
              <w:t>Anexo D. Hoja de cotizacion.xlsx</w:t>
              <w:br/>
              <w:t>Pág: Hoja 1</w:t>
              <w:br/>
              <w:t>"TABLA DE PRECIOS UNITARIOS MANO DE OBRA ($/HH)"</w:t>
            </w:r>
          </w:p>
        </w:tc>
        <w:tc>
          <w:tcPr>
            <w:tcW w:type="dxa" w:w="5533"/>
          </w:tcPr>
          <w:p>
            <w:r>
              <w:t>Para realizar un correcto dimensionamiento de la nómina fija y los costos de guardia, ¿pueden brindar una estimación del promedio mensual proyectado de Horas Hombre a ejecutar en Horario Normal, Extra A y Extra B?</w:t>
            </w:r>
          </w:p>
        </w:tc>
      </w:tr>
    </w:tbl>
    <w:p w14:paraId="62DE6379" w14:textId="77777777" w:rsidR="00024037" w:rsidRDefault="00024037">
      <w:pPr>
        <w:spacing w:before="240"/>
      </w:pPr>
    </w:p>
    <w:p w14:paraId="089B0EAC" w14:textId="77777777" w:rsidR="00024037" w:rsidRDefault="001A61EC">
      <w:pPr>
        <w:spacing w:before="240" w:after="160"/>
      </w:pPr>
      <w:r>
        <w:rPr>
          <w:rFonts w:ascii="Arial" w:eastAsia="Arial" w:hAnsi="Arial" w:cs="Arial"/>
          <w:b/>
          <w:bCs/>
          <w:color w:val="1F4E79"/>
          <w:sz w:val="24"/>
          <w:szCs w:val="24"/>
        </w:rPr>
        <w:lastRenderedPageBreak/>
        <w:t>B. Inconsistencias detectadas en el pliego - Se solicita aclaración oficial</w:t>
      </w:r>
    </w:p>
    <w:p w14:paraId="3F8E9DAC" w14:textId="77777777" w:rsidR="00024037" w:rsidRDefault="001A61EC">
      <w:pPr>
        <w:spacing w:before="80" w:after="80"/>
      </w:pPr>
      <w:r>
        <w:rPr>
          <w:rFonts w:ascii="Arial" w:eastAsia="Arial" w:hAnsi="Arial" w:cs="Arial"/>
          <w:sz w:val="18"/>
          <w:szCs w:val="18"/>
        </w:rPr>
        <w:t>Las siguientes observaciones identifican contradicciones entre documentos del mismo proceso licitatorio. Se solicita a PAMPA ENERGÍA S.A. una aclaración formal que indique qué documento prevalece en cada caso, a fin de garantizar que todas las ofertas se formulen sobre las mismas bases.</w:t>
      </w:r>
    </w:p>
    <w:p w14:paraId="5D43AA5F" w14:textId="77777777" w:rsidR="00024037" w:rsidRDefault="0002403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
        <w:gridCol w:w="1381"/>
        <w:gridCol w:w="2412"/>
        <w:gridCol w:w="5078"/>
      </w:tblGrid>
      <w:tr w:rsidR="00024037" w14:paraId="04601348" w14:textId="77777777">
        <w:trPr>
          <w:tblHeader/>
        </w:trPr>
        <w:tc>
          <w:tcPr>
            <w:tcW w:w="5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07EBE504" w14:textId="77777777" w:rsidR="00024037" w:rsidRDefault="001A61EC">
            <w:pPr>
              <w:jc w:val="center"/>
            </w:pPr>
            <w:r>
              <w:rPr>
                <w:rFonts w:ascii="Arial" w:eastAsia="Arial" w:hAnsi="Arial" w:cs="Arial"/>
                <w:b/>
                <w:bCs/>
                <w:color w:val="FFFFFF"/>
                <w:sz w:val="18"/>
                <w:szCs w:val="18"/>
              </w:rPr>
              <w:t>#</w:t>
            </w:r>
          </w:p>
        </w:tc>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FBD9082" w14:textId="77777777" w:rsidR="00024037" w:rsidRDefault="001A61EC">
            <w:pPr>
              <w:jc w:val="center"/>
            </w:pPr>
            <w:r>
              <w:rPr>
                <w:rFonts w:ascii="Arial" w:eastAsia="Arial" w:hAnsi="Arial" w:cs="Arial"/>
                <w:b/>
                <w:bCs/>
                <w:color w:val="FFFFFF"/>
                <w:sz w:val="18"/>
                <w:szCs w:val="18"/>
              </w:rPr>
              <w:t>Tipo</w:t>
            </w:r>
          </w:p>
        </w:tc>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265DC510" w14:textId="77777777" w:rsidR="00024037" w:rsidRDefault="001A61EC">
            <w:pPr>
              <w:jc w:val="center"/>
            </w:pPr>
            <w:r>
              <w:rPr>
                <w:rFonts w:ascii="Arial" w:eastAsia="Arial" w:hAnsi="Arial" w:cs="Arial"/>
                <w:b/>
                <w:bCs/>
                <w:color w:val="FFFFFF"/>
                <w:sz w:val="18"/>
                <w:szCs w:val="18"/>
              </w:rPr>
              <w:t>Documentos en conflicto</w:t>
            </w:r>
          </w:p>
        </w:tc>
        <w:tc>
          <w:tcPr>
            <w:tcW w:w="5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65DB7C6" w14:textId="77777777" w:rsidR="00024037" w:rsidRDefault="001A61EC">
            <w:pPr>
              <w:jc w:val="center"/>
            </w:pPr>
            <w:r>
              <w:rPr>
                <w:rFonts w:ascii="Arial" w:eastAsia="Arial" w:hAnsi="Arial" w:cs="Arial"/>
                <w:b/>
                <w:bCs/>
                <w:color w:val="FFFFFF"/>
                <w:sz w:val="18"/>
                <w:szCs w:val="18"/>
              </w:rPr>
              <w:t>Descripción de la inconsistencia y pregunta</w:t>
            </w:r>
          </w:p>
        </w:tc>
      </w:tr>
      <w:tr>
        <w:tc>
          <w:tcPr>
            <w:tcW w:type="dxa" w:w="489"/>
          </w:tcPr>
          <w:p>
            <w:r>
              <w:t>11</w:t>
            </w:r>
          </w:p>
        </w:tc>
        <w:tc>
          <w:tcPr>
            <w:tcW w:type="dxa" w:w="1381"/>
          </w:tcPr>
          <w:p>
            <w:r>
              <w:t>Omisión en Planilla de Cotización</w:t>
            </w:r>
          </w:p>
        </w:tc>
        <w:tc>
          <w:tcPr>
            <w:tcW w:type="dxa" w:w="2412"/>
          </w:tcPr>
          <w:p>
            <w:r>
              <w:t>Anexo C. Pliego técnico.pdf, Anexo D. Hoja de cotizacion.xlsx</w:t>
              <w:br/>
              <w:t>Pág: Anexo C pág. 4-5 y Anexo D</w:t>
              <w:br/>
              <w:t>"excepto aquellas indicadas y solicitadas equipos extraordinarios, mediante precios unitarios en el punto 5."</w:t>
            </w:r>
          </w:p>
        </w:tc>
        <w:tc>
          <w:tcPr>
            <w:tcW w:type="dxa" w:w="5078"/>
          </w:tcPr>
          <w:p>
            <w:r>
              <w:t>El Pliego Técnico exige cotizar precios unitarios para equipos extraordinarios (plataforma Z de 12m, grúas &lt;= 8t, plasma) y el Canon Fijo Mensual de Guardias, pero el archivo Anexo D (Excel) carece de ítems y campos para volcar dichos montos.</w:t>
            </w:r>
          </w:p>
        </w:tc>
      </w:tr>
      <w:tr>
        <w:tc>
          <w:tcPr>
            <w:tcW w:type="dxa" w:w="489"/>
          </w:tcPr>
          <w:p>
            <w:r>
              <w:t>12</w:t>
            </w:r>
          </w:p>
        </w:tc>
        <w:tc>
          <w:tcPr>
            <w:tcW w:type="dxa" w:w="1381"/>
          </w:tcPr>
          <w:p>
            <w:r>
              <w:t>Contradicción Contractual</w:t>
            </w:r>
          </w:p>
        </w:tc>
        <w:tc>
          <w:tcPr>
            <w:tcW w:type="dxa" w:w="2412"/>
          </w:tcPr>
          <w:p>
            <w:r>
              <w:t>Anexo C. Pliego técnico.pdf, Manual de Contratistas Raizen-LDT v2026.pdf</w:t>
              <w:br/>
              <w:t>Pág: Anexo C pág. 5 y Manual Pág. 18</w:t>
              <w:br/>
              <w:t>"En cada caso se cotización el precio en pesos por hora hombre. No se aplicarán coeficientes de corrección de ningún tipo... vs ...Ajuste de precios: El Oferente tendrá que presentar la fórmula de ajuste"</w:t>
            </w:r>
          </w:p>
        </w:tc>
        <w:tc>
          <w:tcPr>
            <w:tcW w:type="dxa" w:w="5078"/>
          </w:tcPr>
          <w:p>
            <w:r>
              <w:t>El Anexo C explicita que no se aplicará ningún tipo de coeficiente de corrección en las tarifas cotizadas, mientras que el Manual de Contratistas y el Anexo D establecen un sistema de ajuste de precios con frecuencia semestral por fórmula polinómica.</w:t>
            </w:r>
          </w:p>
        </w:tc>
      </w:tr>
      <w:tr>
        <w:tc>
          <w:tcPr>
            <w:tcW w:type="dxa" w:w="489"/>
          </w:tcPr>
          <w:p>
            <w:r>
              <w:t>13</w:t>
            </w:r>
          </w:p>
        </w:tc>
        <w:tc>
          <w:tcPr>
            <w:tcW w:type="dxa" w:w="1381"/>
          </w:tcPr>
          <w:p>
            <w:r>
              <w:t>Contradicción Operativa / Restricción Horaria</w:t>
            </w:r>
          </w:p>
        </w:tc>
        <w:tc>
          <w:tcPr>
            <w:tcW w:type="dxa" w:w="2412"/>
          </w:tcPr>
          <w:p>
            <w:r>
              <w:t>Anexo C. Pliego técnico.pdf, Anexo D. Hoja de cotizacion.xlsx</w:t>
              <w:br/>
              <w:t>Pág: Anexo C pág. 3 y Anexo D ítem 16</w:t>
              <w:br/>
              <w:t>"Disponibilidad Full Time, según necesidades de planta... En caso que la eventualidad lo requiera, la empresa deberá presentarse en planta Arroyo Seco lo antes posible... vs ...En todos los casos se deberán mantener que las jornadas no superen las 12 hs de trabajo y los descansos ente el fin de una jornada y inicio de la siguiene deben ser de 12 hs."</w:t>
            </w:r>
          </w:p>
        </w:tc>
        <w:tc>
          <w:tcPr>
            <w:tcW w:type="dxa" w:w="5078"/>
          </w:tcPr>
          <w:p>
            <w:r>
              <w:t>El pedido de disponibilidad 'Full Time' y atención de guardia fuera de jornada para emergencias entra en conflicto con la restricción del Anexo D que prohíbe terminantemente jornadas superiores a 12 horas y exige 12 horas de descanso continuas entre turnos.</w:t>
            </w:r>
          </w:p>
        </w:tc>
      </w:tr>
      <w:tr>
        <w:tc>
          <w:tcPr>
            <w:tcW w:type="dxa" w:w="489"/>
          </w:tcPr>
          <w:p>
            <w:r>
              <w:t>14</w:t>
            </w:r>
          </w:p>
        </w:tc>
        <w:tc>
          <w:tcPr>
            <w:tcW w:type="dxa" w:w="1381"/>
          </w:tcPr>
          <w:p>
            <w:r>
              <w:t>Incongruencia de Mantenimiento y Provisión de Grúas</w:t>
            </w:r>
          </w:p>
        </w:tc>
        <w:tc>
          <w:tcPr>
            <w:tcW w:type="dxa" w:w="2412"/>
          </w:tcPr>
          <w:p>
            <w:r>
              <w:t>Anexo C. Pliego técnico.pdf</w:t>
              <w:br/>
              <w:t>Pág: Anexo C pág. 3 y pág. 4</w:t>
              <w:br/>
              <w:t>"En los casos en que la tarea requiera algún elemento no previsto en la provisión del contratista (grúas de más de 8 toneladas), este se encargará de programar y coordinar para que la supervisión de Raizen se los provea. vs Equipos extraordinarios. Equipos de izaje (grúas)."</w:t>
            </w:r>
          </w:p>
        </w:tc>
        <w:tc>
          <w:tcPr>
            <w:tcW w:type="dxa" w:w="5078"/>
          </w:tcPr>
          <w:p>
            <w:r>
              <w:t>El pliego establece en la pág. 3 que Raízen proveerá las grúas de más de 8 toneladas, asignando al contratista la provisión de grúas de hasta 8t como 'equipo extraordinario', pero luego no incluye procedimiento tarifario para el reconocimiento del alquiler de grúas &lt;= 8t.</w:t>
            </w:r>
          </w:p>
        </w:tc>
      </w:tr>
      <w:tr>
        <w:tc>
          <w:tcPr>
            <w:tcW w:type="dxa" w:w="489"/>
          </w:tcPr>
          <w:p>
            <w:r>
              <w:t>15</w:t>
            </w:r>
          </w:p>
        </w:tc>
        <w:tc>
          <w:tcPr>
            <w:tcW w:type="dxa" w:w="1381"/>
          </w:tcPr>
          <w:p>
            <w:r>
              <w:t>Vicio Legal / Deducción Unilateral</w:t>
            </w:r>
          </w:p>
        </w:tc>
        <w:tc>
          <w:tcPr>
            <w:tcW w:type="dxa" w:w="2412"/>
          </w:tcPr>
          <w:p>
            <w:r>
              <w:t>Anexo C. Pliego técnico.pdf</w:t>
              <w:br/>
              <w:t>Pág: Anexo C pág. 7</w:t>
              <w:br/>
              <w:t>"Raízen exigirá su reemplazo sin derecho a reclamo alguno por parte del Contratista y realizará el descuento de las horas por trabajos mal desempeñados, desperdicio de materiales como pinturas, virutas etc."</w:t>
            </w:r>
          </w:p>
        </w:tc>
        <w:tc>
          <w:tcPr>
            <w:tcW w:type="dxa" w:w="5078"/>
          </w:tcPr>
          <w:p>
            <w:r>
              <w:t>Cláusula abusiva que impone el descuento unilateral de certificación de horas hombre bajo criterios indeterminados de 'mal desempeño' o 'desperdicio de materiales', omitiendo el debido proceso de verificación, auditoría técnica o descargos.</w:t>
            </w:r>
          </w:p>
        </w:tc>
      </w:tr>
    </w:tbl>
    <w:p w14:paraId="3F40F8FF" w14:textId="77777777" w:rsidR="00024037" w:rsidRDefault="00024037">
      <w:pPr>
        <w:spacing w:before="240"/>
      </w:pPr>
    </w:p>
    <w:p w14:paraId="3A9D31B1" w14:textId="77777777" w:rsidR="00024037" w:rsidRDefault="001A61EC">
      <w:pPr>
        <w:spacing w:before="80" w:after="80"/>
      </w:pPr>
      <w:r>
        <w:rPr>
          <w:rFonts w:ascii="Arial" w:eastAsia="Arial" w:hAnsi="Arial" w:cs="Arial"/>
          <w:sz w:val="18"/>
          <w:szCs w:val="18"/>
        </w:rPr>
        <w:t>Sin otro particular, quedamos a disposición para cualquier aclaración adicional.</w:t>
      </w:r>
    </w:p>
    <w:sectPr w:rsidR="0002403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74F37"/>
    <w:multiLevelType w:val="hybridMultilevel"/>
    <w:tmpl w:val="B35A1E50"/>
    <w:lvl w:ilvl="0" w:tplc="6E7C072C">
      <w:start w:val="1"/>
      <w:numFmt w:val="bullet"/>
      <w:lvlText w:val="●"/>
      <w:lvlJc w:val="left"/>
      <w:pPr>
        <w:ind w:left="720" w:hanging="360"/>
      </w:pPr>
    </w:lvl>
    <w:lvl w:ilvl="1" w:tplc="7B0C1B28">
      <w:start w:val="1"/>
      <w:numFmt w:val="bullet"/>
      <w:lvlText w:val="○"/>
      <w:lvlJc w:val="left"/>
      <w:pPr>
        <w:ind w:left="1440" w:hanging="360"/>
      </w:pPr>
    </w:lvl>
    <w:lvl w:ilvl="2" w:tplc="56C09056">
      <w:start w:val="1"/>
      <w:numFmt w:val="bullet"/>
      <w:lvlText w:val="■"/>
      <w:lvlJc w:val="left"/>
      <w:pPr>
        <w:ind w:left="2160" w:hanging="360"/>
      </w:pPr>
    </w:lvl>
    <w:lvl w:ilvl="3" w:tplc="CD4EE374">
      <w:start w:val="1"/>
      <w:numFmt w:val="bullet"/>
      <w:lvlText w:val="●"/>
      <w:lvlJc w:val="left"/>
      <w:pPr>
        <w:ind w:left="2880" w:hanging="360"/>
      </w:pPr>
    </w:lvl>
    <w:lvl w:ilvl="4" w:tplc="98047DDC">
      <w:start w:val="1"/>
      <w:numFmt w:val="bullet"/>
      <w:lvlText w:val="○"/>
      <w:lvlJc w:val="left"/>
      <w:pPr>
        <w:ind w:left="3600" w:hanging="360"/>
      </w:pPr>
    </w:lvl>
    <w:lvl w:ilvl="5" w:tplc="E0084D38">
      <w:start w:val="1"/>
      <w:numFmt w:val="bullet"/>
      <w:lvlText w:val="■"/>
      <w:lvlJc w:val="left"/>
      <w:pPr>
        <w:ind w:left="4320" w:hanging="360"/>
      </w:pPr>
    </w:lvl>
    <w:lvl w:ilvl="6" w:tplc="AD540670">
      <w:start w:val="1"/>
      <w:numFmt w:val="bullet"/>
      <w:lvlText w:val="●"/>
      <w:lvlJc w:val="left"/>
      <w:pPr>
        <w:ind w:left="5040" w:hanging="360"/>
      </w:pPr>
    </w:lvl>
    <w:lvl w:ilvl="7" w:tplc="769CC6A4">
      <w:start w:val="1"/>
      <w:numFmt w:val="bullet"/>
      <w:lvlText w:val="●"/>
      <w:lvlJc w:val="left"/>
      <w:pPr>
        <w:ind w:left="5760" w:hanging="360"/>
      </w:pPr>
    </w:lvl>
    <w:lvl w:ilvl="8" w:tplc="1E96D490">
      <w:start w:val="1"/>
      <w:numFmt w:val="bullet"/>
      <w:lvlText w:val="●"/>
      <w:lvlJc w:val="left"/>
      <w:pPr>
        <w:ind w:left="6480" w:hanging="360"/>
      </w:pPr>
    </w:lvl>
  </w:abstractNum>
  <w:num w:numId="1" w16cid:durableId="1114866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037"/>
    <w:rsid w:val="00024037"/>
    <w:rsid w:val="0003404F"/>
    <w:rsid w:val="001A61EC"/>
    <w:rsid w:val="00240001"/>
    <w:rsid w:val="00AF0592"/>
    <w:rsid w:val="00B07118"/>
    <w:rsid w:val="00CE77C2"/>
    <w:rsid w:val="00D9301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2EAC3"/>
  <w15:docId w15:val="{343D6937-6E9E-4645-B345-ED5167C42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ED3DDA1174714AA8A0ADD53719743E" ma:contentTypeVersion="10" ma:contentTypeDescription="Crear nuevo documento." ma:contentTypeScope="" ma:versionID="ba225e06a36ee55f4dded745d06045e9">
  <xsd:schema xmlns:xsd="http://www.w3.org/2001/XMLSchema" xmlns:xs="http://www.w3.org/2001/XMLSchema" xmlns:p="http://schemas.microsoft.com/office/2006/metadata/properties" xmlns:ns2="7b6c7bf8-4ce7-4db2-81a6-3f2fb3ee6412" xmlns:ns3="cf1c41ac-5426-47ae-a216-78ef3a736f94" targetNamespace="http://schemas.microsoft.com/office/2006/metadata/properties" ma:root="true" ma:fieldsID="80cdbe2e6ba9db2b3b4464925d0e7b98" ns2:_="" ns3:_="">
    <xsd:import namespace="7b6c7bf8-4ce7-4db2-81a6-3f2fb3ee6412"/>
    <xsd:import namespace="cf1c41ac-5426-47ae-a216-78ef3a736f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6c7bf8-4ce7-4db2-81a6-3f2fb3ee64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05bde99-f911-48db-a36f-21ff87b478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1c41ac-5426-47ae-a216-78ef3a736f9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cd6f33e-8020-4e03-9a6f-497468dfdacc}" ma:internalName="TaxCatchAll" ma:showField="CatchAllData" ma:web="cf1c41ac-5426-47ae-a216-78ef3a736f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f1c41ac-5426-47ae-a216-78ef3a736f94" xsi:nil="true"/>
    <lcf76f155ced4ddcb4097134ff3c332f xmlns="7b6c7bf8-4ce7-4db2-81a6-3f2fb3ee641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B4613A-67D5-4F1A-8249-DBA7EE949A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6c7bf8-4ce7-4db2-81a6-3f2fb3ee6412"/>
    <ds:schemaRef ds:uri="cf1c41ac-5426-47ae-a216-78ef3a736f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31EF20-01F3-4B9B-A65D-1B1F99BEA44A}">
  <ds:schemaRefs>
    <ds:schemaRef ds:uri="http://schemas.microsoft.com/office/2006/metadata/properties"/>
    <ds:schemaRef ds:uri="http://schemas.microsoft.com/office/infopath/2007/PartnerControls"/>
    <ds:schemaRef ds:uri="cf1c41ac-5426-47ae-a216-78ef3a736f94"/>
    <ds:schemaRef ds:uri="7b6c7bf8-4ce7-4db2-81a6-3f2fb3ee6412"/>
  </ds:schemaRefs>
</ds:datastoreItem>
</file>

<file path=customXml/itemProps3.xml><?xml version="1.0" encoding="utf-8"?>
<ds:datastoreItem xmlns:ds="http://schemas.openxmlformats.org/officeDocument/2006/customXml" ds:itemID="{CC5AEAFE-C867-41CA-850F-9E08BF8CD3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1828</Words>
  <Characters>10056</Characters>
  <Application>Microsoft Office Word</Application>
  <DocSecurity>0</DocSecurity>
  <Lines>83</Lines>
  <Paragraphs>23</Paragraphs>
  <ScaleCrop>false</ScaleCrop>
  <Company/>
  <LinksUpToDate>false</LinksUpToDate>
  <CharactersWithSpaces>11861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Agustina Martinet</cp:lastModifiedBy>
  <cp:revision>6</cp:revision>
  <dcterms:created xsi:type="dcterms:W3CDTF">2026-07-06T18:21:00Z</dcterms:created>
  <dcterms:modified xsi:type="dcterms:W3CDTF">2026-07-09T18:52:00Z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0x01010018ED3DDA1174714AA8A0ADD53719743E</vt:lpwstr>
  </property>
</Properties>
</file>