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27409" w14:textId="0901BDFA" w:rsidR="00024037" w:rsidRDefault="001A61EC">
      <w:pPr>
        <w:spacing w:after="160"/>
      </w:pPr>
      <w:r>
        <w:rPr>
          <w:rFonts w:ascii="Arial" w:eastAsia="Arial" w:hAnsi="Arial" w:cs="Arial"/>
          <w:b/>
          <w:bCs/>
          <w:color w:val="1F4E79"/>
          <w:sz w:val="28"/>
          <w:szCs w:val="28"/>
        </w:rPr>
        <w:t>Consultas al pliego – Concurso Privado de Precios - Servicios de Obras Civiles Menores Planta Puerto General San Martín (PGSM)</w:t>
      </w:r>
      <w:r w:rsidR="00D93014">
        <w:rPr>
          <w:rFonts w:ascii="Arial" w:eastAsia="Arial" w:hAnsi="Arial" w:cs="Arial"/>
          <w:b/>
          <w:bCs/>
          <w:color w:val="1F4E79"/>
          <w:sz w:val="28"/>
          <w:szCs w:val="28"/>
        </w:rPr>
      </w:r>
      <w:r>
        <w:rPr>
          <w:rFonts w:ascii="Arial" w:eastAsia="Arial" w:hAnsi="Arial" w:cs="Arial"/>
          <w:b/>
          <w:bCs/>
          <w:color w:val="1F4E79"/>
          <w:sz w:val="28"/>
          <w:szCs w:val="28"/>
        </w:rPr>
      </w:r>
      <w:r w:rsidR="00D93014">
        <w:rPr>
          <w:rFonts w:ascii="Arial" w:eastAsia="Arial" w:hAnsi="Arial" w:cs="Arial"/>
          <w:b/>
          <w:bCs/>
          <w:color w:val="1F4E79"/>
          <w:sz w:val="28"/>
          <w:szCs w:val="28"/>
        </w:rPr>
      </w:r>
    </w:p>
    <w:p w14:paraId="02EA2D87" w14:textId="4299EC19" w:rsidR="00024037" w:rsidRDefault="001A61EC">
      <w:pPr>
        <w:spacing w:before="80" w:after="80"/>
      </w:pPr>
      <w:r>
        <w:rPr>
          <w:rFonts w:ascii="Arial" w:eastAsia="Arial" w:hAnsi="Arial" w:cs="Arial"/>
          <w:b/>
          <w:bCs/>
          <w:sz w:val="18"/>
          <w:szCs w:val="18"/>
        </w:rPr>
        <w:t>Contratante: PAMPA ENERGIA S.A.  Proceso: Licitación Servicios de Obras Civiles Menores Planta PGSM (N° de Oportunidad Ariba no informado en el cuerpo del pliego)     Moneda: Pesos Argentinos (ARS)</w:t>
      </w:r>
      <w:r w:rsidR="00B07118" w:rsidRPr="00B07118">
        <w:rPr>
          <w:rFonts w:ascii="Arial" w:eastAsia="Arial" w:hAnsi="Arial" w:cs="Arial"/>
          <w:b/>
          <w:bCs/>
          <w:sz w:val="18"/>
          <w:szCs w:val="18"/>
        </w:rPr>
      </w:r>
      <w:proofErr w:type="gramStart"/>
      <w:r w:rsidR="00B07118" w:rsidRPr="00B07118">
        <w:rPr>
          <w:rFonts w:ascii="Arial" w:eastAsia="Arial" w:hAnsi="Arial" w:cs="Arial"/>
          <w:b/>
          <w:bCs/>
          <w:sz w:val="18"/>
          <w:szCs w:val="18"/>
        </w:rPr>
      </w:r>
      <w:r w:rsidR="00B07118">
        <w:rPr>
          <w:rFonts w:ascii="Arial" w:eastAsia="Arial" w:hAnsi="Arial" w:cs="Arial"/>
          <w:b/>
          <w:bCs/>
          <w:sz w:val="18"/>
          <w:szCs w:val="18"/>
        </w:rPr>
      </w:r>
      <w:r>
        <w:rPr>
          <w:rFonts w:ascii="Arial" w:eastAsia="Arial" w:hAnsi="Arial" w:cs="Arial"/>
          <w:b/>
          <w:bCs/>
          <w:sz w:val="18"/>
          <w:szCs w:val="18"/>
        </w:rPr>
      </w:r>
      <w:proofErr w:type="gramEnd"/>
      <w:r>
        <w:rPr>
          <w:rFonts w:ascii="Arial" w:eastAsia="Arial" w:hAnsi="Arial" w:cs="Arial"/>
          <w:b/>
          <w:bCs/>
          <w:sz w:val="18"/>
          <w:szCs w:val="18"/>
        </w:rPr>
      </w:r>
      <w:r w:rsidR="00CE77C2" w:rsidRPr="00CE77C2">
        <w:rPr>
          <w:rFonts w:ascii="Arial" w:eastAsia="Arial" w:hAnsi="Arial" w:cs="Arial"/>
          <w:b/>
          <w:bCs/>
          <w:sz w:val="18"/>
          <w:szCs w:val="18"/>
        </w:rPr>
      </w:r>
      <w:proofErr w:type="gramStart"/>
      <w:r w:rsidR="00CE77C2" w:rsidRPr="00CE77C2">
        <w:rPr>
          <w:rFonts w:ascii="Arial" w:eastAsia="Arial" w:hAnsi="Arial" w:cs="Arial"/>
          <w:b/>
          <w:bCs/>
          <w:sz w:val="18"/>
          <w:szCs w:val="18"/>
        </w:rPr>
      </w:r>
      <w:r>
        <w:rPr>
          <w:rFonts w:ascii="Arial" w:eastAsia="Arial" w:hAnsi="Arial" w:cs="Arial"/>
          <w:sz w:val="18"/>
          <w:szCs w:val="18"/>
        </w:rPr>
      </w:r>
      <w:proofErr w:type="gramEnd"/>
      <w:r>
        <w:rPr>
          <w:rFonts w:ascii="Arial" w:eastAsia="Arial" w:hAnsi="Arial" w:cs="Arial"/>
          <w:sz w:val="18"/>
          <w:szCs w:val="18"/>
        </w:rPr>
      </w:r>
      <w:r>
        <w:rPr>
          <w:rFonts w:ascii="Arial" w:eastAsia="Arial" w:hAnsi="Arial" w:cs="Arial"/>
          <w:b/>
          <w:bCs/>
          <w:sz w:val="18"/>
          <w:szCs w:val="18"/>
        </w:rPr>
      </w:r>
      <w:r w:rsidR="00D93014" w:rsidRPr="001A61EC">
        <w:rPr>
          <w:rFonts w:ascii="Arial" w:eastAsia="Arial" w:hAnsi="Arial" w:cs="Arial"/>
          <w:b/>
          <w:bCs/>
          <w:sz w:val="18"/>
          <w:szCs w:val="18"/>
        </w:rPr>
      </w:r>
      <w:r w:rsidR="00D93014">
        <w:rPr>
          <w:rFonts w:ascii="Arial" w:eastAsia="Arial" w:hAnsi="Arial" w:cs="Arial"/>
          <w:b/>
          <w:bCs/>
          <w:sz w:val="18"/>
          <w:szCs w:val="18"/>
        </w:rPr>
      </w:r>
      <w:r w:rsidR="00D93014" w:rsidRPr="001A61EC">
        <w:rPr>
          <w:rFonts w:ascii="Arial" w:eastAsia="Arial" w:hAnsi="Arial" w:cs="Arial"/>
          <w:b/>
          <w:bCs/>
          <w:sz w:val="18"/>
          <w:szCs w:val="18"/>
        </w:rPr>
      </w:r>
    </w:p>
    <w:p w14:paraId="6CE1469E" w14:textId="7A1A1F1D" w:rsidR="00024037" w:rsidRDefault="001A61EC">
      <w:pPr>
        <w:spacing w:before="80" w:after="80"/>
      </w:pPr>
      <w:r>
        <w:rPr>
          <w:rFonts w:ascii="Arial" w:eastAsia="Arial" w:hAnsi="Arial" w:cs="Arial"/>
          <w:b/>
          <w:bCs/>
          <w:sz w:val="18"/>
          <w:szCs w:val="18"/>
        </w:rPr>
        <w:t>Planta: Planta Puerto General San Martín (PGSM)    Requirente: None Comprador: Tomás Ignacio Ortiz - Dirección de Abastecimientos y Servicios</w:t>
      </w:r>
      <w:r w:rsidR="00CE77C2" w:rsidRPr="00CE77C2">
        <w:rPr>
          <w:rFonts w:ascii="Arial" w:eastAsia="Arial" w:hAnsi="Arial" w:cs="Arial"/>
          <w:b/>
          <w:bCs/>
          <w:sz w:val="18"/>
          <w:szCs w:val="18"/>
        </w:rPr>
      </w:r>
      <w:r w:rsidR="00CE77C2">
        <w:rPr>
          <w:rFonts w:ascii="Arial" w:eastAsia="Arial" w:hAnsi="Arial" w:cs="Arial"/>
          <w:b/>
          <w:bCs/>
          <w:sz w:val="18"/>
          <w:szCs w:val="18"/>
        </w:rPr>
      </w:r>
      <w:proofErr w:type="gramStart"/>
      <w:r w:rsidR="00CE77C2" w:rsidRPr="00CE77C2">
        <w:rPr>
          <w:rFonts w:ascii="Arial" w:eastAsia="Arial" w:hAnsi="Arial" w:cs="Arial"/>
          <w:b/>
          <w:bCs/>
          <w:sz w:val="18"/>
          <w:szCs w:val="18"/>
        </w:rPr>
      </w:r>
      <w:r>
        <w:rPr>
          <w:rFonts w:ascii="Arial" w:eastAsia="Arial" w:hAnsi="Arial" w:cs="Arial"/>
          <w:sz w:val="18"/>
          <w:szCs w:val="18"/>
        </w:rPr>
      </w:r>
      <w:proofErr w:type="gramEnd"/>
      <w:r>
        <w:rPr>
          <w:rFonts w:ascii="Arial" w:eastAsia="Arial" w:hAnsi="Arial" w:cs="Arial"/>
          <w:sz w:val="18"/>
          <w:szCs w:val="18"/>
        </w:rPr>
      </w:r>
      <w:r>
        <w:rPr>
          <w:rFonts w:ascii="Arial" w:eastAsia="Arial" w:hAnsi="Arial" w:cs="Arial"/>
          <w:b/>
          <w:bCs/>
          <w:sz w:val="18"/>
          <w:szCs w:val="18"/>
        </w:rPr>
      </w:r>
      <w:r w:rsidR="00CE77C2" w:rsidRPr="00CE77C2">
        <w:rPr>
          <w:rFonts w:ascii="Arial" w:eastAsia="Arial" w:hAnsi="Arial" w:cs="Arial"/>
          <w:b/>
          <w:bCs/>
          <w:sz w:val="18"/>
          <w:szCs w:val="18"/>
        </w:rPr>
      </w:r>
      <w:r>
        <w:rPr>
          <w:rFonts w:ascii="Arial" w:eastAsia="Arial" w:hAnsi="Arial" w:cs="Arial"/>
          <w:b/>
          <w:bCs/>
          <w:sz w:val="18"/>
          <w:szCs w:val="18"/>
        </w:rPr>
      </w:r>
      <w:r w:rsidR="00CE77C2" w:rsidRPr="00CE77C2">
        <w:rPr>
          <w:rFonts w:ascii="Arial" w:eastAsia="Arial" w:hAnsi="Arial" w:cs="Arial"/>
          <w:b/>
          <w:bCs/>
          <w:sz w:val="18"/>
          <w:szCs w:val="18"/>
        </w:rPr>
      </w:r>
      <w:r w:rsidR="00CE77C2">
        <w:rPr>
          <w:rFonts w:ascii="Arial" w:eastAsia="Arial" w:hAnsi="Arial" w:cs="Arial"/>
          <w:b/>
          <w:bCs/>
          <w:sz w:val="18"/>
          <w:szCs w:val="18"/>
        </w:rPr>
      </w:r>
      <w:r>
        <w:rPr>
          <w:rFonts w:ascii="Arial" w:eastAsia="Arial" w:hAnsi="Arial" w:cs="Arial"/>
          <w:b/>
          <w:bCs/>
          <w:sz w:val="18"/>
          <w:szCs w:val="18"/>
        </w:rPr>
      </w:r>
      <w:r w:rsidRPr="001A61EC">
        <w:rPr>
          <w:rFonts w:ascii="Arial" w:eastAsia="Arial" w:hAnsi="Arial" w:cs="Arial"/>
          <w:b/>
          <w:bCs/>
          <w:sz w:val="18"/>
          <w:szCs w:val="18"/>
        </w:rPr>
      </w:r>
      <w:r>
        <w:rPr>
          <w:rFonts w:ascii="Arial" w:eastAsia="Arial" w:hAnsi="Arial" w:cs="Arial"/>
          <w:b/>
          <w:bCs/>
          <w:sz w:val="18"/>
          <w:szCs w:val="18"/>
        </w:rPr>
      </w:r>
      <w:r w:rsidRPr="001A61EC">
        <w:rPr>
          <w:rFonts w:ascii="Arial" w:eastAsia="Arial" w:hAnsi="Arial" w:cs="Arial"/>
          <w:b/>
          <w:bCs/>
          <w:sz w:val="18"/>
          <w:szCs w:val="18"/>
        </w:rPr>
      </w:r>
    </w:p>
    <w:p w14:paraId="6E7105B0" w14:textId="3EAE5841" w:rsidR="00024037" w:rsidRDefault="00D93014">
      <w:pPr>
        <w:spacing w:before="120"/>
      </w:pPr>
      <w:r w:rsidRPr="00D93014">
        <w:rPr>
          <w:rFonts w:ascii="Arial" w:eastAsia="Arial" w:hAnsi="Arial" w:cs="Arial"/>
          <w:sz w:val="18"/>
          <w:szCs w:val="18"/>
        </w:rPr>
        <w:t>Las siguientes consultas se formulan con referencia a los documentos del proceso licitatorio (2024 12 NOMINA DE EMPRESAS A INCLUIR.pdf, ANEXO A - PAMPA ENERGIA EXIGENCIAS DE SEGUROS A CONTRATISTAS V. 25.07.24.pdf, ANEXO B - Requisitos Laborales y Seg Soc para contratistas V 10 - 2025.pdf, Anexo B.1 - Guía de requisitos por tipo de contrato V 10 - 2025.pdf, Anexo B.2 - Alta de contratistas (V. 8 - 2025).xlsx, Anexo B.7 - Alta personal-recursos V 09_2020.xlsx, Anexo B.8 - Planilla de bajas de personal - V 09_2020.xlsx, Anexo B.9 - Apto de salud ocupacional (V. 13-2025).xlsx, ANEXO C - Condiciones de CSMS_0625.pdf, Aseguradoras SUGERIDAS 26-12-2024.pdf, ID 258 - GESTION DE RESIDUOS Y DERRAMES.pdf, ID 498 - POLITICA DE GESTION INTEGRADA.pdf, ID 5068 - PREVENCION Y CONTROL DE RIESGOS EN LA POLÍTICA.pdf, ID 5103 - POLÍTICA DE ALCOHOL, DROGAS Y SUSTANCIAS.pdf, ID 5813 a ID 5820 - Manual SPT Capítulos 1 a 8.pdf, ID 5944 - PRINCIPIOS DEL AMBIENTE.pdf, ID 6229 - REGLAS DE ORO DE SEGURIDAD Y SALUD.pdf, Indicaciones para cotizar acuerdo Obras Civiles Menores PGSM.docx, PAMPA - Cond.Grales de Obras 20190815v8.pdf, PAMPA EXIG SEG A CONTRATISTAS V. 26.12.24.pdf, Pauta de Redeterminación de tarifas.docx, Planilla de Cotización Obras Civiles Menores PGSM 2026.xlsx). Las respuestas pasarán a formar parte integrante del pliego.</w:t>
      </w:r>
    </w:p>
    <w:p w14:paraId="00F41EF0" w14:textId="77777777" w:rsidR="00024037" w:rsidRDefault="001A61EC">
      <w:pPr>
        <w:spacing w:before="240" w:after="160"/>
      </w:pPr>
      <w:r>
        <w:rPr>
          <w:rFonts w:ascii="Arial" w:eastAsia="Arial" w:hAnsi="Arial" w:cs="Arial"/>
          <w:b/>
          <w:bCs/>
          <w:color w:val="1F4E79"/>
          <w:sz w:val="24"/>
          <w:szCs w:val="24"/>
        </w:rPr>
        <w:t>A. Consultas técnicas, operativas y económicas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31"/>
        <w:gridCol w:w="2196"/>
        <w:gridCol w:w="5533"/>
      </w:tblGrid>
      <w:tr w:rsidR="00024037" w14:paraId="0422DF4A" w14:textId="77777777">
        <w:trPr>
          <w:tblHeader/>
        </w:trPr>
        <w:tc>
          <w:tcPr>
            <w:tcW w:w="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053832D" w14:textId="77777777" w:rsidR="00024037" w:rsidRDefault="001A61EC">
            <w:pPr>
              <w:jc w:val="center"/>
            </w:pPr>
            <w:r>
              <w:rPr>
                <w:rFonts w:ascii="Arial" w:eastAsia="Arial" w:hAnsi="Arial" w:cs="Arial"/>
                <w:b/>
                <w:bCs/>
                <w:color w:val="FFFFFF"/>
                <w:sz w:val="18"/>
                <w:szCs w:val="18"/>
              </w:rPr>
              <w:t>#</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EDC32B6" w14:textId="77777777" w:rsidR="00024037" w:rsidRDefault="001A61EC">
            <w:pPr>
              <w:jc w:val="center"/>
            </w:pPr>
            <w:r>
              <w:rPr>
                <w:rFonts w:ascii="Arial" w:eastAsia="Arial" w:hAnsi="Arial" w:cs="Arial"/>
                <w:b/>
                <w:bCs/>
                <w:color w:val="FFFFFF"/>
                <w:sz w:val="18"/>
                <w:szCs w:val="18"/>
              </w:rPr>
              <w:t>Categoría</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0923B89" w14:textId="77777777" w:rsidR="00024037" w:rsidRDefault="001A61EC">
            <w:pPr>
              <w:jc w:val="center"/>
            </w:pPr>
            <w:r>
              <w:rPr>
                <w:rFonts w:ascii="Arial" w:eastAsia="Arial" w:hAnsi="Arial" w:cs="Arial"/>
                <w:b/>
                <w:bCs/>
                <w:color w:val="FFFFFF"/>
                <w:sz w:val="18"/>
                <w:szCs w:val="18"/>
              </w:rPr>
              <w:t>Archivo / Punto de origen</w:t>
            </w:r>
          </w:p>
        </w:tc>
        <w:tc>
          <w:tcPr>
            <w:tcW w:w="5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502B691" w14:textId="77777777" w:rsidR="00024037" w:rsidRDefault="001A61EC">
            <w:pPr>
              <w:jc w:val="center"/>
            </w:pPr>
            <w:r>
              <w:rPr>
                <w:rFonts w:ascii="Arial" w:eastAsia="Arial" w:hAnsi="Arial" w:cs="Arial"/>
                <w:b/>
                <w:bCs/>
                <w:color w:val="FFFFFF"/>
                <w:sz w:val="18"/>
                <w:szCs w:val="18"/>
              </w:rPr>
              <w:t>Consulta</w:t>
            </w:r>
          </w:p>
        </w:tc>
      </w:tr>
      <w:tr>
        <w:tc>
          <w:tcPr>
            <w:tcW w:type="dxa" w:w="500"/>
          </w:tcPr>
          <w:p>
            <w:r>
              <w:t>1</w:t>
            </w:r>
          </w:p>
        </w:tc>
        <w:tc>
          <w:tcPr>
            <w:tcW w:type="dxa" w:w="1131"/>
          </w:tcPr>
          <w:p>
            <w:r>
              <w:t>Técnica</w:t>
            </w:r>
          </w:p>
        </w:tc>
        <w:tc>
          <w:tcPr>
            <w:tcW w:type="dxa" w:w="2196"/>
          </w:tcPr>
          <w:p>
            <w:r>
              <w:t>Planilla de Cotización Obras Civiles Menores PGSM 2026.xlsx</w:t>
              <w:br/>
              <w:t>Pág: Hoja Sheet1</w:t>
              <w:br/>
              <w:t>"Las cantidades detalladas son ESTIMATIVAS al efecto de la cotización. Las mismas no implican obligación de compra."</w:t>
            </w:r>
          </w:p>
        </w:tc>
        <w:tc>
          <w:tcPr>
            <w:tcW w:type="dxa" w:w="5533"/>
          </w:tcPr>
          <w:p>
            <w:r>
              <w:t>¿Existe un volumen mínimo garantizado de trabajos u órdenes de compra durante la vigencia del acuerdo de 2 años, o la totalidad de la contratación queda sujeta a demanda discrecional de Pampa Energía sin ningún piso de facturación garantizado?</w:t>
            </w:r>
          </w:p>
        </w:tc>
      </w:tr>
      <w:tr>
        <w:tc>
          <w:tcPr>
            <w:tcW w:type="dxa" w:w="500"/>
          </w:tcPr>
          <w:p>
            <w:r>
              <w:t>2</w:t>
            </w:r>
          </w:p>
        </w:tc>
        <w:tc>
          <w:tcPr>
            <w:tcW w:type="dxa" w:w="1131"/>
          </w:tcPr>
          <w:p>
            <w:r>
              <w:t>Operativa</w:t>
            </w:r>
          </w:p>
        </w:tc>
        <w:tc>
          <w:tcPr>
            <w:tcW w:type="dxa" w:w="2196"/>
          </w:tcPr>
          <w:p>
            <w:r>
              <w:t>ANEXO C - Condiciones de CSMS_0625.pdf</w:t>
              <w:br/>
              <w:t>Pág: 2</w:t>
              <w:br/>
              <w:t>"En el Legajo Técnico se encuentra identificada la categoría de la obra o servicio (Q1, Q2, Q3 y Q4) en función de su riesgo en CSMS."</w:t>
            </w:r>
          </w:p>
        </w:tc>
        <w:tc>
          <w:tcPr>
            <w:tcW w:type="dxa" w:w="5533"/>
          </w:tcPr>
          <w:p>
            <w:r>
              <w:t>¿Cuál es el Nivel de Riesgo CSMS (Q1 a Q4) asignado específicamente a los trabajos de obras civiles menores en PGSM, dado que dicho legajo técnico no fue incluido en la documentación entregada?</w:t>
            </w:r>
          </w:p>
        </w:tc>
      </w:tr>
      <w:tr>
        <w:tc>
          <w:tcPr>
            <w:tcW w:type="dxa" w:w="500"/>
          </w:tcPr>
          <w:p>
            <w:r>
              <w:t>3</w:t>
            </w:r>
          </w:p>
        </w:tc>
        <w:tc>
          <w:tcPr>
            <w:tcW w:type="dxa" w:w="1131"/>
          </w:tcPr>
          <w:p>
            <w:r>
              <w:t>Económica</w:t>
            </w:r>
          </w:p>
        </w:tc>
        <w:tc>
          <w:tcPr>
            <w:tcW w:type="dxa" w:w="2196"/>
          </w:tcPr>
          <w:p>
            <w:r>
              <w:t>Indicaciones para cotizar acuerdo Obras Civiles Menores PGSM.docx</w:t>
              <w:br/>
              <w:t>Pág: 1</w:t>
              <w:br/>
              <w:t>"MODALIDAD DE PAGO: Certificaciones quincenales, pagaderas a 30 días fecha recepción factura."</w:t>
            </w:r>
          </w:p>
        </w:tc>
        <w:tc>
          <w:tcPr>
            <w:tcW w:type="dxa" w:w="5533"/>
          </w:tcPr>
          <w:p>
            <w:r>
              <w:t>¿La certificación quincenal reemplaza el régimen mensual (del 1 al 10 de cada mes) establecido en la Cláusula 13.3 de las Condiciones Generales de Obra, o ambas modalidades coexisten según el tipo de tarea?</w:t>
            </w:r>
          </w:p>
        </w:tc>
      </w:tr>
      <w:tr>
        <w:tc>
          <w:tcPr>
            <w:tcW w:type="dxa" w:w="500"/>
          </w:tcPr>
          <w:p>
            <w:r>
              <w:t>4</w:t>
            </w:r>
          </w:p>
        </w:tc>
        <w:tc>
          <w:tcPr>
            <w:tcW w:type="dxa" w:w="1131"/>
          </w:tcPr>
          <w:p>
            <w:r>
              <w:t>Económica</w:t>
            </w:r>
          </w:p>
        </w:tc>
        <w:tc>
          <w:tcPr>
            <w:tcW w:type="dxa" w:w="2196"/>
          </w:tcPr>
          <w:p>
            <w:r>
              <w:t>PAMPA - Cond.Grales de Obras 20190815v8.pdf</w:t>
              <w:br/>
              <w:t>Pág: 17</w:t>
              <w:br/>
              <w:t>"En caso de requerirse en las Condiciones Particulares del Concurso Privado de Precios, EL CONTRATISTA deberá constituir una Garantía de Fiel Cumplimiento..."</w:t>
            </w:r>
          </w:p>
        </w:tc>
        <w:tc>
          <w:tcPr>
            <w:tcW w:type="dxa" w:w="5533"/>
          </w:tcPr>
          <w:p>
            <w:r>
              <w:t>¿Se requiere para este acuerdo la constitución de Garantía de Fiel Cumplimiento (10%) y Garantía de Sustitución de Fondo de Reparo (10%)? De ser así, ¿sobre qué base se calcula dado que se trata de un acuerdo marco sin monto total fijo?</w:t>
            </w:r>
          </w:p>
        </w:tc>
      </w:tr>
      <w:tr>
        <w:tc>
          <w:tcPr>
            <w:tcW w:type="dxa" w:w="500"/>
          </w:tcPr>
          <w:p>
            <w:r>
              <w:t>5</w:t>
            </w:r>
          </w:p>
        </w:tc>
        <w:tc>
          <w:tcPr>
            <w:tcW w:type="dxa" w:w="1131"/>
          </w:tcPr>
          <w:p>
            <w:r>
              <w:t>Técnica</w:t>
            </w:r>
          </w:p>
        </w:tc>
        <w:tc>
          <w:tcPr>
            <w:tcW w:type="dxa" w:w="2196"/>
          </w:tcPr>
          <w:p>
            <w:r>
              <w:t>Planilla de Cotización Obras Civiles Menores PGSM 2026.xlsx</w:t>
              <w:br/>
              <w:t>Pág: Hoja Sheet1, fila 114-115</w:t>
              <w:br/>
              <w:t>"Valor CCT Uocra 76/75 Nacional Cat. Oficial - ZONA A adoptado para cotizar - DETALLAR / Valor índice CAC Materiales adoptado para cotizar - DETALLAR"</w:t>
            </w:r>
          </w:p>
        </w:tc>
        <w:tc>
          <w:tcPr>
            <w:tcW w:type="dxa" w:w="5533"/>
          </w:tcPr>
          <w:p>
            <w:r>
              <w:t>¿Pampa Energía proveerá un valor de referencia oficial de CCT UOCRA y del índice CAC vigente al momento de apertura, a fin de homogeneizar la base de comparación entre oferentes, o cada oferente definirá su propio valor de referencia?</w:t>
            </w:r>
          </w:p>
        </w:tc>
      </w:tr>
      <w:tr>
        <w:tc>
          <w:tcPr>
            <w:tcW w:type="dxa" w:w="500"/>
          </w:tcPr>
          <w:p>
            <w:r>
              <w:t>6</w:t>
            </w:r>
          </w:p>
        </w:tc>
        <w:tc>
          <w:tcPr>
            <w:tcW w:type="dxa" w:w="1131"/>
          </w:tcPr>
          <w:p>
            <w:r>
              <w:t>Operativa</w:t>
            </w:r>
          </w:p>
        </w:tc>
        <w:tc>
          <w:tcPr>
            <w:tcW w:type="dxa" w:w="2196"/>
          </w:tcPr>
          <w:p>
            <w:r>
              <w:t>Indicaciones para cotizar acuerdo Obras Civiles Menores PGSM.docx</w:t>
              <w:br/>
              <w:t>Pág: 1</w:t>
              <w:br/>
              <w:t>"VISITA A PLANTA: de carácter obligatorio. Contactar a Sr. Claudio Damiani"</w:t>
            </w:r>
          </w:p>
        </w:tc>
        <w:tc>
          <w:tcPr>
            <w:tcW w:type="dxa" w:w="5533"/>
          </w:tcPr>
          <w:p>
            <w:r>
              <w:t>¿Se establecerá una fecha única de visita conjunta para todos los oferentes o se coordinarán visitas individuales? ¿Cuál es el plazo límite para solicitar la visita antes del cierre de la oferta?</w:t>
            </w:r>
          </w:p>
        </w:tc>
      </w:tr>
      <w:tr>
        <w:tc>
          <w:tcPr>
            <w:tcW w:type="dxa" w:w="500"/>
          </w:tcPr>
          <w:p>
            <w:r>
              <w:t>7</w:t>
            </w:r>
          </w:p>
        </w:tc>
        <w:tc>
          <w:tcPr>
            <w:tcW w:type="dxa" w:w="1131"/>
          </w:tcPr>
          <w:p>
            <w:r>
              <w:t>Técnica</w:t>
            </w:r>
          </w:p>
        </w:tc>
        <w:tc>
          <w:tcPr>
            <w:tcW w:type="dxa" w:w="2196"/>
          </w:tcPr>
          <w:p>
            <w:r>
              <w:t>ID 5816 - MANUAL SPT_ CAPITULO 4 - TRABAJO EN ALTURA.pdf</w:t>
              <w:br/>
              <w:t>Pág: 5</w:t>
              <w:br/>
              <w:t>"Trabajos en altura: son todas las actividades o tareas programadas en las que una o más personas están expuestas al riesgo de caída desniveles iguales o superiores dos metros (2,0 metros)."</w:t>
            </w:r>
          </w:p>
        </w:tc>
        <w:tc>
          <w:tcPr>
            <w:tcW w:type="dxa" w:w="5533"/>
          </w:tcPr>
          <w:p>
            <w:r>
              <w:t>Dado que la planilla incluye ítems como colocación de tejido romboidal y persianas que podrían implicar trabajo en altura, ¿se exigirá habilitación específica de trabajo en altura y presentación de ATS/Permiso de Trabajo para estas tareas puntuales de bajo monto?</w:t>
            </w:r>
          </w:p>
        </w:tc>
      </w:tr>
      <w:tr>
        <w:tc>
          <w:tcPr>
            <w:tcW w:type="dxa" w:w="500"/>
          </w:tcPr>
          <w:p>
            <w:r>
              <w:t>8</w:t>
            </w:r>
          </w:p>
        </w:tc>
        <w:tc>
          <w:tcPr>
            <w:tcW w:type="dxa" w:w="1131"/>
          </w:tcPr>
          <w:p>
            <w:r>
              <w:t>Económica</w:t>
            </w:r>
          </w:p>
        </w:tc>
        <w:tc>
          <w:tcPr>
            <w:tcW w:type="dxa" w:w="2196"/>
          </w:tcPr>
          <w:p>
            <w:r>
              <w:t>Pauta de Redeterminación de tarifas.docx</w:t>
              <w:br/>
              <w:t>Pág: 1</w:t>
              <w:br/>
              <w:t>"Cuando exista una variación acumulada del diez por ciento (10%) en más o en menos de los costos del contratista..."</w:t>
            </w:r>
          </w:p>
        </w:tc>
        <w:tc>
          <w:tcPr>
            <w:tcW w:type="dxa" w:w="5533"/>
          </w:tcPr>
          <w:p>
            <w:r>
              <w:t>¿Cómo se demuestra fehacientemente la variación acumulada del 10% requerida para solicitar la redeterminación? ¿Se acepta la sola referencia a la publicación oficial de los índices CCT UOCRA y CAC o se requiere documentación adicional de respaldo de costos?</w:t>
            </w:r>
          </w:p>
        </w:tc>
      </w:tr>
      <w:tr>
        <w:tc>
          <w:tcPr>
            <w:tcW w:type="dxa" w:w="500"/>
          </w:tcPr>
          <w:p>
            <w:r>
              <w:t>9</w:t>
            </w:r>
          </w:p>
        </w:tc>
        <w:tc>
          <w:tcPr>
            <w:tcW w:type="dxa" w:w="1131"/>
          </w:tcPr>
          <w:p>
            <w:r>
              <w:t>Operativa</w:t>
            </w:r>
          </w:p>
        </w:tc>
        <w:tc>
          <w:tcPr>
            <w:tcW w:type="dxa" w:w="2196"/>
          </w:tcPr>
          <w:p>
            <w:r>
              <w:t>Anexo B.2 - Alta de contratistas (V. 8 - 2025).xlsx</w:t>
              <w:br/>
              <w:t>Pág: Hoja Datos del contrato</w:t>
              <w:br/>
              <w:t>"Aviso de Compra / contrato N°: ... (Ariba / Compra directa)"</w:t>
            </w:r>
          </w:p>
        </w:tc>
        <w:tc>
          <w:tcPr>
            <w:tcW w:type="dxa" w:w="5533"/>
          </w:tcPr>
          <w:p>
            <w:r>
              <w:t>¿Cuál es el número de Aviso de Compra / Contrato en Ariba correspondiente a esta licitación, necesario para completar el Anexo B.2 de Alta de Contrato?</w:t>
            </w:r>
          </w:p>
        </w:tc>
      </w:tr>
      <w:tr>
        <w:tc>
          <w:tcPr>
            <w:tcW w:type="dxa" w:w="500"/>
          </w:tcPr>
          <w:p>
            <w:r>
              <w:t>10</w:t>
            </w:r>
          </w:p>
        </w:tc>
        <w:tc>
          <w:tcPr>
            <w:tcW w:type="dxa" w:w="1131"/>
          </w:tcPr>
          <w:p>
            <w:r>
              <w:t>Legal</w:t>
            </w:r>
          </w:p>
        </w:tc>
        <w:tc>
          <w:tcPr>
            <w:tcW w:type="dxa" w:w="2196"/>
          </w:tcPr>
          <w:p>
            <w:r>
              <w:t>ANEXO A - PAMPA ENERGIA EXIGENCIAS DE SEGUROS A CONTRATISTAS V. 25.07.24.pdf / PAMPA EXIG SEG A CONTRATISTAS V. 26.12.24.pdf</w:t>
              <w:br/>
              <w:t>Pág: Portada de ambos documentos</w:t>
              <w:br/>
              <w:t>"EXIGENCIAS DE SEGUROS A CONTRATISTAS - 1 OBJETIVOS..."</w:t>
            </w:r>
          </w:p>
        </w:tc>
        <w:tc>
          <w:tcPr>
            <w:tcW w:type="dxa" w:w="5533"/>
          </w:tcPr>
          <w:p>
            <w:r>
              <w:t>Habiéndose entregado dos versiones del mismo estándar de seguros con fechas 25/07/2024 y 26/12/2024 y contenido divergente en al menos un monto de cobertura, ¿cuál de las dos versiones debe considerarse válida y vinculante para la presente cotización?</w:t>
            </w:r>
          </w:p>
        </w:tc>
      </w:tr>
      <w:tr>
        <w:tc>
          <w:tcPr>
            <w:tcW w:type="dxa" w:w="500"/>
          </w:tcPr>
          <w:p>
            <w:r>
              <w:t>11</w:t>
            </w:r>
          </w:p>
        </w:tc>
        <w:tc>
          <w:tcPr>
            <w:tcW w:type="dxa" w:w="1131"/>
          </w:tcPr>
          <w:p>
            <w:r>
              <w:t>Técnica</w:t>
            </w:r>
          </w:p>
        </w:tc>
        <w:tc>
          <w:tcPr>
            <w:tcW w:type="dxa" w:w="2196"/>
          </w:tcPr>
          <w:p>
            <w:r>
              <w:t>ANEXO B - Requisitos Laborales y Seg Soc para contratistas V 10 - 2025.pdf</w:t>
              <w:br/>
              <w:t>Pág: 6</w:t>
              <w:br/>
              <w:t>"Contratos 'Esporádicos'... Contratos 'A demanda'..."</w:t>
            </w:r>
          </w:p>
        </w:tc>
        <w:tc>
          <w:tcPr>
            <w:tcW w:type="dxa" w:w="5533"/>
          </w:tcPr>
          <w:p>
            <w:r>
              <w:t>Considerando que se trata de un acuerdo marco de 2 años con órdenes puntuales de obras civiles menores, ¿bajo qué categoría de control documental (Permanente, Programado, Esporádico o A demanda) se encuadrará el contrato a los fines de la periodicidad de presentación documental?</w:t>
            </w:r>
          </w:p>
        </w:tc>
      </w:tr>
      <w:tr>
        <w:tc>
          <w:tcPr>
            <w:tcW w:type="dxa" w:w="500"/>
          </w:tcPr>
          <w:p>
            <w:r>
              <w:t>12</w:t>
            </w:r>
          </w:p>
        </w:tc>
        <w:tc>
          <w:tcPr>
            <w:tcW w:type="dxa" w:w="1131"/>
          </w:tcPr>
          <w:p>
            <w:r>
              <w:t>Operativa</w:t>
            </w:r>
          </w:p>
        </w:tc>
        <w:tc>
          <w:tcPr>
            <w:tcW w:type="dxa" w:w="2196"/>
          </w:tcPr>
          <w:p>
            <w:r>
              <w:t>Varios (Anexo A, Anexo B, Anexo B.1, Anexo B.2, ANEXO C, Legajo Técnico)</w:t>
              <w:br/>
              <w:t>Pág: Múltiples</w:t>
              <w:br/>
              <w:t>"Anexo Cláusulas Adicionales (mencionado en Anexo A) / Legajo Técnico (mencionado en Anexo C) / N° de Aviso de Compra (mencionado en Anexo B.2)"</w:t>
            </w:r>
          </w:p>
        </w:tc>
        <w:tc>
          <w:tcPr>
            <w:tcW w:type="dxa" w:w="5533"/>
          </w:tcPr>
          <w:p>
            <w:r>
              <w:t>Se solicita a Compras remitir de forma consolidada la totalidad de los documentos faltantes referenciados pero no adjuntados en el pliego: (i) Anexo 'Cláusulas Adicionales' de Seguros, (ii) Legajo Técnico con definición de Nivel de Riesgo CSMS, (iii) Especificaciones Técnicas/planos de las obras civiles menores, (iv) N° de Aviso de Compra/Contrato definitivo, y (v) Listado de Aseguradoras sugeridas actualizado si difiere del provisto.</w:t>
            </w:r>
          </w:p>
        </w:tc>
      </w:tr>
    </w:tbl>
    <w:p w14:paraId="62DE6379" w14:textId="77777777" w:rsidR="00024037" w:rsidRDefault="00024037">
      <w:pPr>
        <w:spacing w:before="240"/>
      </w:pPr>
    </w:p>
    <w:p w14:paraId="089B0EAC" w14:textId="77777777" w:rsidR="00024037" w:rsidRDefault="001A61EC">
      <w:pPr>
        <w:spacing w:before="240" w:after="160"/>
      </w:pPr>
      <w:r>
        <w:rPr>
          <w:rFonts w:ascii="Arial" w:eastAsia="Arial" w:hAnsi="Arial" w:cs="Arial"/>
          <w:b/>
          <w:bCs/>
          <w:color w:val="1F4E79"/>
          <w:sz w:val="24"/>
          <w:szCs w:val="24"/>
        </w:rPr>
        <w:lastRenderedPageBreak/>
        <w:t>B. Inconsistencias detectadas en el pliego - Se solicita aclaración oficial</w:t>
      </w:r>
    </w:p>
    <w:p w14:paraId="3F8E9DAC" w14:textId="77777777" w:rsidR="00024037" w:rsidRDefault="001A61EC">
      <w:pPr>
        <w:spacing w:before="80" w:after="80"/>
      </w:pPr>
      <w:r>
        <w:rPr>
          <w:rFonts w:ascii="Arial" w:eastAsia="Arial" w:hAnsi="Arial" w:cs="Arial"/>
          <w:sz w:val="18"/>
          <w:szCs w:val="18"/>
        </w:rPr>
        <w:t>Las siguientes observaciones identifican contradicciones entre documentos del mismo proceso licitatorio. Se solicita a PAMPA ENERGÍA S.A. una aclaración formal que indique qué documento prevalece en cada caso, a fin de garantizar que todas las ofertas se formulen sobre las mismas bases.</w:t>
      </w:r>
    </w:p>
    <w:p w14:paraId="5D43AA5F" w14:textId="77777777" w:rsidR="00024037" w:rsidRDefault="0002403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
        <w:gridCol w:w="1381"/>
        <w:gridCol w:w="2412"/>
        <w:gridCol w:w="5078"/>
      </w:tblGrid>
      <w:tr w:rsidR="00024037" w14:paraId="04601348" w14:textId="77777777">
        <w:trPr>
          <w:tblHeader/>
        </w:trPr>
        <w:tc>
          <w:tcPr>
            <w:tcW w:w="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7EBE504" w14:textId="77777777" w:rsidR="00024037" w:rsidRDefault="001A61EC">
            <w:pPr>
              <w:jc w:val="center"/>
            </w:pPr>
            <w:r>
              <w:rPr>
                <w:rFonts w:ascii="Arial" w:eastAsia="Arial" w:hAnsi="Arial" w:cs="Arial"/>
                <w:b/>
                <w:bCs/>
                <w:color w:val="FFFFFF"/>
                <w:sz w:val="18"/>
                <w:szCs w:val="18"/>
              </w:rPr>
              <w:t>#</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FBD9082" w14:textId="77777777" w:rsidR="00024037" w:rsidRDefault="001A61EC">
            <w:pPr>
              <w:jc w:val="center"/>
            </w:pPr>
            <w:r>
              <w:rPr>
                <w:rFonts w:ascii="Arial" w:eastAsia="Arial" w:hAnsi="Arial" w:cs="Arial"/>
                <w:b/>
                <w:bCs/>
                <w:color w:val="FFFFFF"/>
                <w:sz w:val="18"/>
                <w:szCs w:val="18"/>
              </w:rPr>
              <w:t>Tipo</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65DC510" w14:textId="77777777" w:rsidR="00024037" w:rsidRDefault="001A61EC">
            <w:pPr>
              <w:jc w:val="center"/>
            </w:pPr>
            <w:r>
              <w:rPr>
                <w:rFonts w:ascii="Arial" w:eastAsia="Arial" w:hAnsi="Arial" w:cs="Arial"/>
                <w:b/>
                <w:bCs/>
                <w:color w:val="FFFFFF"/>
                <w:sz w:val="18"/>
                <w:szCs w:val="18"/>
              </w:rPr>
              <w:t>Documentos en conflicto</w:t>
            </w:r>
          </w:p>
        </w:tc>
        <w:tc>
          <w:tcPr>
            <w:tcW w:w="5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65DB7C6" w14:textId="77777777" w:rsidR="00024037" w:rsidRDefault="001A61EC">
            <w:pPr>
              <w:jc w:val="center"/>
            </w:pPr>
            <w:r>
              <w:rPr>
                <w:rFonts w:ascii="Arial" w:eastAsia="Arial" w:hAnsi="Arial" w:cs="Arial"/>
                <w:b/>
                <w:bCs/>
                <w:color w:val="FFFFFF"/>
                <w:sz w:val="18"/>
                <w:szCs w:val="18"/>
              </w:rPr>
              <w:t>Descripción de la inconsistencia y pregunta</w:t>
            </w:r>
          </w:p>
        </w:tc>
      </w:tr>
      <w:tr>
        <w:tc>
          <w:tcPr>
            <w:tcW w:type="dxa" w:w="489"/>
          </w:tcPr>
          <w:p>
            <w:r>
              <w:t>13</w:t>
            </w:r>
          </w:p>
        </w:tc>
        <w:tc>
          <w:tcPr>
            <w:tcW w:type="dxa" w:w="1381"/>
          </w:tcPr>
          <w:p>
            <w:r>
              <w:t>Contradicción</w:t>
            </w:r>
          </w:p>
        </w:tc>
        <w:tc>
          <w:tcPr>
            <w:tcW w:type="dxa" w:w="2412"/>
          </w:tcPr>
          <w:p>
            <w:r>
              <w:t>Indicaciones para cotizar acuerdo Obras Civiles Menores PGSM.docx, PAMPA - Cond.Grales de Obras 20190815v8.pdf</w:t>
              <w:br/>
              <w:t>Pág: 1 (Indicaciones) y 9-10 (Cond. Generales)</w:t>
              <w:br/>
              <w:t>"Certificaciones quincenales... / La presentación de los certificados en original y dos copias...se hará del 1 al 10 de cada mes."</w:t>
            </w:r>
          </w:p>
        </w:tc>
        <w:tc>
          <w:tcPr>
            <w:tcW w:type="dxa" w:w="5078"/>
          </w:tcPr>
          <w:p>
            <w:r>
              <w:t>Existe una contradicción directa entre la periodicidad de certificación indicada en las Indicaciones particulares (quincenal) y la periodicidad general contractual (mensual), lo que genera incertidumbre sobre el ciclo de facturación aplicable.</w:t>
            </w:r>
          </w:p>
        </w:tc>
      </w:tr>
      <w:tr>
        <w:tc>
          <w:tcPr>
            <w:tcW w:type="dxa" w:w="489"/>
          </w:tcPr>
          <w:p>
            <w:r>
              <w:t>14</w:t>
            </w:r>
          </w:p>
        </w:tc>
        <w:tc>
          <w:tcPr>
            <w:tcW w:type="dxa" w:w="1381"/>
          </w:tcPr>
          <w:p>
            <w:r>
              <w:t>Documentos Duplicados/Conflictivos</w:t>
            </w:r>
          </w:p>
        </w:tc>
        <w:tc>
          <w:tcPr>
            <w:tcW w:type="dxa" w:w="2412"/>
          </w:tcPr>
          <w:p>
            <w:r>
              <w:t>ANEXO A - PAMPA ENERGIA EXIGENCIAS DE SEGUROS A CONTRATISTAS V. 25.07.24.pdf, PAMPA EXIG SEG A CONTRATISTAS V. 26.12.24.pdf</w:t>
              <w:br/>
              <w:t>Pág: Documento completo (31 páginas cada uno)</w:t>
              <w:br/>
              <w:t>"EXIGENCIAS DE SEGUROS A CONTRATISTAS - 1 OBJETIVOS: Definir la documentación de seguros a presentar..."</w:t>
            </w:r>
          </w:p>
        </w:tc>
        <w:tc>
          <w:tcPr>
            <w:tcW w:type="dxa" w:w="5078"/>
          </w:tcPr>
          <w:p>
            <w:r>
              <w:t>Se entregaron dos versiones del mismo Anexo de Seguros con fechas distintas (25/07/2024 y 26/12/2024) sin indicación de cuál deroga a la otra, generando riesgo de aplicar coberturas o cláusulas obsoletas.</w:t>
            </w:r>
          </w:p>
        </w:tc>
      </w:tr>
      <w:tr>
        <w:tc>
          <w:tcPr>
            <w:tcW w:type="dxa" w:w="489"/>
          </w:tcPr>
          <w:p>
            <w:r>
              <w:t>15</w:t>
            </w:r>
          </w:p>
        </w:tc>
        <w:tc>
          <w:tcPr>
            <w:tcW w:type="dxa" w:w="1381"/>
          </w:tcPr>
          <w:p>
            <w:r>
              <w:t>Contradicción interna</w:t>
            </w:r>
          </w:p>
        </w:tc>
        <w:tc>
          <w:tcPr>
            <w:tcW w:type="dxa" w:w="2412"/>
          </w:tcPr>
          <w:p>
            <w:r>
              <w:t>ANEXO A / PAMPA EXIG SEG A CONTRATISTAS (sección CONDICIONES PARTICULARES vs INSURANCE REQUIREMENTS)</w:t>
              <w:br/>
              <w:t>Pág: 29 y 31</w:t>
              <w:br/>
              <w:t>"4- Automobile Liability Insurance: cubriendo vehículos propios... con límites de AR$ 10.000.000 para automóviles... [vs] Automobile Liability Insurance, covering all owned... at limits of ten million AR pesos ($ 19.000.000)"</w:t>
            </w:r>
          </w:p>
        </w:tc>
        <w:tc>
          <w:tcPr>
            <w:tcW w:type="dxa" w:w="5078"/>
          </w:tcPr>
          <w:p>
            <w:r>
              <w:t>Dentro del mismo documento, el monto de cobertura para vehículos livianos difiere entre la sección en español (texto '10.000.000' concuerda con la cifra) y la sección en inglés (texto 'ten million' pero cifra entre paréntesis indica '$19.000.000'), existiendo un error de transcripción que debe aclararse para no subasegurar o sobreexigir la póliza.</w:t>
            </w:r>
          </w:p>
        </w:tc>
      </w:tr>
      <w:tr>
        <w:tc>
          <w:tcPr>
            <w:tcW w:type="dxa" w:w="489"/>
          </w:tcPr>
          <w:p>
            <w:r>
              <w:t>16</w:t>
            </w:r>
          </w:p>
        </w:tc>
        <w:tc>
          <w:tcPr>
            <w:tcW w:type="dxa" w:w="1381"/>
          </w:tcPr>
          <w:p>
            <w:r>
              <w:t>Vacío / Falta de definición</w:t>
            </w:r>
          </w:p>
        </w:tc>
        <w:tc>
          <w:tcPr>
            <w:tcW w:type="dxa" w:w="2412"/>
          </w:tcPr>
          <w:p>
            <w:r>
              <w:t>ANEXO C - Condiciones de CSMS_0625.pdf, Planilla de Cotización / Indicaciones para cotizar</w:t>
              <w:br/>
              <w:t>Pág: 2 (Anexo C)</w:t>
              <w:br/>
              <w:t>"En el Legajo Técnico se encuentra identificada la categoría de la obra o servicio (Q1, Q2, Q3 y Q4) en función de su riesgo en CSMS."</w:t>
            </w:r>
          </w:p>
        </w:tc>
        <w:tc>
          <w:tcPr>
            <w:tcW w:type="dxa" w:w="5078"/>
          </w:tcPr>
          <w:p>
            <w:r>
              <w:t>El pliego entregado no incluye el Legajo Técnico que debería definir el Nivel de Riesgo CSMS de la obra, dato indispensable para determinar qué seguros (Anexo A) y qué documentación de personal/CSMS (Anexo B/C) resultan exigibles, generando una laguna que impide cotizar con precisión los costos de cumplimiento.</w:t>
            </w:r>
          </w:p>
        </w:tc>
      </w:tr>
      <w:tr>
        <w:tc>
          <w:tcPr>
            <w:tcW w:type="dxa" w:w="489"/>
          </w:tcPr>
          <w:p>
            <w:r>
              <w:t>17</w:t>
            </w:r>
          </w:p>
        </w:tc>
        <w:tc>
          <w:tcPr>
            <w:tcW w:type="dxa" w:w="1381"/>
          </w:tcPr>
          <w:p>
            <w:r>
              <w:t>Contradicción</w:t>
            </w:r>
          </w:p>
        </w:tc>
        <w:tc>
          <w:tcPr>
            <w:tcW w:type="dxa" w:w="2412"/>
          </w:tcPr>
          <w:p>
            <w:r>
              <w:t>PAMPA - Cond.Grales de Obras 20190815v8.pdf, Pauta de Redeterminación de tarifas.docx</w:t>
              <w:br/>
              <w:t>Pág: 3 (Cond. Grales, Cláusula 3)</w:t>
              <w:br/>
              <w:t>"no se reconocerán reajustes por variaciones de costos, salvo cuando expresamente se lo contemple en los documentos que forman parte del Concurso Privado de Precios [vs] Pauta de Redeterminación de tarifas: 60% Valor CCT Uocra... 40% Índice CAC Materiales"</w:t>
            </w:r>
          </w:p>
        </w:tc>
        <w:tc>
          <w:tcPr>
            <w:tcW w:type="dxa" w:w="5078"/>
          </w:tcPr>
          <w:p>
            <w:r>
              <w:t>Si bien la Pauta de Redeterminación habilitaría el ajuste, la cláusula general de no reconocimiento de reajustes salvo pacto expreso genera ambigüedad respecto a la jerarquía normativa entre ambos documentos y a si el mecanismo polinómico es plenamente exigible por el Contratista ante PAMPA.</w:t>
            </w:r>
          </w:p>
        </w:tc>
      </w:tr>
      <w:tr>
        <w:tc>
          <w:tcPr>
            <w:tcW w:type="dxa" w:w="489"/>
          </w:tcPr>
          <w:p>
            <w:r>
              <w:t>18</w:t>
            </w:r>
          </w:p>
        </w:tc>
        <w:tc>
          <w:tcPr>
            <w:tcW w:type="dxa" w:w="1381"/>
          </w:tcPr>
          <w:p>
            <w:r>
              <w:t>Vacío contractual</w:t>
            </w:r>
          </w:p>
        </w:tc>
        <w:tc>
          <w:tcPr>
            <w:tcW w:type="dxa" w:w="2412"/>
          </w:tcPr>
          <w:p>
            <w:r>
              <w:t>PAMPA - Cond.Grales de Obras 20190815v8.pdf, Indicaciones para cotizar acuerdo Obras Civiles Menores PGSM.docx</w:t>
              <w:br/>
              <w:t>Pág: 17 (Cond. Grales, Cláusula 17.1)</w:t>
              <w:br/>
              <w:t>"En caso de requerirse en las Condiciones Particulares del Concurso Privado de Precios, EL CONTRATISTA deberá constituir una Garantía de Fiel Cumplimiento..."</w:t>
            </w:r>
          </w:p>
        </w:tc>
        <w:tc>
          <w:tcPr>
            <w:tcW w:type="dxa" w:w="5078"/>
          </w:tcPr>
          <w:p>
            <w:r>
              <w:t>El documento de Indicaciones para cotizar no aclara si corresponde constituir la Garantía de Fiel Cumplimiento (10%) ni sobre qué base de cálculo (dado que se trata de un acuerdo marco sin monto total definido, sino con consumos por orden de compra), dejando abierta una obligación contractual de alto impacto económico sin parámetro claro de aplicación.</w:t>
            </w:r>
          </w:p>
        </w:tc>
      </w:tr>
    </w:tbl>
    <w:p w14:paraId="3F40F8FF" w14:textId="77777777" w:rsidR="00024037" w:rsidRDefault="00024037">
      <w:pPr>
        <w:spacing w:before="240"/>
      </w:pPr>
    </w:p>
    <w:p w14:paraId="3A9D31B1" w14:textId="77777777" w:rsidR="00024037" w:rsidRDefault="001A61EC">
      <w:pPr>
        <w:spacing w:before="80" w:after="80"/>
      </w:pPr>
      <w:r>
        <w:rPr>
          <w:rFonts w:ascii="Arial" w:eastAsia="Arial" w:hAnsi="Arial" w:cs="Arial"/>
          <w:sz w:val="18"/>
          <w:szCs w:val="18"/>
        </w:rPr>
        <w:t>Sin otro particular, quedamos a disposición para cualquier aclaración adicional.</w:t>
      </w:r>
    </w:p>
    <w:sectPr w:rsidR="000240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74F37"/>
    <w:multiLevelType w:val="hybridMultilevel"/>
    <w:tmpl w:val="B35A1E50"/>
    <w:lvl w:ilvl="0" w:tplc="6E7C072C">
      <w:start w:val="1"/>
      <w:numFmt w:val="bullet"/>
      <w:lvlText w:val="●"/>
      <w:lvlJc w:val="left"/>
      <w:pPr>
        <w:ind w:left="720" w:hanging="360"/>
      </w:pPr>
    </w:lvl>
    <w:lvl w:ilvl="1" w:tplc="7B0C1B28">
      <w:start w:val="1"/>
      <w:numFmt w:val="bullet"/>
      <w:lvlText w:val="○"/>
      <w:lvlJc w:val="left"/>
      <w:pPr>
        <w:ind w:left="1440" w:hanging="360"/>
      </w:pPr>
    </w:lvl>
    <w:lvl w:ilvl="2" w:tplc="56C09056">
      <w:start w:val="1"/>
      <w:numFmt w:val="bullet"/>
      <w:lvlText w:val="■"/>
      <w:lvlJc w:val="left"/>
      <w:pPr>
        <w:ind w:left="2160" w:hanging="360"/>
      </w:pPr>
    </w:lvl>
    <w:lvl w:ilvl="3" w:tplc="CD4EE374">
      <w:start w:val="1"/>
      <w:numFmt w:val="bullet"/>
      <w:lvlText w:val="●"/>
      <w:lvlJc w:val="left"/>
      <w:pPr>
        <w:ind w:left="2880" w:hanging="360"/>
      </w:pPr>
    </w:lvl>
    <w:lvl w:ilvl="4" w:tplc="98047DDC">
      <w:start w:val="1"/>
      <w:numFmt w:val="bullet"/>
      <w:lvlText w:val="○"/>
      <w:lvlJc w:val="left"/>
      <w:pPr>
        <w:ind w:left="3600" w:hanging="360"/>
      </w:pPr>
    </w:lvl>
    <w:lvl w:ilvl="5" w:tplc="E0084D38">
      <w:start w:val="1"/>
      <w:numFmt w:val="bullet"/>
      <w:lvlText w:val="■"/>
      <w:lvlJc w:val="left"/>
      <w:pPr>
        <w:ind w:left="4320" w:hanging="360"/>
      </w:pPr>
    </w:lvl>
    <w:lvl w:ilvl="6" w:tplc="AD540670">
      <w:start w:val="1"/>
      <w:numFmt w:val="bullet"/>
      <w:lvlText w:val="●"/>
      <w:lvlJc w:val="left"/>
      <w:pPr>
        <w:ind w:left="5040" w:hanging="360"/>
      </w:pPr>
    </w:lvl>
    <w:lvl w:ilvl="7" w:tplc="769CC6A4">
      <w:start w:val="1"/>
      <w:numFmt w:val="bullet"/>
      <w:lvlText w:val="●"/>
      <w:lvlJc w:val="left"/>
      <w:pPr>
        <w:ind w:left="5760" w:hanging="360"/>
      </w:pPr>
    </w:lvl>
    <w:lvl w:ilvl="8" w:tplc="1E96D490">
      <w:start w:val="1"/>
      <w:numFmt w:val="bullet"/>
      <w:lvlText w:val="●"/>
      <w:lvlJc w:val="left"/>
      <w:pPr>
        <w:ind w:left="6480" w:hanging="360"/>
      </w:pPr>
    </w:lvl>
  </w:abstractNum>
  <w:num w:numId="1" w16cid:durableId="111486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037"/>
    <w:rsid w:val="00024037"/>
    <w:rsid w:val="0003404F"/>
    <w:rsid w:val="001A61EC"/>
    <w:rsid w:val="00240001"/>
    <w:rsid w:val="00AF0592"/>
    <w:rsid w:val="00B07118"/>
    <w:rsid w:val="00CE77C2"/>
    <w:rsid w:val="00D930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2EAC3"/>
  <w15:docId w15:val="{343D6937-6E9E-4645-B345-ED5167C42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ED3DDA1174714AA8A0ADD53719743E" ma:contentTypeVersion="10" ma:contentTypeDescription="Crear nuevo documento." ma:contentTypeScope="" ma:versionID="ba225e06a36ee55f4dded745d06045e9">
  <xsd:schema xmlns:xsd="http://www.w3.org/2001/XMLSchema" xmlns:xs="http://www.w3.org/2001/XMLSchema" xmlns:p="http://schemas.microsoft.com/office/2006/metadata/properties" xmlns:ns2="7b6c7bf8-4ce7-4db2-81a6-3f2fb3ee6412" xmlns:ns3="cf1c41ac-5426-47ae-a216-78ef3a736f94" targetNamespace="http://schemas.microsoft.com/office/2006/metadata/properties" ma:root="true" ma:fieldsID="80cdbe2e6ba9db2b3b4464925d0e7b98" ns2:_="" ns3:_="">
    <xsd:import namespace="7b6c7bf8-4ce7-4db2-81a6-3f2fb3ee6412"/>
    <xsd:import namespace="cf1c41ac-5426-47ae-a216-78ef3a736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c7bf8-4ce7-4db2-81a6-3f2fb3ee64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05bde99-f911-48db-a36f-21ff87b478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1c41ac-5426-47ae-a216-78ef3a736f9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d6f33e-8020-4e03-9a6f-497468dfdacc}" ma:internalName="TaxCatchAll" ma:showField="CatchAllData" ma:web="cf1c41ac-5426-47ae-a216-78ef3a736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f1c41ac-5426-47ae-a216-78ef3a736f94" xsi:nil="true"/>
    <lcf76f155ced4ddcb4097134ff3c332f xmlns="7b6c7bf8-4ce7-4db2-81a6-3f2fb3ee641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B4613A-67D5-4F1A-8249-DBA7EE949A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6c7bf8-4ce7-4db2-81a6-3f2fb3ee6412"/>
    <ds:schemaRef ds:uri="cf1c41ac-5426-47ae-a216-78ef3a736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31EF20-01F3-4B9B-A65D-1B1F99BEA44A}">
  <ds:schemaRefs>
    <ds:schemaRef ds:uri="http://schemas.microsoft.com/office/2006/metadata/properties"/>
    <ds:schemaRef ds:uri="http://schemas.microsoft.com/office/infopath/2007/PartnerControls"/>
    <ds:schemaRef ds:uri="cf1c41ac-5426-47ae-a216-78ef3a736f94"/>
    <ds:schemaRef ds:uri="7b6c7bf8-4ce7-4db2-81a6-3f2fb3ee6412"/>
  </ds:schemaRefs>
</ds:datastoreItem>
</file>

<file path=customXml/itemProps3.xml><?xml version="1.0" encoding="utf-8"?>
<ds:datastoreItem xmlns:ds="http://schemas.openxmlformats.org/officeDocument/2006/customXml" ds:itemID="{CC5AEAFE-C867-41CA-850F-9E08BF8CD3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1828</Words>
  <Characters>10056</Characters>
  <Application>Microsoft Office Word</Application>
  <DocSecurity>0</DocSecurity>
  <Lines>83</Lines>
  <Paragraphs>23</Paragraphs>
  <ScaleCrop>false</ScaleCrop>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Agustina Martinet</cp:lastModifiedBy>
  <cp:revision>6</cp:revision>
  <dcterms:created xsi:type="dcterms:W3CDTF">2026-07-06T18:21:00Z</dcterms:created>
  <dcterms:modified xsi:type="dcterms:W3CDTF">2026-07-09T18:52:00Z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0x01010018ED3DDA1174714AA8A0ADD53719743E</vt:lpwstr>
  </property>
</Properties>
</file>