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27409" w14:textId="0901BDFA" w:rsidR="00024037" w:rsidRDefault="001A61EC">
      <w:pPr>
        <w:spacing w:after="160"/>
      </w:pPr>
      <w:r>
        <w:rPr>
          <w:rFonts w:ascii="Arial" w:eastAsia="Arial" w:hAnsi="Arial" w:cs="Arial"/>
          <w:b/>
          <w:bCs/>
          <w:color w:val="1F4E79"/>
          <w:sz w:val="28"/>
          <w:szCs w:val="28"/>
        </w:rPr>
        <w:t>Consultas al pliego – Servicio de Mantenimiento medios de Izaje 2026</w:t>
      </w:r>
      <w:r w:rsidR="00D93014">
        <w:rPr>
          <w:rFonts w:ascii="Arial" w:eastAsia="Arial" w:hAnsi="Arial" w:cs="Arial"/>
          <w:b/>
          <w:bCs/>
          <w:color w:val="1F4E79"/>
          <w:sz w:val="28"/>
          <w:szCs w:val="28"/>
        </w:rPr>
      </w:r>
      <w:r>
        <w:rPr>
          <w:rFonts w:ascii="Arial" w:eastAsia="Arial" w:hAnsi="Arial" w:cs="Arial"/>
          <w:b/>
          <w:bCs/>
          <w:color w:val="1F4E79"/>
          <w:sz w:val="28"/>
          <w:szCs w:val="28"/>
        </w:rPr>
      </w:r>
      <w:r w:rsidR="00D93014">
        <w:rPr>
          <w:rFonts w:ascii="Arial" w:eastAsia="Arial" w:hAnsi="Arial" w:cs="Arial"/>
          <w:b/>
          <w:bCs/>
          <w:color w:val="1F4E79"/>
          <w:sz w:val="28"/>
          <w:szCs w:val="28"/>
        </w:rPr>
      </w:r>
    </w:p>
    <w:p w14:paraId="02EA2D87" w14:textId="4299EC19" w:rsidR="00024037" w:rsidRDefault="001A61EC">
      <w:pPr>
        <w:spacing w:before="80" w:after="80"/>
      </w:pPr>
      <w:r>
        <w:rPr>
          <w:rFonts w:ascii="Arial" w:eastAsia="Arial" w:hAnsi="Arial" w:cs="Arial"/>
          <w:b/>
          <w:bCs/>
          <w:sz w:val="18"/>
          <w:szCs w:val="18"/>
        </w:rPr>
        <w:t>Contratante: Drean S.A. (el pliego también refiere a 'Mabe' y a 'KRONEN INTERNACIONAL S.A.' en distintas secciones - ver inconsistencias)  Proceso: Concurso privado de precios - Servicio de Mantenimiento de medios de Izaje 2026 (sin número de proceso explícito)     Moneda: None</w:t>
      </w:r>
      <w:r w:rsidR="00B07118" w:rsidRPr="00B07118">
        <w:rPr>
          <w:rFonts w:ascii="Arial" w:eastAsia="Arial" w:hAnsi="Arial" w:cs="Arial"/>
          <w:b/>
          <w:bCs/>
          <w:sz w:val="18"/>
          <w:szCs w:val="18"/>
        </w:rPr>
      </w:r>
      <w:proofErr w:type="gramStart"/>
      <w:r w:rsidR="00B07118" w:rsidRPr="00B07118">
        <w:rPr>
          <w:rFonts w:ascii="Arial" w:eastAsia="Arial" w:hAnsi="Arial" w:cs="Arial"/>
          <w:b/>
          <w:bCs/>
          <w:sz w:val="18"/>
          <w:szCs w:val="18"/>
        </w:rPr>
      </w:r>
      <w:r w:rsidR="00B07118">
        <w:rPr>
          <w:rFonts w:ascii="Arial" w:eastAsia="Arial" w:hAnsi="Arial" w:cs="Arial"/>
          <w:b/>
          <w:bCs/>
          <w:sz w:val="18"/>
          <w:szCs w:val="18"/>
        </w:rPr>
      </w:r>
      <w:r>
        <w:rPr>
          <w:rFonts w:ascii="Arial" w:eastAsia="Arial" w:hAnsi="Arial" w:cs="Arial"/>
          <w:b/>
          <w:bCs/>
          <w:sz w:val="18"/>
          <w:szCs w:val="18"/>
        </w:rPr>
      </w:r>
      <w:proofErr w:type="gramEnd"/>
      <w:r>
        <w:rPr>
          <w:rFonts w:ascii="Arial" w:eastAsia="Arial" w:hAnsi="Arial" w:cs="Arial"/>
          <w:b/>
          <w:bCs/>
          <w:sz w:val="18"/>
          <w:szCs w:val="18"/>
        </w:rPr>
      </w:r>
      <w:r w:rsidR="00CE77C2" w:rsidRPr="00CE77C2">
        <w:rPr>
          <w:rFonts w:ascii="Arial" w:eastAsia="Arial" w:hAnsi="Arial" w:cs="Arial"/>
          <w:b/>
          <w:bCs/>
          <w:sz w:val="18"/>
          <w:szCs w:val="18"/>
        </w:rPr>
      </w:r>
      <w:proofErr w:type="gramStart"/>
      <w:r w:rsidR="00CE77C2" w:rsidRPr="00CE77C2">
        <w:rPr>
          <w:rFonts w:ascii="Arial" w:eastAsia="Arial" w:hAnsi="Arial" w:cs="Arial"/>
          <w:b/>
          <w:bCs/>
          <w:sz w:val="18"/>
          <w:szCs w:val="18"/>
        </w:rPr>
      </w:r>
      <w:r>
        <w:rPr>
          <w:rFonts w:ascii="Arial" w:eastAsia="Arial" w:hAnsi="Arial" w:cs="Arial"/>
          <w:sz w:val="18"/>
          <w:szCs w:val="18"/>
        </w:rPr>
      </w:r>
      <w:proofErr w:type="gramEnd"/>
      <w:r>
        <w:rPr>
          <w:rFonts w:ascii="Arial" w:eastAsia="Arial" w:hAnsi="Arial" w:cs="Arial"/>
          <w:sz w:val="18"/>
          <w:szCs w:val="18"/>
        </w:rPr>
      </w:r>
      <w:r>
        <w:rPr>
          <w:rFonts w:ascii="Arial" w:eastAsia="Arial" w:hAnsi="Arial" w:cs="Arial"/>
          <w:b/>
          <w:bCs/>
          <w:sz w:val="18"/>
          <w:szCs w:val="18"/>
        </w:rPr>
      </w:r>
      <w:r w:rsidR="00D93014" w:rsidRPr="001A61EC">
        <w:rPr>
          <w:rFonts w:ascii="Arial" w:eastAsia="Arial" w:hAnsi="Arial" w:cs="Arial"/>
          <w:b/>
          <w:bCs/>
          <w:sz w:val="18"/>
          <w:szCs w:val="18"/>
        </w:rPr>
      </w:r>
      <w:r w:rsidR="00D93014">
        <w:rPr>
          <w:rFonts w:ascii="Arial" w:eastAsia="Arial" w:hAnsi="Arial" w:cs="Arial"/>
          <w:b/>
          <w:bCs/>
          <w:sz w:val="18"/>
          <w:szCs w:val="18"/>
        </w:rPr>
      </w:r>
      <w:r w:rsidR="00D93014" w:rsidRPr="001A61EC">
        <w:rPr>
          <w:rFonts w:ascii="Arial" w:eastAsia="Arial" w:hAnsi="Arial" w:cs="Arial"/>
          <w:b/>
          <w:bCs/>
          <w:sz w:val="18"/>
          <w:szCs w:val="18"/>
        </w:rPr>
      </w:r>
    </w:p>
    <w:p w14:paraId="6CE1469E" w14:textId="7A1A1F1D" w:rsidR="00024037" w:rsidRDefault="001A61EC">
      <w:pPr>
        <w:spacing w:before="80" w:after="80"/>
      </w:pPr>
      <w:r>
        <w:rPr>
          <w:rFonts w:ascii="Arial" w:eastAsia="Arial" w:hAnsi="Arial" w:cs="Arial"/>
          <w:b/>
          <w:bCs/>
          <w:sz w:val="18"/>
          <w:szCs w:val="18"/>
        </w:rPr>
        <w:t>Planta: Planta Luque - Av. Américo Alladio 325, Luque (provincia de Córdoba según texto) y Planta San Luis - Parque Industrial San Luis    Requirente: Augusto Coria - Área Mantenimiento e Ingeniería de Planta Comprador: None</w:t>
      </w:r>
      <w:r w:rsidR="00CE77C2" w:rsidRPr="00CE77C2">
        <w:rPr>
          <w:rFonts w:ascii="Arial" w:eastAsia="Arial" w:hAnsi="Arial" w:cs="Arial"/>
          <w:b/>
          <w:bCs/>
          <w:sz w:val="18"/>
          <w:szCs w:val="18"/>
        </w:rPr>
      </w:r>
      <w:r w:rsidR="00CE77C2">
        <w:rPr>
          <w:rFonts w:ascii="Arial" w:eastAsia="Arial" w:hAnsi="Arial" w:cs="Arial"/>
          <w:b/>
          <w:bCs/>
          <w:sz w:val="18"/>
          <w:szCs w:val="18"/>
        </w:rPr>
      </w:r>
      <w:proofErr w:type="gramStart"/>
      <w:r w:rsidR="00CE77C2" w:rsidRPr="00CE77C2">
        <w:rPr>
          <w:rFonts w:ascii="Arial" w:eastAsia="Arial" w:hAnsi="Arial" w:cs="Arial"/>
          <w:b/>
          <w:bCs/>
          <w:sz w:val="18"/>
          <w:szCs w:val="18"/>
        </w:rPr>
      </w:r>
      <w:r>
        <w:rPr>
          <w:rFonts w:ascii="Arial" w:eastAsia="Arial" w:hAnsi="Arial" w:cs="Arial"/>
          <w:sz w:val="18"/>
          <w:szCs w:val="18"/>
        </w:rPr>
      </w:r>
      <w:proofErr w:type="gramEnd"/>
      <w:r>
        <w:rPr>
          <w:rFonts w:ascii="Arial" w:eastAsia="Arial" w:hAnsi="Arial" w:cs="Arial"/>
          <w:sz w:val="18"/>
          <w:szCs w:val="18"/>
        </w:rPr>
      </w:r>
      <w:r>
        <w:rPr>
          <w:rFonts w:ascii="Arial" w:eastAsia="Arial" w:hAnsi="Arial" w:cs="Arial"/>
          <w:b/>
          <w:bCs/>
          <w:sz w:val="18"/>
          <w:szCs w:val="18"/>
        </w:rPr>
      </w:r>
      <w:r w:rsidR="00CE77C2" w:rsidRPr="00CE77C2">
        <w:rPr>
          <w:rFonts w:ascii="Arial" w:eastAsia="Arial" w:hAnsi="Arial" w:cs="Arial"/>
          <w:b/>
          <w:bCs/>
          <w:sz w:val="18"/>
          <w:szCs w:val="18"/>
        </w:rPr>
      </w:r>
      <w:r>
        <w:rPr>
          <w:rFonts w:ascii="Arial" w:eastAsia="Arial" w:hAnsi="Arial" w:cs="Arial"/>
          <w:b/>
          <w:bCs/>
          <w:sz w:val="18"/>
          <w:szCs w:val="18"/>
        </w:rPr>
      </w:r>
      <w:r w:rsidR="00CE77C2" w:rsidRPr="00CE77C2">
        <w:rPr>
          <w:rFonts w:ascii="Arial" w:eastAsia="Arial" w:hAnsi="Arial" w:cs="Arial"/>
          <w:b/>
          <w:bCs/>
          <w:sz w:val="18"/>
          <w:szCs w:val="18"/>
        </w:rPr>
      </w:r>
      <w:r w:rsidR="00CE77C2">
        <w:rPr>
          <w:rFonts w:ascii="Arial" w:eastAsia="Arial" w:hAnsi="Arial" w:cs="Arial"/>
          <w:b/>
          <w:bCs/>
          <w:sz w:val="18"/>
          <w:szCs w:val="18"/>
        </w:rPr>
      </w:r>
      <w:r>
        <w:rPr>
          <w:rFonts w:ascii="Arial" w:eastAsia="Arial" w:hAnsi="Arial" w:cs="Arial"/>
          <w:b/>
          <w:bCs/>
          <w:sz w:val="18"/>
          <w:szCs w:val="18"/>
        </w:rPr>
      </w:r>
      <w:r w:rsidRPr="001A61EC">
        <w:rPr>
          <w:rFonts w:ascii="Arial" w:eastAsia="Arial" w:hAnsi="Arial" w:cs="Arial"/>
          <w:b/>
          <w:bCs/>
          <w:sz w:val="18"/>
          <w:szCs w:val="18"/>
        </w:rPr>
      </w:r>
      <w:r>
        <w:rPr>
          <w:rFonts w:ascii="Arial" w:eastAsia="Arial" w:hAnsi="Arial" w:cs="Arial"/>
          <w:b/>
          <w:bCs/>
          <w:sz w:val="18"/>
          <w:szCs w:val="18"/>
        </w:rPr>
      </w:r>
      <w:r w:rsidRPr="001A61EC">
        <w:rPr>
          <w:rFonts w:ascii="Arial" w:eastAsia="Arial" w:hAnsi="Arial" w:cs="Arial"/>
          <w:b/>
          <w:bCs/>
          <w:sz w:val="18"/>
          <w:szCs w:val="18"/>
        </w:rPr>
      </w:r>
    </w:p>
    <w:p w14:paraId="6E7105B0" w14:textId="3EAE5841" w:rsidR="00024037" w:rsidRDefault="00D93014">
      <w:pPr>
        <w:spacing w:before="120"/>
      </w:pPr>
      <w:r w:rsidRPr="00D93014">
        <w:rPr>
          <w:rFonts w:ascii="Arial" w:eastAsia="Arial" w:hAnsi="Arial" w:cs="Arial"/>
          <w:sz w:val="18"/>
          <w:szCs w:val="18"/>
        </w:rPr>
        <w:t>Las siguientes consultas se formulan con referencia a los documentos del proceso licitatorio (Pliego - Mantenimiento medios de Izaje 2026.pdf, ANEXO - DOCUMENTACIÓN Y PROCEDIMIENTOS PARA PROVEEDORES Y CONTRATISTAS (mencionado como anexo pero no provisto en el texto analizado)). Las respuestas pasarán a formar parte integrante del pliego.</w:t>
      </w:r>
    </w:p>
    <w:p w14:paraId="00F41EF0" w14:textId="77777777" w:rsidR="00024037" w:rsidRDefault="001A61EC">
      <w:pPr>
        <w:spacing w:before="240" w:after="160"/>
      </w:pPr>
      <w:r>
        <w:rPr>
          <w:rFonts w:ascii="Arial" w:eastAsia="Arial" w:hAnsi="Arial" w:cs="Arial"/>
          <w:b/>
          <w:bCs/>
          <w:color w:val="1F4E79"/>
          <w:sz w:val="24"/>
          <w:szCs w:val="24"/>
        </w:rPr>
        <w:t>A. Consultas técnicas, operativas y económicas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131"/>
        <w:gridCol w:w="2196"/>
        <w:gridCol w:w="5533"/>
      </w:tblGrid>
      <w:tr w:rsidR="00024037" w14:paraId="0422DF4A" w14:textId="77777777">
        <w:trPr>
          <w:tblHeader/>
        </w:trPr>
        <w:tc>
          <w:tcPr>
            <w:tcW w:w="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3053832D" w14:textId="77777777" w:rsidR="00024037" w:rsidRDefault="001A61EC">
            <w:pPr>
              <w:jc w:val="center"/>
            </w:pPr>
            <w:r>
              <w:rPr>
                <w:rFonts w:ascii="Arial" w:eastAsia="Arial" w:hAnsi="Arial" w:cs="Arial"/>
                <w:b/>
                <w:bCs/>
                <w:color w:val="FFFFFF"/>
                <w:sz w:val="18"/>
                <w:szCs w:val="18"/>
              </w:rPr>
              <w:t>#</w:t>
            </w:r>
          </w:p>
        </w:tc>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EDC32B6" w14:textId="77777777" w:rsidR="00024037" w:rsidRDefault="001A61EC">
            <w:pPr>
              <w:jc w:val="center"/>
            </w:pPr>
            <w:r>
              <w:rPr>
                <w:rFonts w:ascii="Arial" w:eastAsia="Arial" w:hAnsi="Arial" w:cs="Arial"/>
                <w:b/>
                <w:bCs/>
                <w:color w:val="FFFFFF"/>
                <w:sz w:val="18"/>
                <w:szCs w:val="18"/>
              </w:rPr>
              <w:t>Categoría</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30923B89" w14:textId="77777777" w:rsidR="00024037" w:rsidRDefault="001A61EC">
            <w:pPr>
              <w:jc w:val="center"/>
            </w:pPr>
            <w:r>
              <w:rPr>
                <w:rFonts w:ascii="Arial" w:eastAsia="Arial" w:hAnsi="Arial" w:cs="Arial"/>
                <w:b/>
                <w:bCs/>
                <w:color w:val="FFFFFF"/>
                <w:sz w:val="18"/>
                <w:szCs w:val="18"/>
              </w:rPr>
              <w:t>Archivo / Punto de origen</w:t>
            </w:r>
          </w:p>
        </w:tc>
        <w:tc>
          <w:tcPr>
            <w:tcW w:w="5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502B691" w14:textId="77777777" w:rsidR="00024037" w:rsidRDefault="001A61EC">
            <w:pPr>
              <w:jc w:val="center"/>
            </w:pPr>
            <w:r>
              <w:rPr>
                <w:rFonts w:ascii="Arial" w:eastAsia="Arial" w:hAnsi="Arial" w:cs="Arial"/>
                <w:b/>
                <w:bCs/>
                <w:color w:val="FFFFFF"/>
                <w:sz w:val="18"/>
                <w:szCs w:val="18"/>
              </w:rPr>
              <w:t>Consulta</w:t>
            </w:r>
          </w:p>
        </w:tc>
      </w:tr>
      <w:tr>
        <w:tc>
          <w:tcPr>
            <w:tcW w:type="dxa" w:w="500"/>
          </w:tcPr>
          <w:p>
            <w:r>
              <w:t>1</w:t>
            </w:r>
          </w:p>
        </w:tc>
        <w:tc>
          <w:tcPr>
            <w:tcW w:type="dxa" w:w="1131"/>
          </w:tcPr>
          <w:p>
            <w:r>
              <w:t>Técnica</w:t>
            </w:r>
          </w:p>
        </w:tc>
        <w:tc>
          <w:tcPr>
            <w:tcW w:type="dxa" w:w="2196"/>
          </w:tcPr>
          <w:p>
            <w:r>
              <w:t>Pliego - Mantenimiento medios de Izaje 2026.pdf</w:t>
              <w:br/>
              <w:t>Pág: 7</w:t>
              <w:br/>
              <w:t>"6. Normativas y certificaciones requeridas: ---"</w:t>
            </w:r>
          </w:p>
        </w:tc>
        <w:tc>
          <w:tcPr>
            <w:tcW w:type="dxa" w:w="5533"/>
          </w:tcPr>
          <w:p>
            <w:r>
              <w:t>¿Cuáles son las normativas y certificaciones SSMA/HSE aplicables al servicio de mantenimiento de izajes, dado que la sección correspondiente figura vacía en el pliego?</w:t>
            </w:r>
          </w:p>
        </w:tc>
      </w:tr>
      <w:tr>
        <w:tc>
          <w:tcPr>
            <w:tcW w:type="dxa" w:w="500"/>
          </w:tcPr>
          <w:p>
            <w:r>
              <w:t>2</w:t>
            </w:r>
          </w:p>
        </w:tc>
        <w:tc>
          <w:tcPr>
            <w:tcW w:type="dxa" w:w="1131"/>
          </w:tcPr>
          <w:p>
            <w:r>
              <w:t>Operativa</w:t>
            </w:r>
          </w:p>
        </w:tc>
        <w:tc>
          <w:tcPr>
            <w:tcW w:type="dxa" w:w="2196"/>
          </w:tcPr>
          <w:p>
            <w:r>
              <w:t>Pliego - Mantenimiento medios de Izaje 2026.pdf</w:t>
              <w:br/>
              <w:t>Pág: 6</w:t>
              <w:br/>
              <w:t>"2 operarios Jornada Completa de lunes a viernes / 1 supervisor Jornada Completa de lunes a viernes. Equipos San Luis: En este caso se planifica una intervención de mantenimiento anual"</w:t>
            </w:r>
          </w:p>
        </w:tc>
        <w:tc>
          <w:tcPr>
            <w:tcW w:type="dxa" w:w="5533"/>
          </w:tcPr>
          <w:p>
            <w:r>
              <w:t>¿Se requiere dotación de personal específica (cantidad de técnicos, días) para la intervención anual en Planta San Luis, o se cubre exclusivamente con el personal asignado a Planta Luque?</w:t>
            </w:r>
          </w:p>
        </w:tc>
      </w:tr>
      <w:tr>
        <w:tc>
          <w:tcPr>
            <w:tcW w:type="dxa" w:w="500"/>
          </w:tcPr>
          <w:p>
            <w:r>
              <w:t>3</w:t>
            </w:r>
          </w:p>
        </w:tc>
        <w:tc>
          <w:tcPr>
            <w:tcW w:type="dxa" w:w="1131"/>
          </w:tcPr>
          <w:p>
            <w:r>
              <w:t>Económica</w:t>
            </w:r>
          </w:p>
        </w:tc>
        <w:tc>
          <w:tcPr>
            <w:tcW w:type="dxa" w:w="2196"/>
          </w:tcPr>
          <w:p>
            <w:r>
              <w:t>Pliego - Mantenimiento medios de Izaje 2026.pdf</w:t>
              <w:br/>
              <w:t>Pág: 7</w:t>
              <w:br/>
              <w:t>"Definir Plazo de Ajuste de Precios... Definir Polinómica de Ajuste (La misma luego será validada por el área de finanzas de Mabe)"</w:t>
            </w:r>
          </w:p>
        </w:tc>
        <w:tc>
          <w:tcPr>
            <w:tcW w:type="dxa" w:w="5533"/>
          </w:tcPr>
          <w:p>
            <w:r>
              <w:t>¿Por qué se solicita al oferente proponer la polinómica de ajuste en lugar de que Drean/Mabe defina la fórmula estándar aplicable? ¿Existe un modelo de referencia previo utilizado en contratos similares?</w:t>
            </w:r>
          </w:p>
        </w:tc>
      </w:tr>
      <w:tr>
        <w:tc>
          <w:tcPr>
            <w:tcW w:type="dxa" w:w="500"/>
          </w:tcPr>
          <w:p>
            <w:r>
              <w:t>4</w:t>
            </w:r>
          </w:p>
        </w:tc>
        <w:tc>
          <w:tcPr>
            <w:tcW w:type="dxa" w:w="1131"/>
          </w:tcPr>
          <w:p>
            <w:r>
              <w:t>Técnica</w:t>
            </w:r>
          </w:p>
        </w:tc>
        <w:tc>
          <w:tcPr>
            <w:tcW w:type="dxa" w:w="2196"/>
          </w:tcPr>
          <w:p>
            <w:r>
              <w:t>Pliego - Mantenimiento medios de Izaje 2026.pdf</w:t>
              <w:br/>
              <w:t>Pág: 3</w:t>
              <w:br/>
              <w:t>"Equipamiento y herramientas especificas y/o especiales serán ofertadas oportunamente conforme la necesidad puntual"</w:t>
            </w:r>
          </w:p>
        </w:tc>
        <w:tc>
          <w:tcPr>
            <w:tcW w:type="dxa" w:w="5533"/>
          </w:tcPr>
          <w:p>
            <w:r>
              <w:t>¿Qué se considera 'herramienta especial' dentro del alcance normal de izaje y cuál es el procedimiento y plazo de aprobación para cotizar dicho equipamiento adicional?</w:t>
            </w:r>
          </w:p>
        </w:tc>
      </w:tr>
      <w:tr>
        <w:tc>
          <w:tcPr>
            <w:tcW w:type="dxa" w:w="500"/>
          </w:tcPr>
          <w:p>
            <w:r>
              <w:t>5</w:t>
            </w:r>
          </w:p>
        </w:tc>
        <w:tc>
          <w:tcPr>
            <w:tcW w:type="dxa" w:w="1131"/>
          </w:tcPr>
          <w:p>
            <w:r>
              <w:t>Operativa</w:t>
            </w:r>
          </w:p>
        </w:tc>
        <w:tc>
          <w:tcPr>
            <w:tcW w:type="dxa" w:w="2196"/>
          </w:tcPr>
          <w:p>
            <w:r>
              <w:t>Pliego - Mantenimiento medios de Izaje 2026.pdf</w:t>
              <w:br/>
              <w:t>Pág: 8</w:t>
              <w:br/>
              <w:t>"El acceso a planta deberá solicitarse con un mínimo de 96 horas de antelación... La documentación solicitada para el ingreso deberá ser cargada a la plataforma SICOP (*) con un mínimo de 72 horas previo al ingreso"</w:t>
            </w:r>
          </w:p>
        </w:tc>
        <w:tc>
          <w:tcPr>
            <w:tcW w:type="dxa" w:w="5533"/>
          </w:tcPr>
          <w:p>
            <w:r>
              <w:t>¿Cuál es la secuencia exacta entre la solicitud de acceso (96hs) y la carga documental en SICOP (72hs)? ¿Corren de forma paralela o secuencial respecto a la fecha de ingreso?</w:t>
            </w:r>
          </w:p>
        </w:tc>
      </w:tr>
      <w:tr>
        <w:tc>
          <w:tcPr>
            <w:tcW w:type="dxa" w:w="500"/>
          </w:tcPr>
          <w:p>
            <w:r>
              <w:t>6</w:t>
            </w:r>
          </w:p>
        </w:tc>
        <w:tc>
          <w:tcPr>
            <w:tcW w:type="dxa" w:w="1131"/>
          </w:tcPr>
          <w:p>
            <w:r>
              <w:t>Económica</w:t>
            </w:r>
          </w:p>
        </w:tc>
        <w:tc>
          <w:tcPr>
            <w:tcW w:type="dxa" w:w="2196"/>
          </w:tcPr>
          <w:p>
            <w:r>
              <w:t>Pliego - Mantenimiento medios de Izaje 2026.pdf</w:t>
              <w:br/>
              <w:t>Pág: 8</w:t>
              <w:br/>
              <w:t>"Cualquier irregularidad fiscal que detectase KRONEN INTERNACIONAL S.A., será causal suficiente para la cancelación..."</w:t>
            </w:r>
          </w:p>
        </w:tc>
        <w:tc>
          <w:tcPr>
            <w:tcW w:type="dxa" w:w="5533"/>
          </w:tcPr>
          <w:p>
            <w:r>
              <w:t>¿Cuál es la relación jurídica entre KRONEN INTERNACIONAL S.A., Drean S.A. y Mabe en el marco de este contrato? ¿Quién es la entidad contratante legal responsable ante incumplimientos?</w:t>
            </w:r>
          </w:p>
        </w:tc>
      </w:tr>
      <w:tr>
        <w:tc>
          <w:tcPr>
            <w:tcW w:type="dxa" w:w="500"/>
          </w:tcPr>
          <w:p>
            <w:r>
              <w:t>7</w:t>
            </w:r>
          </w:p>
        </w:tc>
        <w:tc>
          <w:tcPr>
            <w:tcW w:type="dxa" w:w="1131"/>
          </w:tcPr>
          <w:p>
            <w:r>
              <w:t>Técnica</w:t>
            </w:r>
          </w:p>
        </w:tc>
        <w:tc>
          <w:tcPr>
            <w:tcW w:type="dxa" w:w="2196"/>
          </w:tcPr>
          <w:p>
            <w:r>
              <w:t>Pliego - Mantenimiento medios de Izaje 2026.pdf</w:t>
              <w:br/>
              <w:t>Pág: 7</w:t>
              <w:br/>
              <w:t>"5. Garantías: El proveedor deberá garantizar durante los años que dure el contrato la fiabilidad de sus trabajos."</w:t>
            </w:r>
          </w:p>
        </w:tc>
        <w:tc>
          <w:tcPr>
            <w:tcW w:type="dxa" w:w="5533"/>
          </w:tcPr>
          <w:p>
            <w:r>
              <w:t>¿Se requiere una garantía formal de cumplimiento (póliza de caución, fianza bancaria) y de qué monto o porcentaje sobre el valor del contrato?</w:t>
            </w:r>
          </w:p>
        </w:tc>
      </w:tr>
      <w:tr>
        <w:tc>
          <w:tcPr>
            <w:tcW w:type="dxa" w:w="500"/>
          </w:tcPr>
          <w:p>
            <w:r>
              <w:t>8</w:t>
            </w:r>
          </w:p>
        </w:tc>
        <w:tc>
          <w:tcPr>
            <w:tcW w:type="dxa" w:w="1131"/>
          </w:tcPr>
          <w:p>
            <w:r>
              <w:t>Económica</w:t>
            </w:r>
          </w:p>
        </w:tc>
        <w:tc>
          <w:tcPr>
            <w:tcW w:type="dxa" w:w="2196"/>
          </w:tcPr>
          <w:p>
            <w:r>
              <w:t>Pliego - Mantenimiento medios de Izaje 2026.pdf</w:t>
              <w:br/>
              <w:t>Pág: None</w:t>
              <w:br/>
              <w:t>"None"</w:t>
            </w:r>
          </w:p>
        </w:tc>
        <w:tc>
          <w:tcPr>
            <w:tcW w:type="dxa" w:w="5533"/>
          </w:tcPr>
          <w:p>
            <w:r>
              <w:t>¿En qué moneda debe presentarse la cotización del servicio (pesos argentinos, USD u otra)?</w:t>
            </w:r>
          </w:p>
        </w:tc>
      </w:tr>
      <w:tr>
        <w:tc>
          <w:tcPr>
            <w:tcW w:type="dxa" w:w="500"/>
          </w:tcPr>
          <w:p>
            <w:r>
              <w:t>9</w:t>
            </w:r>
          </w:p>
        </w:tc>
        <w:tc>
          <w:tcPr>
            <w:tcW w:type="dxa" w:w="1131"/>
          </w:tcPr>
          <w:p>
            <w:r>
              <w:t>Operativa</w:t>
            </w:r>
          </w:p>
        </w:tc>
        <w:tc>
          <w:tcPr>
            <w:tcW w:type="dxa" w:w="2196"/>
          </w:tcPr>
          <w:p>
            <w:r>
              <w:t>Pliego - Mantenimiento medios de Izaje 2026.pdf</w:t>
              <w:br/>
              <w:t>Pág: 1</w:t>
              <w:br/>
              <w:t>"en jornadas de hasta 9 horas normales y hasta un máximo de 12 horas corridas"</w:t>
            </w:r>
          </w:p>
        </w:tc>
        <w:tc>
          <w:tcPr>
            <w:tcW w:type="dxa" w:w="5533"/>
          </w:tcPr>
          <w:p>
            <w:r>
              <w:t>¿Cómo se remuneran/facturan las horas que excedan las 9 horas normales hasta las 12 horas corridas? ¿Se consideran horas extras a cargo de Drean/Mabe o están incluidas en el valor hora ofertado?</w:t>
            </w:r>
          </w:p>
        </w:tc>
      </w:tr>
      <w:tr>
        <w:tc>
          <w:tcPr>
            <w:tcW w:type="dxa" w:w="500"/>
          </w:tcPr>
          <w:p>
            <w:r>
              <w:t>10</w:t>
            </w:r>
          </w:p>
        </w:tc>
        <w:tc>
          <w:tcPr>
            <w:tcW w:type="dxa" w:w="1131"/>
          </w:tcPr>
          <w:p>
            <w:r>
              <w:t>Técnica</w:t>
            </w:r>
          </w:p>
        </w:tc>
        <w:tc>
          <w:tcPr>
            <w:tcW w:type="dxa" w:w="2196"/>
          </w:tcPr>
          <w:p>
            <w:r>
              <w:t>Pliego - Mantenimiento medios de Izaje 2026.pdf</w:t>
              <w:br/>
              <w:t>Pág: 2</w:t>
              <w:br/>
              <w:t>"Indicación de si los repuestos fueron provistos por el Proveedor o por la Empresa"</w:t>
            </w:r>
          </w:p>
        </w:tc>
        <w:tc>
          <w:tcPr>
            <w:tcW w:type="dxa" w:w="5533"/>
          </w:tcPr>
          <w:p>
            <w:r>
              <w:t>¿Cuál es el criterio contractual por defecto para la provisión de repuestos en mantenimientos correctivos? ¿Existe un tope de costo o monto a partir del cual la provisión pasa a ser responsabilidad de Drean/Mabe?</w:t>
            </w:r>
          </w:p>
        </w:tc>
      </w:tr>
      <w:tr>
        <w:tc>
          <w:tcPr>
            <w:tcW w:type="dxa" w:w="500"/>
          </w:tcPr>
          <w:p>
            <w:r>
              <w:t>11</w:t>
            </w:r>
          </w:p>
        </w:tc>
        <w:tc>
          <w:tcPr>
            <w:tcW w:type="dxa" w:w="1131"/>
          </w:tcPr>
          <w:p>
            <w:r>
              <w:t>Económica</w:t>
            </w:r>
          </w:p>
        </w:tc>
        <w:tc>
          <w:tcPr>
            <w:tcW w:type="dxa" w:w="2196"/>
          </w:tcPr>
          <w:p>
            <w:r>
              <w:t>Pliego - Mantenimiento medios de Izaje 2026.pdf</w:t>
              <w:br/>
              <w:t>Pág: 8</w:t>
              <w:br/>
              <w:t>"No podrán participar del presente concurso privado de precios aquellas razones sociales que tengan una fecha de inicio de actividades inferior a 6 meses."</w:t>
            </w:r>
          </w:p>
        </w:tc>
        <w:tc>
          <w:tcPr>
            <w:tcW w:type="dxa" w:w="5533"/>
          </w:tcPr>
          <w:p>
            <w:r>
              <w:t>¿Esta restricción de antigüedad mínima de 6 meses aplica también a UTE o consorcios de empresas con trayectoria individual pero de reciente constitución conjunta?</w:t>
            </w:r>
          </w:p>
        </w:tc>
      </w:tr>
    </w:tbl>
    <w:p w14:paraId="62DE6379" w14:textId="77777777" w:rsidR="00024037" w:rsidRDefault="00024037">
      <w:pPr>
        <w:spacing w:before="240"/>
      </w:pPr>
    </w:p>
    <w:p w14:paraId="089B0EAC" w14:textId="77777777" w:rsidR="00024037" w:rsidRDefault="001A61EC">
      <w:pPr>
        <w:spacing w:before="240" w:after="160"/>
      </w:pPr>
      <w:r>
        <w:rPr>
          <w:rFonts w:ascii="Arial" w:eastAsia="Arial" w:hAnsi="Arial" w:cs="Arial"/>
          <w:b/>
          <w:bCs/>
          <w:color w:val="1F4E79"/>
          <w:sz w:val="24"/>
          <w:szCs w:val="24"/>
        </w:rPr>
        <w:lastRenderedPageBreak/>
        <w:t>B. Inconsistencias detectadas en el pliego - Se solicita aclaración oficial</w:t>
      </w:r>
    </w:p>
    <w:p w14:paraId="3F8E9DAC" w14:textId="77777777" w:rsidR="00024037" w:rsidRDefault="001A61EC">
      <w:pPr>
        <w:spacing w:before="80" w:after="80"/>
      </w:pPr>
      <w:r>
        <w:rPr>
          <w:rFonts w:ascii="Arial" w:eastAsia="Arial" w:hAnsi="Arial" w:cs="Arial"/>
          <w:sz w:val="18"/>
          <w:szCs w:val="18"/>
        </w:rPr>
        <w:t>Las siguientes observaciones identifican contradicciones entre documentos del mismo proceso licitatorio. Se solicita a PAMPA ENERGÍA S.A. una aclaración formal que indique qué documento prevalece en cada caso, a fin de garantizar que todas las ofertas se formulen sobre las mismas bases.</w:t>
      </w:r>
    </w:p>
    <w:p w14:paraId="5D43AA5F" w14:textId="77777777" w:rsidR="00024037" w:rsidRDefault="0002403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
        <w:gridCol w:w="1381"/>
        <w:gridCol w:w="2412"/>
        <w:gridCol w:w="5078"/>
      </w:tblGrid>
      <w:tr w:rsidR="00024037" w14:paraId="04601348" w14:textId="77777777">
        <w:trPr>
          <w:tblHeader/>
        </w:trPr>
        <w:tc>
          <w:tcPr>
            <w:tcW w:w="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7EBE504" w14:textId="77777777" w:rsidR="00024037" w:rsidRDefault="001A61EC">
            <w:pPr>
              <w:jc w:val="center"/>
            </w:pPr>
            <w:r>
              <w:rPr>
                <w:rFonts w:ascii="Arial" w:eastAsia="Arial" w:hAnsi="Arial" w:cs="Arial"/>
                <w:b/>
                <w:bCs/>
                <w:color w:val="FFFFFF"/>
                <w:sz w:val="18"/>
                <w:szCs w:val="18"/>
              </w:rPr>
              <w:t>#</w:t>
            </w:r>
          </w:p>
        </w:tc>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FBD9082" w14:textId="77777777" w:rsidR="00024037" w:rsidRDefault="001A61EC">
            <w:pPr>
              <w:jc w:val="center"/>
            </w:pPr>
            <w:r>
              <w:rPr>
                <w:rFonts w:ascii="Arial" w:eastAsia="Arial" w:hAnsi="Arial" w:cs="Arial"/>
                <w:b/>
                <w:bCs/>
                <w:color w:val="FFFFFF"/>
                <w:sz w:val="18"/>
                <w:szCs w:val="18"/>
              </w:rPr>
              <w:t>Tipo</w:t>
            </w:r>
          </w:p>
        </w:tc>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265DC510" w14:textId="77777777" w:rsidR="00024037" w:rsidRDefault="001A61EC">
            <w:pPr>
              <w:jc w:val="center"/>
            </w:pPr>
            <w:r>
              <w:rPr>
                <w:rFonts w:ascii="Arial" w:eastAsia="Arial" w:hAnsi="Arial" w:cs="Arial"/>
                <w:b/>
                <w:bCs/>
                <w:color w:val="FFFFFF"/>
                <w:sz w:val="18"/>
                <w:szCs w:val="18"/>
              </w:rPr>
              <w:t>Documentos en conflicto</w:t>
            </w:r>
          </w:p>
        </w:tc>
        <w:tc>
          <w:tcPr>
            <w:tcW w:w="5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65DB7C6" w14:textId="77777777" w:rsidR="00024037" w:rsidRDefault="001A61EC">
            <w:pPr>
              <w:jc w:val="center"/>
            </w:pPr>
            <w:r>
              <w:rPr>
                <w:rFonts w:ascii="Arial" w:eastAsia="Arial" w:hAnsi="Arial" w:cs="Arial"/>
                <w:b/>
                <w:bCs/>
                <w:color w:val="FFFFFF"/>
                <w:sz w:val="18"/>
                <w:szCs w:val="18"/>
              </w:rPr>
              <w:t>Descripción de la inconsistencia y pregunta</w:t>
            </w:r>
          </w:p>
        </w:tc>
      </w:tr>
      <w:tr>
        <w:tc>
          <w:tcPr>
            <w:tcW w:type="dxa" w:w="489"/>
          </w:tcPr>
          <w:p>
            <w:r>
              <w:t>12</w:t>
            </w:r>
          </w:p>
        </w:tc>
        <w:tc>
          <w:tcPr>
            <w:tcW w:type="dxa" w:w="1381"/>
          </w:tcPr>
          <w:p>
            <w:r>
              <w:t>Contradicción de entidad contratante</w:t>
            </w:r>
          </w:p>
        </w:tc>
        <w:tc>
          <w:tcPr>
            <w:tcW w:type="dxa" w:w="2412"/>
          </w:tcPr>
          <w:p>
            <w:r>
              <w:t>Pliego - Mantenimiento medios de Izaje 2026.pdf</w:t>
              <w:br/>
              <w:t>Pág: 6, 7 y 8</w:t>
              <w:br/>
              <w:t>"El servicio deberá ser prestado en la planta de Mabe... / mail: augusto.coria@mabe.com.ar / instalaciones de DREAN S.A. / Cualquier irregularidad fiscal que detectase KRONEN INTERNACIONAL S.A."</w:t>
            </w:r>
          </w:p>
        </w:tc>
        <w:tc>
          <w:tcPr>
            <w:tcW w:type="dxa" w:w="5078"/>
          </w:tcPr>
          <w:p>
            <w:r>
              <w:t>El pliego refiere indistintamente a tres razones sociales diferentes (Drean S.A., Mabe y KRONEN INTERNACIONAL S.A.) sin aclarar cuál es la entidad contratante legal responsable de emitir la orden de compra y exigir el cumplimiento contractual.</w:t>
            </w:r>
          </w:p>
        </w:tc>
      </w:tr>
      <w:tr>
        <w:tc>
          <w:tcPr>
            <w:tcW w:type="dxa" w:w="489"/>
          </w:tcPr>
          <w:p>
            <w:r>
              <w:t>13</w:t>
            </w:r>
          </w:p>
        </w:tc>
        <w:tc>
          <w:tcPr>
            <w:tcW w:type="dxa" w:w="1381"/>
          </w:tcPr>
          <w:p>
            <w:r>
              <w:t>Ambigüedad de plazos</w:t>
            </w:r>
          </w:p>
        </w:tc>
        <w:tc>
          <w:tcPr>
            <w:tcW w:type="dxa" w:w="2412"/>
          </w:tcPr>
          <w:p>
            <w:r>
              <w:t>Pliego - Mantenimiento medios de Izaje 2026.pdf</w:t>
              <w:br/>
              <w:t>Pág: 8</w:t>
              <w:br/>
              <w:t>"El acceso a planta deberá solicitarse con un mínimo de 96 horas de antelación... La documentación solicitada para el ingreso deberá ser cargada a la plataforma SICOP (*) con un mínimo de 72 horas previo al ingreso."</w:t>
            </w:r>
          </w:p>
        </w:tc>
        <w:tc>
          <w:tcPr>
            <w:tcW w:type="dxa" w:w="5078"/>
          </w:tcPr>
          <w:p>
            <w:r>
              <w:t>No queda claro si ambos plazos (96hs y 72hs) corren en paralelo o de forma secuencial respecto a la fecha de ingreso, generando riesgo de incumplimiento involuntario por parte del Proveedor.</w:t>
            </w:r>
          </w:p>
        </w:tc>
      </w:tr>
      <w:tr>
        <w:tc>
          <w:tcPr>
            <w:tcW w:type="dxa" w:w="489"/>
          </w:tcPr>
          <w:p>
            <w:r>
              <w:t>14</w:t>
            </w:r>
          </w:p>
        </w:tc>
        <w:tc>
          <w:tcPr>
            <w:tcW w:type="dxa" w:w="1381"/>
          </w:tcPr>
          <w:p>
            <w:r>
              <w:t>Vacío crítico</w:t>
            </w:r>
          </w:p>
        </w:tc>
        <w:tc>
          <w:tcPr>
            <w:tcW w:type="dxa" w:w="2412"/>
          </w:tcPr>
          <w:p>
            <w:r>
              <w:t>Pliego - Mantenimiento medios de Izaje 2026.pdf</w:t>
              <w:br/>
              <w:t>Pág: 7</w:t>
              <w:br/>
              <w:t>"6. Normativas y certificaciones requeridas: ---"</w:t>
            </w:r>
          </w:p>
        </w:tc>
        <w:tc>
          <w:tcPr>
            <w:tcW w:type="dxa" w:w="5078"/>
          </w:tcPr>
          <w:p>
            <w:r>
              <w:t>El pliego deja vacía la sección de normativas y certificaciones SSMA/HSE requeridas, pese a que el servicio (izaje, trabajo en altura, cargas suspendidas) es de alto riesgo, generando incertidumbre sobre los estándares mínimos de seguridad exigidos al Proveedor.</w:t>
            </w:r>
          </w:p>
        </w:tc>
      </w:tr>
      <w:tr>
        <w:tc>
          <w:tcPr>
            <w:tcW w:type="dxa" w:w="489"/>
          </w:tcPr>
          <w:p>
            <w:r>
              <w:t>15</w:t>
            </w:r>
          </w:p>
        </w:tc>
        <w:tc>
          <w:tcPr>
            <w:tcW w:type="dxa" w:w="1381"/>
          </w:tcPr>
          <w:p>
            <w:r>
              <w:t>Contradicción de alcance</w:t>
            </w:r>
          </w:p>
        </w:tc>
        <w:tc>
          <w:tcPr>
            <w:tcW w:type="dxa" w:w="2412"/>
          </w:tcPr>
          <w:p>
            <w:r>
              <w:t>Pliego - Mantenimiento medios de Izaje 2026.pdf</w:t>
              <w:br/>
              <w:t>Pág: 3</w:t>
              <w:br/>
              <w:t>"El Proveedor proveerá mano de obra y herramientas de mano, epp y consumibles necesarios... / Equipamiento y herramientas especificas y/o especiales... para actividades fuera del alcance de izaje, quedan a cargo del cliente."</w:t>
            </w:r>
          </w:p>
        </w:tc>
        <w:tc>
          <w:tcPr>
            <w:tcW w:type="dxa" w:w="5078"/>
          </w:tcPr>
          <w:p>
            <w:r>
              <w:t>Existe ambigüedad sobre si las herramientas especiales necesarias DENTRO del alcance de izaje corren por cuenta del Proveedor, ya que la cláusula solo aclara expresamente el tratamiento para actividades fuera de dicho alcance, pudiendo derivar en disputas de costos no previstos en la oferta.</w:t>
            </w:r>
          </w:p>
        </w:tc>
      </w:tr>
      <w:tr>
        <w:tc>
          <w:tcPr>
            <w:tcW w:type="dxa" w:w="489"/>
          </w:tcPr>
          <w:p>
            <w:r>
              <w:t>16</w:t>
            </w:r>
          </w:p>
        </w:tc>
        <w:tc>
          <w:tcPr>
            <w:tcW w:type="dxa" w:w="1381"/>
          </w:tcPr>
          <w:p>
            <w:r>
              <w:t>Cláusula potencialmente abusiva</w:t>
            </w:r>
          </w:p>
        </w:tc>
        <w:tc>
          <w:tcPr>
            <w:tcW w:type="dxa" w:w="2412"/>
          </w:tcPr>
          <w:p>
            <w:r>
              <w:t>Pliego - Mantenimiento medios de Izaje 2026.pdf</w:t>
              <w:br/>
              <w:t>Pág: 8</w:t>
              <w:br/>
              <w:t>"será causal suficiente para la cancelación, sin posibilidad de reclamo resarcitorio, de la orden de compra, contrato, carta oferta y/o cualquier otro formato..."</w:t>
            </w:r>
          </w:p>
        </w:tc>
        <w:tc>
          <w:tcPr>
            <w:tcW w:type="dxa" w:w="5078"/>
          </w:tcPr>
          <w:p>
            <w:r>
              <w:t>La cláusula de cancelación unilateral sin derecho a reclamo resarcitorio se repite para dos supuestos distintos (incumplimiento documental en SICOP e irregularidad fiscal), configurando una posible cláusula desproporcionada sin derecho a subsanación previa del Proveedor.</w:t>
            </w:r>
          </w:p>
        </w:tc>
      </w:tr>
      <w:tr>
        <w:tc>
          <w:tcPr>
            <w:tcW w:type="dxa" w:w="489"/>
          </w:tcPr>
          <w:p>
            <w:r>
              <w:t>17</w:t>
            </w:r>
          </w:p>
        </w:tc>
        <w:tc>
          <w:tcPr>
            <w:tcW w:type="dxa" w:w="1381"/>
          </w:tcPr>
          <w:p>
            <w:r>
              <w:t>Inconsistencia geográfica</w:t>
            </w:r>
          </w:p>
        </w:tc>
        <w:tc>
          <w:tcPr>
            <w:tcW w:type="dxa" w:w="2412"/>
          </w:tcPr>
          <w:p>
            <w:r>
              <w:t>Pliego - Mantenimiento medios de Izaje 2026.pdf</w:t>
              <w:br/>
              <w:t>Pág: 6</w:t>
              <w:br/>
              <w:t>"El servicio deberá ser prestado en la planta de Mabe, ubicada en la ciudad de Luque, provincia de Córdoba."</w:t>
            </w:r>
          </w:p>
        </w:tc>
        <w:tc>
          <w:tcPr>
            <w:tcW w:type="dxa" w:w="5078"/>
          </w:tcPr>
          <w:p>
            <w:r>
              <w:t>La localidad 'Luque' no corresponde geográficamente a la provincia de Córdoba en Argentina, lo cual podría tratarse de un error de tipeo en el pliego que requiere confirmación de la dirección exacta de la planta a intervenir.</w:t>
            </w:r>
          </w:p>
        </w:tc>
      </w:tr>
    </w:tbl>
    <w:p w14:paraId="3F40F8FF" w14:textId="77777777" w:rsidR="00024037" w:rsidRDefault="00024037">
      <w:pPr>
        <w:spacing w:before="240"/>
      </w:pPr>
    </w:p>
    <w:p w14:paraId="3A9D31B1" w14:textId="77777777" w:rsidR="00024037" w:rsidRDefault="001A61EC">
      <w:pPr>
        <w:spacing w:before="80" w:after="80"/>
      </w:pPr>
      <w:r>
        <w:rPr>
          <w:rFonts w:ascii="Arial" w:eastAsia="Arial" w:hAnsi="Arial" w:cs="Arial"/>
          <w:sz w:val="18"/>
          <w:szCs w:val="18"/>
        </w:rPr>
        <w:t>Sin otro particular, quedamos a disposición para cualquier aclaración adicional.</w:t>
      </w:r>
    </w:p>
    <w:sectPr w:rsidR="0002403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74F37"/>
    <w:multiLevelType w:val="hybridMultilevel"/>
    <w:tmpl w:val="B35A1E50"/>
    <w:lvl w:ilvl="0" w:tplc="6E7C072C">
      <w:start w:val="1"/>
      <w:numFmt w:val="bullet"/>
      <w:lvlText w:val="●"/>
      <w:lvlJc w:val="left"/>
      <w:pPr>
        <w:ind w:left="720" w:hanging="360"/>
      </w:pPr>
    </w:lvl>
    <w:lvl w:ilvl="1" w:tplc="7B0C1B28">
      <w:start w:val="1"/>
      <w:numFmt w:val="bullet"/>
      <w:lvlText w:val="○"/>
      <w:lvlJc w:val="left"/>
      <w:pPr>
        <w:ind w:left="1440" w:hanging="360"/>
      </w:pPr>
    </w:lvl>
    <w:lvl w:ilvl="2" w:tplc="56C09056">
      <w:start w:val="1"/>
      <w:numFmt w:val="bullet"/>
      <w:lvlText w:val="■"/>
      <w:lvlJc w:val="left"/>
      <w:pPr>
        <w:ind w:left="2160" w:hanging="360"/>
      </w:pPr>
    </w:lvl>
    <w:lvl w:ilvl="3" w:tplc="CD4EE374">
      <w:start w:val="1"/>
      <w:numFmt w:val="bullet"/>
      <w:lvlText w:val="●"/>
      <w:lvlJc w:val="left"/>
      <w:pPr>
        <w:ind w:left="2880" w:hanging="360"/>
      </w:pPr>
    </w:lvl>
    <w:lvl w:ilvl="4" w:tplc="98047DDC">
      <w:start w:val="1"/>
      <w:numFmt w:val="bullet"/>
      <w:lvlText w:val="○"/>
      <w:lvlJc w:val="left"/>
      <w:pPr>
        <w:ind w:left="3600" w:hanging="360"/>
      </w:pPr>
    </w:lvl>
    <w:lvl w:ilvl="5" w:tplc="E0084D38">
      <w:start w:val="1"/>
      <w:numFmt w:val="bullet"/>
      <w:lvlText w:val="■"/>
      <w:lvlJc w:val="left"/>
      <w:pPr>
        <w:ind w:left="4320" w:hanging="360"/>
      </w:pPr>
    </w:lvl>
    <w:lvl w:ilvl="6" w:tplc="AD540670">
      <w:start w:val="1"/>
      <w:numFmt w:val="bullet"/>
      <w:lvlText w:val="●"/>
      <w:lvlJc w:val="left"/>
      <w:pPr>
        <w:ind w:left="5040" w:hanging="360"/>
      </w:pPr>
    </w:lvl>
    <w:lvl w:ilvl="7" w:tplc="769CC6A4">
      <w:start w:val="1"/>
      <w:numFmt w:val="bullet"/>
      <w:lvlText w:val="●"/>
      <w:lvlJc w:val="left"/>
      <w:pPr>
        <w:ind w:left="5760" w:hanging="360"/>
      </w:pPr>
    </w:lvl>
    <w:lvl w:ilvl="8" w:tplc="1E96D490">
      <w:start w:val="1"/>
      <w:numFmt w:val="bullet"/>
      <w:lvlText w:val="●"/>
      <w:lvlJc w:val="left"/>
      <w:pPr>
        <w:ind w:left="6480" w:hanging="360"/>
      </w:pPr>
    </w:lvl>
  </w:abstractNum>
  <w:num w:numId="1" w16cid:durableId="1114866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037"/>
    <w:rsid w:val="00024037"/>
    <w:rsid w:val="0003404F"/>
    <w:rsid w:val="001A61EC"/>
    <w:rsid w:val="00240001"/>
    <w:rsid w:val="00AF0592"/>
    <w:rsid w:val="00B07118"/>
    <w:rsid w:val="00CE77C2"/>
    <w:rsid w:val="00D9301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2EAC3"/>
  <w15:docId w15:val="{343D6937-6E9E-4645-B345-ED5167C42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ED3DDA1174714AA8A0ADD53719743E" ma:contentTypeVersion="10" ma:contentTypeDescription="Crear nuevo documento." ma:contentTypeScope="" ma:versionID="ba225e06a36ee55f4dded745d06045e9">
  <xsd:schema xmlns:xsd="http://www.w3.org/2001/XMLSchema" xmlns:xs="http://www.w3.org/2001/XMLSchema" xmlns:p="http://schemas.microsoft.com/office/2006/metadata/properties" xmlns:ns2="7b6c7bf8-4ce7-4db2-81a6-3f2fb3ee6412" xmlns:ns3="cf1c41ac-5426-47ae-a216-78ef3a736f94" targetNamespace="http://schemas.microsoft.com/office/2006/metadata/properties" ma:root="true" ma:fieldsID="80cdbe2e6ba9db2b3b4464925d0e7b98" ns2:_="" ns3:_="">
    <xsd:import namespace="7b6c7bf8-4ce7-4db2-81a6-3f2fb3ee6412"/>
    <xsd:import namespace="cf1c41ac-5426-47ae-a216-78ef3a736f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6c7bf8-4ce7-4db2-81a6-3f2fb3ee64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05bde99-f911-48db-a36f-21ff87b478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1c41ac-5426-47ae-a216-78ef3a736f9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cd6f33e-8020-4e03-9a6f-497468dfdacc}" ma:internalName="TaxCatchAll" ma:showField="CatchAllData" ma:web="cf1c41ac-5426-47ae-a216-78ef3a736f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f1c41ac-5426-47ae-a216-78ef3a736f94" xsi:nil="true"/>
    <lcf76f155ced4ddcb4097134ff3c332f xmlns="7b6c7bf8-4ce7-4db2-81a6-3f2fb3ee641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B4613A-67D5-4F1A-8249-DBA7EE949A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6c7bf8-4ce7-4db2-81a6-3f2fb3ee6412"/>
    <ds:schemaRef ds:uri="cf1c41ac-5426-47ae-a216-78ef3a736f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31EF20-01F3-4B9B-A65D-1B1F99BEA44A}">
  <ds:schemaRefs>
    <ds:schemaRef ds:uri="http://schemas.microsoft.com/office/2006/metadata/properties"/>
    <ds:schemaRef ds:uri="http://schemas.microsoft.com/office/infopath/2007/PartnerControls"/>
    <ds:schemaRef ds:uri="cf1c41ac-5426-47ae-a216-78ef3a736f94"/>
    <ds:schemaRef ds:uri="7b6c7bf8-4ce7-4db2-81a6-3f2fb3ee6412"/>
  </ds:schemaRefs>
</ds:datastoreItem>
</file>

<file path=customXml/itemProps3.xml><?xml version="1.0" encoding="utf-8"?>
<ds:datastoreItem xmlns:ds="http://schemas.openxmlformats.org/officeDocument/2006/customXml" ds:itemID="{CC5AEAFE-C867-41CA-850F-9E08BF8CD3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1828</Words>
  <Characters>10056</Characters>
  <Application>Microsoft Office Word</Application>
  <DocSecurity>0</DocSecurity>
  <Lines>83</Lines>
  <Paragraphs>23</Paragraphs>
  <ScaleCrop>false</ScaleCrop>
  <Company/>
  <LinksUpToDate>false</LinksUpToDate>
  <CharactersWithSpaces>11861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Agustina Martinet</cp:lastModifiedBy>
  <cp:revision>6</cp:revision>
  <dcterms:created xsi:type="dcterms:W3CDTF">2026-07-06T18:21:00Z</dcterms:created>
  <dcterms:modified xsi:type="dcterms:W3CDTF">2026-07-09T18:52:00Z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0x01010018ED3DDA1174714AA8A0ADD53719743E</vt:lpwstr>
  </property>
</Properties>
</file>