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7409" w14:textId="0901BDFA" w:rsidR="00024037" w:rsidRDefault="001A61EC">
      <w:pPr>
        <w:spacing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Consultas al pliego – Concurso Privado de Precios Pliego de Bases y Condiciones 2026 - Servicio de mantenimiento a Demanda planta Belgrano</w:t>
      </w:r>
      <w:r w:rsidR="00D93014">
        <w:rPr>
          <w:rFonts w:ascii="Arial" w:eastAsia="Arial" w:hAnsi="Arial" w:cs="Arial"/>
          <w:b/>
          <w:bCs/>
          <w:color w:val="1F4E79"/>
          <w:sz w:val="28"/>
          <w:szCs w:val="28"/>
        </w:rPr>
      </w:r>
      <w:r>
        <w:rPr>
          <w:rFonts w:ascii="Arial" w:eastAsia="Arial" w:hAnsi="Arial" w:cs="Arial"/>
          <w:b/>
          <w:bCs/>
          <w:color w:val="1F4E79"/>
          <w:sz w:val="28"/>
          <w:szCs w:val="28"/>
        </w:rPr>
      </w:r>
      <w:r w:rsidR="00D93014">
        <w:rPr>
          <w:rFonts w:ascii="Arial" w:eastAsia="Arial" w:hAnsi="Arial" w:cs="Arial"/>
          <w:b/>
          <w:bCs/>
          <w:color w:val="1F4E79"/>
          <w:sz w:val="28"/>
          <w:szCs w:val="28"/>
        </w:rPr>
      </w:r>
    </w:p>
    <w:p w14:paraId="02EA2D87" w14:textId="4299EC19" w:rsidR="00024037" w:rsidRDefault="001A61EC">
      <w:pPr>
        <w:spacing w:before="80" w:after="80"/>
      </w:pPr>
      <w:r>
        <w:rPr>
          <w:rFonts w:ascii="Arial" w:eastAsia="Arial" w:hAnsi="Arial" w:cs="Arial"/>
          <w:b/>
          <w:bCs/>
          <w:sz w:val="18"/>
          <w:szCs w:val="18"/>
        </w:rPr>
        <w:t>Contratante: YPF GAS S.A.  Proceso: Concurso Privado de Precios 2026     Moneda: Pesos argentinos (ARS)</w:t>
      </w:r>
      <w:r w:rsidR="00B07118" w:rsidRPr="00B07118">
        <w:rPr>
          <w:rFonts w:ascii="Arial" w:eastAsia="Arial" w:hAnsi="Arial" w:cs="Arial"/>
          <w:b/>
          <w:bCs/>
          <w:sz w:val="18"/>
          <w:szCs w:val="18"/>
        </w:rPr>
      </w:r>
      <w:proofErr w:type="gramStart"/>
      <w:r w:rsidR="00B07118" w:rsidRPr="00B07118">
        <w:rPr>
          <w:rFonts w:ascii="Arial" w:eastAsia="Arial" w:hAnsi="Arial" w:cs="Arial"/>
          <w:b/>
          <w:bCs/>
          <w:sz w:val="18"/>
          <w:szCs w:val="18"/>
        </w:rPr>
      </w:r>
      <w:r w:rsidR="00B07118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proofErr w:type="gramEnd"/>
      <w:r>
        <w:rPr>
          <w:rFonts w:ascii="Arial" w:eastAsia="Arial" w:hAnsi="Arial" w:cs="Arial"/>
          <w:b/>
          <w:bCs/>
          <w:sz w:val="18"/>
          <w:szCs w:val="18"/>
        </w:rPr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proofErr w:type="gramStart"/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sz w:val="18"/>
          <w:szCs w:val="18"/>
        </w:rPr>
      </w:r>
      <w:proofErr w:type="gramEnd"/>
      <w:r>
        <w:rPr>
          <w:rFonts w:ascii="Arial" w:eastAsia="Arial" w:hAnsi="Arial" w:cs="Arial"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="00D93014" w:rsidRPr="001A61EC">
        <w:rPr>
          <w:rFonts w:ascii="Arial" w:eastAsia="Arial" w:hAnsi="Arial" w:cs="Arial"/>
          <w:b/>
          <w:bCs/>
          <w:sz w:val="18"/>
          <w:szCs w:val="18"/>
        </w:rPr>
      </w:r>
      <w:r w:rsidR="00D93014">
        <w:rPr>
          <w:rFonts w:ascii="Arial" w:eastAsia="Arial" w:hAnsi="Arial" w:cs="Arial"/>
          <w:b/>
          <w:bCs/>
          <w:sz w:val="18"/>
          <w:szCs w:val="18"/>
        </w:rPr>
      </w:r>
      <w:r w:rsidR="00D93014" w:rsidRPr="001A61EC">
        <w:rPr>
          <w:rFonts w:ascii="Arial" w:eastAsia="Arial" w:hAnsi="Arial" w:cs="Arial"/>
          <w:b/>
          <w:bCs/>
          <w:sz w:val="18"/>
          <w:szCs w:val="18"/>
        </w:rPr>
      </w:r>
    </w:p>
    <w:p w14:paraId="6CE1469E" w14:textId="7A1A1F1D" w:rsidR="00024037" w:rsidRDefault="001A61EC">
      <w:pPr>
        <w:spacing w:before="80" w:after="80"/>
      </w:pPr>
      <w:r>
        <w:rPr>
          <w:rFonts w:ascii="Arial" w:eastAsia="Arial" w:hAnsi="Arial" w:cs="Arial"/>
          <w:b/>
          <w:bCs/>
          <w:sz w:val="18"/>
          <w:szCs w:val="18"/>
        </w:rPr>
        <w:t>Planta: Planta Belgrano    Requirente: Sebastian Scibilia / Francisco Andres Migliorino (Depto. Mantenimiento) Comprador: Cristian Costa</w:t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 w:rsidR="00CE77C2">
        <w:rPr>
          <w:rFonts w:ascii="Arial" w:eastAsia="Arial" w:hAnsi="Arial" w:cs="Arial"/>
          <w:b/>
          <w:bCs/>
          <w:sz w:val="18"/>
          <w:szCs w:val="18"/>
        </w:rPr>
      </w:r>
      <w:proofErr w:type="gramStart"/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sz w:val="18"/>
          <w:szCs w:val="18"/>
        </w:rPr>
      </w:r>
      <w:proofErr w:type="gramEnd"/>
      <w:r>
        <w:rPr>
          <w:rFonts w:ascii="Arial" w:eastAsia="Arial" w:hAnsi="Arial" w:cs="Arial"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 w:rsid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Pr="001A61EC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Pr="001A61EC">
        <w:rPr>
          <w:rFonts w:ascii="Arial" w:eastAsia="Arial" w:hAnsi="Arial" w:cs="Arial"/>
          <w:b/>
          <w:bCs/>
          <w:sz w:val="18"/>
          <w:szCs w:val="18"/>
        </w:rPr>
      </w:r>
    </w:p>
    <w:p w14:paraId="6E7105B0" w14:textId="3EAE5841" w:rsidR="00024037" w:rsidRDefault="00D93014">
      <w:pPr>
        <w:spacing w:before="120"/>
      </w:pPr>
      <w:r w:rsidRPr="00D93014">
        <w:rPr>
          <w:rFonts w:ascii="Arial" w:eastAsia="Arial" w:hAnsi="Arial" w:cs="Arial"/>
          <w:sz w:val="18"/>
          <w:szCs w:val="18"/>
        </w:rPr>
        <w:t>Las siguientes consultas se formulan con referencia a los documentos del proceso licitatorio (Anexo I Aceptación Pliegos y otros.pdf, Anexo II Pliego de condiciones particulares Compras.docx, Anexo III Especificación Técnica de Seguridad Rev. 8.xlsx, Anexo IV Condiciones Generales de Compras y Contratación.docx, Anexo IX Visita a Planta YPF GAS.docx, Anexo V Declaración sub contratistas.docx, Anexo VI Modelo Carta Servicios Generales.docx, Anexo XVIII Control de Contratistas.docx, CL INTEGRIDAD - Proveedores.docx, Politica-anticorrupcion-socios-de-negocios.pdf, Presentación documentación- Ejemplo.docx, YPF_Código de Ética GAS_Digital.pdf). Las respuestas pasarán a formar parte integrante del pliego.</w:t>
      </w:r>
    </w:p>
    <w:p w14:paraId="00F41EF0" w14:textId="77777777" w:rsidR="00024037" w:rsidRDefault="001A61EC">
      <w:pPr>
        <w:spacing w:before="240" w:after="1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A. Consultas técnicas, operativas y económicas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131"/>
        <w:gridCol w:w="2196"/>
        <w:gridCol w:w="5533"/>
      </w:tblGrid>
      <w:tr w:rsidR="00024037" w14:paraId="0422DF4A" w14:textId="77777777">
        <w:trPr>
          <w:tblHeader/>
        </w:trPr>
        <w:tc>
          <w:tcPr>
            <w:tcW w:w="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3832D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C32B6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23B89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Archivo / Punto de origen</w:t>
            </w:r>
          </w:p>
        </w:tc>
        <w:tc>
          <w:tcPr>
            <w:tcW w:w="5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2B691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Consulta</w:t>
            </w:r>
          </w:p>
        </w:tc>
      </w:tr>
      <w:tr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II Pliego de condiciones particulares Compras.docx</w:t>
              <w:br/>
              <w:t>Pág: 1</w:t>
              <w:br/>
              <w:t>"Anexo VII Planilla de Cotización, Planilla Estructura de Costos... Pliego Red de Incendio Paraná (informativo), Anexos RCI, Manual MA__0001735"</w:t>
            </w:r>
          </w:p>
        </w:tc>
        <w:tc>
          <w:tcPr>
            <w:tcW w:type="dxa" w:w="5533"/>
          </w:tcPr>
          <w:p>
            <w:r>
              <w:t>Solicitamos la provisión formal de la totalidad de los documentos y anexos adjuntos que figuran como informativos o requeridos pero no fueron suministrados en la carpeta del concurso, específicamente: Anexo VII Planilla de Cotización (Excel), Planilla Estructura de Costos, Pliego Red de Incendio Paraná, Anexos RCI y el Manual de EPP MA__0001735.</w:t>
            </w:r>
          </w:p>
        </w:tc>
      </w:tr>
      <w:tr>
        <w:tc>
          <w:tcPr>
            <w:tcW w:type="dxa" w:w="500"/>
          </w:tcPr>
          <w:p>
            <w:r>
              <w:t>2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II Pliego de condiciones particulares Compras.docx</w:t>
              <w:br/>
              <w:t>Pág: 1</w:t>
              <w:br/>
              <w:t>"VISITA OBLIGATORIA A COORDINAR CON: Sr. SCIBILIA, SEBASTIAN... Sr. MIGLIORINO, FRANCISCO ANDRES"</w:t>
            </w:r>
          </w:p>
        </w:tc>
        <w:tc>
          <w:tcPr>
            <w:tcW w:type="dxa" w:w="5533"/>
          </w:tcPr>
          <w:p>
            <w:r>
              <w:t>Solicitamos confirmar las fechas y horarios disponibles para realizar la visita técnica obligatoria a la Planta Belgrano, así como el protocolo y EPP requeridos para el ingreso del personal participante.</w:t>
            </w:r>
          </w:p>
        </w:tc>
      </w:tr>
      <w:tr>
        <w:tc>
          <w:tcPr>
            <w:tcW w:type="dxa" w:w="500"/>
          </w:tcPr>
          <w:p>
            <w:r>
              <w:t>3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III Especificación Técnica de Seguridad Rev. 8.xlsx</w:t>
              <w:br/>
              <w:t>Pág: 1</w:t>
              <w:br/>
              <w:t>"EN CASO DE UTILIZAR HERRAMIENTAS QUE GENEREN CHISPA ELÉCTRICA O CHISPA POR COMBUSTIÓN, EN ÁREAS CLASIFICADAS, LA TAREA SE DEBERÁ REALIZAR CON PLANTA PARADA, Y BAJO CONFECCIÓN DEL CORRESPONDIENTE PERMISO DE TRABAJO EN CALIENTE."</w:t>
            </w:r>
          </w:p>
        </w:tc>
        <w:tc>
          <w:tcPr>
            <w:tcW w:type="dxa" w:w="5533"/>
          </w:tcPr>
          <w:p>
            <w:r>
              <w:t>Solicitamos indicar la frecuencia y las ventanas operativas programadas por YPF GAS para la realización de paradas de planta que permitan ejecutar trabajos en caliente en áreas clasificadas.</w:t>
            </w:r>
          </w:p>
        </w:tc>
      </w:tr>
      <w:tr>
        <w:tc>
          <w:tcPr>
            <w:tcW w:type="dxa" w:w="500"/>
          </w:tcPr>
          <w:p>
            <w:r>
              <w:t>4</w:t>
            </w:r>
          </w:p>
        </w:tc>
        <w:tc>
          <w:tcPr>
            <w:tcW w:type="dxa" w:w="1131"/>
          </w:tcPr>
          <w:p>
            <w:r>
              <w:t>Económica</w:t>
            </w:r>
          </w:p>
        </w:tc>
        <w:tc>
          <w:tcPr>
            <w:tcW w:type="dxa" w:w="2196"/>
          </w:tcPr>
          <w:p>
            <w:r>
              <w:t>Anexo VI Modelo Carta Servicios Generales.docx</w:t>
              <w:br/>
              <w:t>Pág: 1</w:t>
              <w:br/>
              <w:t>"Al momentode la terminación del Servicio, la Garantía de Fiel Cumplimiento se reemplazará por un seguro de caución en concepto de fondo de reparo... equivalente al diez por ciento (10%) del Precio total indicado en el ARTICULO 6 actualizado... con vigencia por un período de doce (12) meses."</w:t>
            </w:r>
          </w:p>
        </w:tc>
        <w:tc>
          <w:tcPr>
            <w:tcW w:type="dxa" w:w="5533"/>
          </w:tcPr>
          <w:p>
            <w:r>
              <w:t>Solicitamos aclarar si la Póliza por Fondo de Reparo del 10% por 12 meses posteriores a la recepción es aplicable a un contrato de mantenimiento a demanda y si el costo financiero asociado puede ser prorrateado en la oferta económica.</w:t>
            </w:r>
          </w:p>
        </w:tc>
      </w:tr>
      <w:tr>
        <w:tc>
          <w:tcPr>
            <w:tcW w:type="dxa" w:w="500"/>
          </w:tcPr>
          <w:p>
            <w:r>
              <w:t>5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III Especificación Técnica de Seguridad Rev. 8.xlsx</w:t>
              <w:br/>
              <w:t>Pág: 1</w:t>
              <w:br/>
              <w:t>"La empresa contratista y su plantilla, deberá estar registrada en el SRC antes del inicio del servicio."</w:t>
            </w:r>
          </w:p>
        </w:tc>
        <w:tc>
          <w:tcPr>
            <w:tcW w:type="dxa" w:w="5533"/>
          </w:tcPr>
          <w:p>
            <w:r>
              <w:t>Solicitamos indicar si los aranceles o costos de auditoría derivados del registro y validación en la plataforma SRC (Sistema de Recursos Contratados) corren por cuenta del contratista o de YPF GAS.</w:t>
            </w:r>
          </w:p>
        </w:tc>
      </w:tr>
      <w:tr>
        <w:tc>
          <w:tcPr>
            <w:tcW w:type="dxa" w:w="500"/>
          </w:tcPr>
          <w:p>
            <w:r>
              <w:t>6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II Pliego de condiciones particulares Compras.docx</w:t>
              <w:br/>
              <w:t>Pág: 1</w:t>
              <w:br/>
              <w:t>"Servicio de mantenimiento a Demanda planta Belgrano"</w:t>
            </w:r>
          </w:p>
        </w:tc>
        <w:tc>
          <w:tcPr>
            <w:tcW w:type="dxa" w:w="5533"/>
          </w:tcPr>
          <w:p>
            <w:r>
              <w:t>Dado que las prestaciones son 'a demanda', solicitamos definir los Niveles de Servicio (SLA) exigidos, los tiempos máximos de respuesta ante llamados de emergencia y la estimación mensual de horas/hombre o intervenciones.</w:t>
            </w:r>
          </w:p>
        </w:tc>
      </w:tr>
      <w:tr>
        <w:tc>
          <w:tcPr>
            <w:tcW w:type="dxa" w:w="500"/>
          </w:tcPr>
          <w:p>
            <w:r>
              <w:t>7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III Especificación Técnica de Seguridad Rev. 8.xlsx</w:t>
              <w:br/>
              <w:t>Pág: 1</w:t>
              <w:br/>
              <w:t>"El servicio contratado de Seg e Hig de la contratista deberá visitar el área de trabajo, y permanecer el tiempo que la tarea lo requiera"</w:t>
            </w:r>
          </w:p>
        </w:tc>
        <w:tc>
          <w:tcPr>
            <w:tcW w:type="dxa" w:w="5533"/>
          </w:tcPr>
          <w:p>
            <w:r>
              <w:t>Solicitamos aclarar si se requiere supervisión permanente y continua de un profesional de Higiene y Seguridad durante todas las intervenciones o solo durante tareas críticas de alto riesgo.</w:t>
            </w:r>
          </w:p>
        </w:tc>
      </w:tr>
      <w:tr>
        <w:tc>
          <w:tcPr>
            <w:tcW w:type="dxa" w:w="500"/>
          </w:tcPr>
          <w:p>
            <w:r>
              <w:t>8</w:t>
            </w:r>
          </w:p>
        </w:tc>
        <w:tc>
          <w:tcPr>
            <w:tcW w:type="dxa" w:w="1131"/>
          </w:tcPr>
          <w:p>
            <w:r>
              <w:t>Económica</w:t>
            </w:r>
          </w:p>
        </w:tc>
        <w:tc>
          <w:tcPr>
            <w:tcW w:type="dxa" w:w="2196"/>
          </w:tcPr>
          <w:p>
            <w:r>
              <w:t>Anexo II Pliego de condiciones particulares Compras.docx</w:t>
              <w:br/>
              <w:t>Pág: 1</w:t>
              <w:br/>
              <w:t>"El Impuesto de Sellos, de corresponder, no será reconocido por YPF GAS, quedando a cargo de la Contratista la instrumentación del pago."</w:t>
            </w:r>
          </w:p>
        </w:tc>
        <w:tc>
          <w:tcPr>
            <w:tcW w:type="dxa" w:w="5533"/>
          </w:tcPr>
          <w:p>
            <w:r>
              <w:t>Solicitamos confirmar la jurisdicción provincial de perfeccionamiento del contrato a los fines del cálculo del Impuesto de Sellos aplicable.</w:t>
            </w:r>
          </w:p>
        </w:tc>
      </w:tr>
      <w:tr>
        <w:tc>
          <w:tcPr>
            <w:tcW w:type="dxa" w:w="500"/>
          </w:tcPr>
          <w:p>
            <w:r>
              <w:t>9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III Especificación Técnica de Seguridad Rev. 8.xlsx</w:t>
              <w:br/>
              <w:t>Pág: 1</w:t>
              <w:br/>
              <w:t>"Equipo Medidor de atmosfera explosiva, con certificado de calibración vigente."</w:t>
            </w:r>
          </w:p>
        </w:tc>
        <w:tc>
          <w:tcPr>
            <w:tcW w:type="dxa" w:w="5533"/>
          </w:tcPr>
          <w:p>
            <w:r>
              <w:t>Solicitamos confirmar si la medición y emisión de lecturas de explosimetría previa a los Permisos de Trabajo será efectuada por personal propio de YPF GAS o si debe ser provista por el contratista.</w:t>
            </w:r>
          </w:p>
        </w:tc>
      </w:tr>
    </w:tbl>
    <w:p w14:paraId="62DE6379" w14:textId="77777777" w:rsidR="00024037" w:rsidRDefault="00024037">
      <w:pPr>
        <w:spacing w:before="240"/>
      </w:pPr>
    </w:p>
    <w:p w14:paraId="089B0EAC" w14:textId="77777777" w:rsidR="00024037" w:rsidRDefault="001A61EC">
      <w:pPr>
        <w:spacing w:before="240" w:after="1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lastRenderedPageBreak/>
        <w:t>B. Inconsistencias detectadas en el pliego - Se solicita aclaración oficial</w:t>
      </w:r>
    </w:p>
    <w:p w14:paraId="3F8E9DAC" w14:textId="77777777" w:rsidR="00024037" w:rsidRDefault="001A61EC">
      <w:pPr>
        <w:spacing w:before="80" w:after="80"/>
      </w:pPr>
      <w:r>
        <w:rPr>
          <w:rFonts w:ascii="Arial" w:eastAsia="Arial" w:hAnsi="Arial" w:cs="Arial"/>
          <w:sz w:val="18"/>
          <w:szCs w:val="18"/>
        </w:rPr>
        <w:t>Las siguientes observaciones identifican contradicciones entre documentos del mismo proceso licitatorio. Se solicita a PAMPA ENERGÍA S.A. una aclaración formal que indique qué documento prevalece en cada caso, a fin de garantizar que todas las ofertas se formulen sobre las mismas bases.</w:t>
      </w:r>
    </w:p>
    <w:p w14:paraId="5D43AA5F" w14:textId="77777777" w:rsidR="00024037" w:rsidRDefault="000240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"/>
        <w:gridCol w:w="1381"/>
        <w:gridCol w:w="2412"/>
        <w:gridCol w:w="5078"/>
      </w:tblGrid>
      <w:tr w:rsidR="00024037" w14:paraId="04601348" w14:textId="77777777">
        <w:trPr>
          <w:tblHeader/>
        </w:trPr>
        <w:tc>
          <w:tcPr>
            <w:tcW w:w="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BE504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D9082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DC510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Documentos en conflicto</w:t>
            </w:r>
          </w:p>
        </w:tc>
        <w:tc>
          <w:tcPr>
            <w:tcW w:w="5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DB7C6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 la inconsistencia y pregunta</w:t>
            </w:r>
          </w:p>
        </w:tc>
      </w:tr>
      <w:tr>
        <w:tc>
          <w:tcPr>
            <w:tcW w:type="dxa" w:w="489"/>
          </w:tcPr>
          <w:p>
            <w:r>
              <w:t>10</w:t>
            </w:r>
          </w:p>
        </w:tc>
        <w:tc>
          <w:tcPr>
            <w:tcW w:type="dxa" w:w="1381"/>
          </w:tcPr>
          <w:p>
            <w:r>
              <w:t>Inconsistencia de Alcance</w:t>
            </w:r>
          </w:p>
        </w:tc>
        <w:tc>
          <w:tcPr>
            <w:tcW w:type="dxa" w:w="2412"/>
          </w:tcPr>
          <w:p>
            <w:r>
              <w:t>Anexo II Pliego de condiciones particulares Compras.docx, Anexo III Especificación Técnica de Seguridad Rev. 8.xlsx</w:t>
              <w:br/>
              <w:t>Pág: Anexo II pag. 1 / Anexo III hojas 1 a 13</w:t>
              <w:br/>
              <w:t>"Provisión YPF GAS llama a Concurso Privado de Precios para la adjudicación de los servicios de Servicio de mantenimiento a Demanda planta Belgrano"</w:t>
            </w:r>
          </w:p>
        </w:tc>
        <w:tc>
          <w:tcPr>
            <w:tcW w:type="dxa" w:w="5078"/>
          </w:tcPr>
          <w:p>
            <w:r>
              <w:t>El Anexo II establece como objeto único el Mantenimiento a Demanda de Planta Belgrano, pero el Anexo III incluye hojas de especificaciones de seguridad correspondientes a otros contratos (Comedor, Combis, Transporte Granel, Agua Envasada, etc.). Confirmar qué hojas del Anexo III aplican strictly a esta licitación.</w:t>
            </w:r>
          </w:p>
        </w:tc>
      </w:tr>
      <w:tr>
        <w:tc>
          <w:tcPr>
            <w:tcW w:type="dxa" w:w="489"/>
          </w:tcPr>
          <w:p>
            <w:r>
              <w:t>11</w:t>
            </w:r>
          </w:p>
        </w:tc>
        <w:tc>
          <w:tcPr>
            <w:tcW w:type="dxa" w:w="1381"/>
          </w:tcPr>
          <w:p>
            <w:r>
              <w:t>Contradicción Contractual</w:t>
            </w:r>
          </w:p>
        </w:tc>
        <w:tc>
          <w:tcPr>
            <w:tcW w:type="dxa" w:w="2412"/>
          </w:tcPr>
          <w:p>
            <w:r>
              <w:t>Anexo II Pliego de condiciones particulares Compras.docx, Anexo VI Modelo Carta Servicios Generales.docx</w:t>
              <w:br/>
              <w:t>Pág: Anexo II pag. 1 / Anexo VI pag. 1</w:t>
              <w:br/>
              <w:t>"El Plazo de vigencia del Contrato será de 12 meses desde la fecha de adjudicación, con opción a prórroga por hasta 48 meses adicionales... / El plazo de duración del presente instrumento será de __ meses..."</w:t>
            </w:r>
          </w:p>
        </w:tc>
        <w:tc>
          <w:tcPr>
            <w:tcW w:type="dxa" w:w="5078"/>
          </w:tcPr>
          <w:p>
            <w:r>
              <w:t>El Anexo II fija un plazo claro de 12 meses prorrogable por 48 meses, mientras que la plantilla del contrato Anexo VI tiene los espacios de vigencia y prórroga en blanco. Confirmar el texto contractual definitivo.</w:t>
            </w:r>
          </w:p>
        </w:tc>
      </w:tr>
      <w:tr>
        <w:tc>
          <w:tcPr>
            <w:tcW w:type="dxa" w:w="489"/>
          </w:tcPr>
          <w:p>
            <w:r>
              <w:t>12</w:t>
            </w:r>
          </w:p>
        </w:tc>
        <w:tc>
          <w:tcPr>
            <w:tcW w:type="dxa" w:w="1381"/>
          </w:tcPr>
          <w:p>
            <w:r>
              <w:t>Discordancia de Ubicación / Documentos Referenciados</w:t>
            </w:r>
          </w:p>
        </w:tc>
        <w:tc>
          <w:tcPr>
            <w:tcW w:type="dxa" w:w="2412"/>
          </w:tcPr>
          <w:p>
            <w:r>
              <w:t>Anexo II Pliego de condiciones particulares Compras.docx</w:t>
              <w:br/>
              <w:t>Pág: Anexo II pag. 1</w:t>
              <w:br/>
              <w:t>"Servicio de mantenimiento a Demanda planta Belgrano ... Pliego Red de Incendio Paraná (informativo) Anexos RCI (Informativo)"</w:t>
            </w:r>
          </w:p>
        </w:tc>
        <w:tc>
          <w:tcPr>
            <w:tcW w:type="dxa" w:w="5078"/>
          </w:tcPr>
          <w:p>
            <w:r>
              <w:t>Se convoca para la Planta Belgrano pero entre los documentos del concurso se menciona el 'Pliego Red de Incendio Paraná'. Aclarar si la obra/servicio incluye instalaciones de la Planta Paraná o si se trata de un error de inclusión documental.</w:t>
            </w:r>
          </w:p>
        </w:tc>
      </w:tr>
      <w:tr>
        <w:tc>
          <w:tcPr>
            <w:tcW w:type="dxa" w:w="489"/>
          </w:tcPr>
          <w:p>
            <w:r>
              <w:t>13</w:t>
            </w:r>
          </w:p>
        </w:tc>
        <w:tc>
          <w:tcPr>
            <w:tcW w:type="dxa" w:w="1381"/>
          </w:tcPr>
          <w:p>
            <w:r>
              <w:t>Discrepancia en Fórmula de Penalidades</w:t>
            </w:r>
          </w:p>
        </w:tc>
        <w:tc>
          <w:tcPr>
            <w:tcW w:type="dxa" w:w="2412"/>
          </w:tcPr>
          <w:p>
            <w:r>
              <w:t>Anexo II Pliego de condiciones particulares Compras.docx, Anexo VI Modelo Carta Servicios Generales.docx</w:t>
              <w:br/>
              <w:t>Pág: Anexo II pag. 1 / Anexo VI pag. 2</w:t>
              <w:br/>
              <w:t>"Deducción equivalente al 1% y hasta un 10% del promedio de facturación correspondiente de los últimos seis (6) meses ... / a)……………………… b)……………………... c)………………………"</w:t>
            </w:r>
          </w:p>
        </w:tc>
        <w:tc>
          <w:tcPr>
            <w:tcW w:type="dxa" w:w="5078"/>
          </w:tcPr>
          <w:p>
            <w:r>
              <w:t>El Anexo VI incluye un apartado 8.5 para 'Otras penalidades' con campos punteados sin completar, generando incertidumbre sobre penalizaciones adicionales no previstas en el Pliego Particular.</w:t>
            </w:r>
          </w:p>
        </w:tc>
      </w:tr>
      <w:tr>
        <w:tc>
          <w:tcPr>
            <w:tcW w:type="dxa" w:w="489"/>
          </w:tcPr>
          <w:p>
            <w:r>
              <w:t>14</w:t>
            </w:r>
          </w:p>
        </w:tc>
        <w:tc>
          <w:tcPr>
            <w:tcW w:type="dxa" w:w="1381"/>
          </w:tcPr>
          <w:p>
            <w:r>
              <w:t>Conflicto de Nomenclatura de Anexos</w:t>
            </w:r>
          </w:p>
        </w:tc>
        <w:tc>
          <w:tcPr>
            <w:tcW w:type="dxa" w:w="2412"/>
          </w:tcPr>
          <w:p>
            <w:r>
              <w:t>Anexo II Pliego de condiciones particulares Compras.docx, Anexo VI Modelo Carta Servicios Generales.docx</w:t>
              <w:br/>
              <w:t>Pág: Anexo II pag. 1 / Anexo VI pag. 1</w:t>
              <w:br/>
              <w:t>"Anexo IV Condiciones Generales de Compras y Contratación ... / Anexo IV: CMASS ... Anexo VI: Condiciones generales de compras"</w:t>
            </w:r>
          </w:p>
        </w:tc>
        <w:tc>
          <w:tcPr>
            <w:tcW w:type="dxa" w:w="5078"/>
          </w:tcPr>
          <w:p>
            <w:r>
              <w:t>La numeración de los Anexos difiere entre la lista de documentos a presentar del Anexo II y el orden de prelación establecido en el contrato marco Anexo VI, lo que puede provocar ambigüedad legal sobre la prevalencia de las cláusulas.</w:t>
            </w:r>
          </w:p>
        </w:tc>
      </w:tr>
    </w:tbl>
    <w:p w14:paraId="3F40F8FF" w14:textId="77777777" w:rsidR="00024037" w:rsidRDefault="00024037">
      <w:pPr>
        <w:spacing w:before="240"/>
      </w:pPr>
    </w:p>
    <w:p w14:paraId="3A9D31B1" w14:textId="77777777" w:rsidR="00024037" w:rsidRDefault="001A61EC">
      <w:pPr>
        <w:spacing w:before="80" w:after="80"/>
      </w:pPr>
      <w:r>
        <w:rPr>
          <w:rFonts w:ascii="Arial" w:eastAsia="Arial" w:hAnsi="Arial" w:cs="Arial"/>
          <w:sz w:val="18"/>
          <w:szCs w:val="18"/>
        </w:rPr>
        <w:t>Sin otro particular, quedamos a disposición para cualquier aclaración adicional.</w:t>
      </w:r>
    </w:p>
    <w:sectPr w:rsidR="000240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4F37"/>
    <w:multiLevelType w:val="hybridMultilevel"/>
    <w:tmpl w:val="B35A1E50"/>
    <w:lvl w:ilvl="0" w:tplc="6E7C072C">
      <w:start w:val="1"/>
      <w:numFmt w:val="bullet"/>
      <w:lvlText w:val="●"/>
      <w:lvlJc w:val="left"/>
      <w:pPr>
        <w:ind w:left="720" w:hanging="360"/>
      </w:pPr>
    </w:lvl>
    <w:lvl w:ilvl="1" w:tplc="7B0C1B28">
      <w:start w:val="1"/>
      <w:numFmt w:val="bullet"/>
      <w:lvlText w:val="○"/>
      <w:lvlJc w:val="left"/>
      <w:pPr>
        <w:ind w:left="1440" w:hanging="360"/>
      </w:pPr>
    </w:lvl>
    <w:lvl w:ilvl="2" w:tplc="56C09056">
      <w:start w:val="1"/>
      <w:numFmt w:val="bullet"/>
      <w:lvlText w:val="■"/>
      <w:lvlJc w:val="left"/>
      <w:pPr>
        <w:ind w:left="2160" w:hanging="360"/>
      </w:pPr>
    </w:lvl>
    <w:lvl w:ilvl="3" w:tplc="CD4EE374">
      <w:start w:val="1"/>
      <w:numFmt w:val="bullet"/>
      <w:lvlText w:val="●"/>
      <w:lvlJc w:val="left"/>
      <w:pPr>
        <w:ind w:left="2880" w:hanging="360"/>
      </w:pPr>
    </w:lvl>
    <w:lvl w:ilvl="4" w:tplc="98047DDC">
      <w:start w:val="1"/>
      <w:numFmt w:val="bullet"/>
      <w:lvlText w:val="○"/>
      <w:lvlJc w:val="left"/>
      <w:pPr>
        <w:ind w:left="3600" w:hanging="360"/>
      </w:pPr>
    </w:lvl>
    <w:lvl w:ilvl="5" w:tplc="E0084D38">
      <w:start w:val="1"/>
      <w:numFmt w:val="bullet"/>
      <w:lvlText w:val="■"/>
      <w:lvlJc w:val="left"/>
      <w:pPr>
        <w:ind w:left="4320" w:hanging="360"/>
      </w:pPr>
    </w:lvl>
    <w:lvl w:ilvl="6" w:tplc="AD540670">
      <w:start w:val="1"/>
      <w:numFmt w:val="bullet"/>
      <w:lvlText w:val="●"/>
      <w:lvlJc w:val="left"/>
      <w:pPr>
        <w:ind w:left="5040" w:hanging="360"/>
      </w:pPr>
    </w:lvl>
    <w:lvl w:ilvl="7" w:tplc="769CC6A4">
      <w:start w:val="1"/>
      <w:numFmt w:val="bullet"/>
      <w:lvlText w:val="●"/>
      <w:lvlJc w:val="left"/>
      <w:pPr>
        <w:ind w:left="5760" w:hanging="360"/>
      </w:pPr>
    </w:lvl>
    <w:lvl w:ilvl="8" w:tplc="1E96D490">
      <w:start w:val="1"/>
      <w:numFmt w:val="bullet"/>
      <w:lvlText w:val="●"/>
      <w:lvlJc w:val="left"/>
      <w:pPr>
        <w:ind w:left="6480" w:hanging="360"/>
      </w:pPr>
    </w:lvl>
  </w:abstractNum>
  <w:num w:numId="1" w16cid:durableId="111486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037"/>
    <w:rsid w:val="00024037"/>
    <w:rsid w:val="0003404F"/>
    <w:rsid w:val="001A61EC"/>
    <w:rsid w:val="00240001"/>
    <w:rsid w:val="00AF0592"/>
    <w:rsid w:val="00B07118"/>
    <w:rsid w:val="00CE77C2"/>
    <w:rsid w:val="00D9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2EAC3"/>
  <w15:docId w15:val="{343D6937-6E9E-4645-B345-ED5167C4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B4613A-67D5-4F1A-8249-DBA7EE949A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31EF20-01F3-4B9B-A65D-1B1F99BEA44A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customXml/itemProps3.xml><?xml version="1.0" encoding="utf-8"?>
<ds:datastoreItem xmlns:ds="http://schemas.openxmlformats.org/officeDocument/2006/customXml" ds:itemID="{CC5AEAFE-C867-41CA-850F-9E08BF8CD3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1828</Words>
  <Characters>10056</Characters>
  <Application>Microsoft Office Word</Application>
  <DocSecurity>0</DocSecurity>
  <Lines>83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Agustina Martinet</cp:lastModifiedBy>
  <cp:revision>6</cp:revision>
  <dcterms:created xsi:type="dcterms:W3CDTF">2026-07-06T18:21:00Z</dcterms:created>
  <dcterms:modified xsi:type="dcterms:W3CDTF">2026-07-09T18:52:00Z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</Properties>
</file>