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7409" w14:textId="0901BDFA" w:rsidR="00024037" w:rsidRDefault="001A61EC">
      <w:pPr>
        <w:spacing w:after="160"/>
      </w:pPr>
      <w:r>
        <w:rPr>
          <w:rFonts w:ascii="Arial" w:eastAsia="Arial" w:hAnsi="Arial" w:cs="Arial"/>
          <w:b/>
          <w:bCs/>
          <w:color w:val="1F4E79"/>
          <w:sz w:val="28"/>
          <w:szCs w:val="28"/>
        </w:rPr>
        <w:t xml:space="preserve">Consultas al pliego </w:t>
      </w:r>
      <w:r w:rsidR="00D93014">
        <w:rPr>
          <w:rFonts w:ascii="Arial" w:eastAsia="Arial" w:hAnsi="Arial" w:cs="Arial"/>
          <w:b/>
          <w:bCs/>
          <w:color w:val="1F4E79"/>
          <w:sz w:val="28"/>
          <w:szCs w:val="28"/>
        </w:rPr>
        <w:t>–</w:t>
      </w:r>
      <w:r>
        <w:rPr>
          <w:rFonts w:ascii="Arial" w:eastAsia="Arial" w:hAnsi="Arial" w:cs="Arial"/>
          <w:b/>
          <w:bCs/>
          <w:color w:val="1F4E79"/>
          <w:sz w:val="28"/>
          <w:szCs w:val="28"/>
        </w:rPr>
        <w:t xml:space="preserve"> </w:t>
      </w:r>
      <w:r w:rsidR="00D93014">
        <w:rPr>
          <w:rFonts w:ascii="Arial" w:eastAsia="Arial" w:hAnsi="Arial" w:cs="Arial"/>
          <w:b/>
          <w:bCs/>
          <w:color w:val="1F4E79"/>
          <w:sz w:val="28"/>
          <w:szCs w:val="28"/>
        </w:rPr>
        <w:t>{{NOMBREPLIEGO}}</w:t>
      </w:r>
    </w:p>
    <w:p w14:paraId="02EA2D87" w14:textId="4299EC19" w:rsidR="00024037" w:rsidRDefault="001A61EC">
      <w:pPr>
        <w:spacing w:before="80" w:after="80"/>
      </w:pPr>
      <w:r>
        <w:rPr>
          <w:rFonts w:ascii="Arial" w:eastAsia="Arial" w:hAnsi="Arial" w:cs="Arial"/>
          <w:b/>
          <w:bCs/>
          <w:sz w:val="18"/>
          <w:szCs w:val="18"/>
        </w:rPr>
        <w:t xml:space="preserve">Contratante: </w:t>
      </w:r>
      <w:r w:rsidR="00B07118" w:rsidRPr="00B07118">
        <w:rPr>
          <w:rFonts w:ascii="Arial" w:eastAsia="Arial" w:hAnsi="Arial" w:cs="Arial"/>
          <w:b/>
          <w:bCs/>
          <w:sz w:val="18"/>
          <w:szCs w:val="18"/>
        </w:rPr>
        <w:t>{{CLIENTE</w:t>
      </w:r>
      <w:proofErr w:type="gramStart"/>
      <w:r w:rsidR="00B07118" w:rsidRPr="00B07118">
        <w:rPr>
          <w:rFonts w:ascii="Arial" w:eastAsia="Arial" w:hAnsi="Arial" w:cs="Arial"/>
          <w:b/>
          <w:bCs/>
          <w:sz w:val="18"/>
          <w:szCs w:val="18"/>
        </w:rPr>
        <w:t>}}</w:t>
      </w:r>
      <w:r w:rsidR="00B07118">
        <w:rPr>
          <w:rFonts w:ascii="Arial" w:eastAsia="Arial" w:hAnsi="Arial" w:cs="Arial"/>
          <w:b/>
          <w:bCs/>
          <w:sz w:val="18"/>
          <w:szCs w:val="18"/>
        </w:rPr>
        <w:t xml:space="preserve">  </w:t>
      </w:r>
      <w:r>
        <w:rPr>
          <w:rFonts w:ascii="Arial" w:eastAsia="Arial" w:hAnsi="Arial" w:cs="Arial"/>
          <w:b/>
          <w:bCs/>
          <w:sz w:val="18"/>
          <w:szCs w:val="18"/>
        </w:rPr>
        <w:t>Proceso</w:t>
      </w:r>
      <w:proofErr w:type="gramEnd"/>
      <w:r>
        <w:rPr>
          <w:rFonts w:ascii="Arial" w:eastAsia="Arial" w:hAnsi="Arial" w:cs="Arial"/>
          <w:b/>
          <w:bCs/>
          <w:sz w:val="18"/>
          <w:szCs w:val="18"/>
        </w:rPr>
        <w:t xml:space="preserve">: </w:t>
      </w:r>
      <w:r w:rsidR="00CE77C2" w:rsidRPr="00CE77C2">
        <w:rPr>
          <w:rFonts w:ascii="Arial" w:eastAsia="Arial" w:hAnsi="Arial" w:cs="Arial"/>
          <w:b/>
          <w:bCs/>
          <w:sz w:val="18"/>
          <w:szCs w:val="18"/>
        </w:rPr>
        <w:t>{{PROCESO</w:t>
      </w:r>
      <w:proofErr w:type="gramStart"/>
      <w:r w:rsidR="00CE77C2" w:rsidRPr="00CE77C2">
        <w:rPr>
          <w:rFonts w:ascii="Arial" w:eastAsia="Arial" w:hAnsi="Arial" w:cs="Arial"/>
          <w:b/>
          <w:bCs/>
          <w:sz w:val="18"/>
          <w:szCs w:val="18"/>
        </w:rPr>
        <w:t>}}</w:t>
      </w:r>
      <w:r>
        <w:rPr>
          <w:rFonts w:ascii="Arial" w:eastAsia="Arial" w:hAnsi="Arial" w:cs="Arial"/>
          <w:sz w:val="18"/>
          <w:szCs w:val="18"/>
        </w:rPr>
        <w:t xml:space="preserve">   </w:t>
      </w:r>
      <w:proofErr w:type="gramEnd"/>
      <w:r>
        <w:rPr>
          <w:rFonts w:ascii="Arial" w:eastAsia="Arial" w:hAnsi="Arial" w:cs="Arial"/>
          <w:sz w:val="18"/>
          <w:szCs w:val="18"/>
        </w:rPr>
        <w:t xml:space="preserve">  </w:t>
      </w:r>
      <w:r>
        <w:rPr>
          <w:rFonts w:ascii="Arial" w:eastAsia="Arial" w:hAnsi="Arial" w:cs="Arial"/>
          <w:b/>
          <w:bCs/>
          <w:sz w:val="18"/>
          <w:szCs w:val="18"/>
        </w:rPr>
        <w:t xml:space="preserve">Moneda: </w:t>
      </w:r>
      <w:r w:rsidR="00D93014" w:rsidRPr="001A61EC">
        <w:rPr>
          <w:rFonts w:ascii="Arial" w:eastAsia="Arial" w:hAnsi="Arial" w:cs="Arial"/>
          <w:b/>
          <w:bCs/>
          <w:sz w:val="18"/>
          <w:szCs w:val="18"/>
        </w:rPr>
        <w:t>{{</w:t>
      </w:r>
      <w:r w:rsidR="00D93014">
        <w:rPr>
          <w:rFonts w:ascii="Arial" w:eastAsia="Arial" w:hAnsi="Arial" w:cs="Arial"/>
          <w:b/>
          <w:bCs/>
          <w:sz w:val="18"/>
          <w:szCs w:val="18"/>
        </w:rPr>
        <w:t>MONEDA</w:t>
      </w:r>
      <w:r w:rsidR="00D93014" w:rsidRPr="001A61EC">
        <w:rPr>
          <w:rFonts w:ascii="Arial" w:eastAsia="Arial" w:hAnsi="Arial" w:cs="Arial"/>
          <w:b/>
          <w:bCs/>
          <w:sz w:val="18"/>
          <w:szCs w:val="18"/>
        </w:rPr>
        <w:t>}}</w:t>
      </w:r>
    </w:p>
    <w:p w14:paraId="6CE1469E" w14:textId="7A1A1F1D" w:rsidR="00024037" w:rsidRDefault="001A61EC">
      <w:pPr>
        <w:spacing w:before="80" w:after="80"/>
      </w:pPr>
      <w:r>
        <w:rPr>
          <w:rFonts w:ascii="Arial" w:eastAsia="Arial" w:hAnsi="Arial" w:cs="Arial"/>
          <w:b/>
          <w:bCs/>
          <w:sz w:val="18"/>
          <w:szCs w:val="18"/>
        </w:rPr>
        <w:t xml:space="preserve">Planta: </w:t>
      </w:r>
      <w:r w:rsidR="00CE77C2" w:rsidRPr="00CE77C2">
        <w:rPr>
          <w:rFonts w:ascii="Arial" w:eastAsia="Arial" w:hAnsi="Arial" w:cs="Arial"/>
          <w:b/>
          <w:bCs/>
          <w:sz w:val="18"/>
          <w:szCs w:val="18"/>
        </w:rPr>
        <w:t>{{P</w:t>
      </w:r>
      <w:r w:rsidR="00CE77C2">
        <w:rPr>
          <w:rFonts w:ascii="Arial" w:eastAsia="Arial" w:hAnsi="Arial" w:cs="Arial"/>
          <w:b/>
          <w:bCs/>
          <w:sz w:val="18"/>
          <w:szCs w:val="18"/>
        </w:rPr>
        <w:t>LANTA</w:t>
      </w:r>
      <w:proofErr w:type="gramStart"/>
      <w:r w:rsidR="00CE77C2" w:rsidRPr="00CE77C2">
        <w:rPr>
          <w:rFonts w:ascii="Arial" w:eastAsia="Arial" w:hAnsi="Arial" w:cs="Arial"/>
          <w:b/>
          <w:bCs/>
          <w:sz w:val="18"/>
          <w:szCs w:val="18"/>
        </w:rPr>
        <w:t>}}</w:t>
      </w:r>
      <w:r>
        <w:rPr>
          <w:rFonts w:ascii="Arial" w:eastAsia="Arial" w:hAnsi="Arial" w:cs="Arial"/>
          <w:sz w:val="18"/>
          <w:szCs w:val="18"/>
        </w:rPr>
        <w:t xml:space="preserve">   </w:t>
      </w:r>
      <w:proofErr w:type="gramEnd"/>
      <w:r>
        <w:rPr>
          <w:rFonts w:ascii="Arial" w:eastAsia="Arial" w:hAnsi="Arial" w:cs="Arial"/>
          <w:sz w:val="18"/>
          <w:szCs w:val="18"/>
        </w:rPr>
        <w:t xml:space="preserve"> </w:t>
      </w:r>
      <w:r>
        <w:rPr>
          <w:rFonts w:ascii="Arial" w:eastAsia="Arial" w:hAnsi="Arial" w:cs="Arial"/>
          <w:b/>
          <w:bCs/>
          <w:sz w:val="18"/>
          <w:szCs w:val="18"/>
        </w:rPr>
        <w:t xml:space="preserve">Requirente: </w:t>
      </w:r>
      <w:r w:rsidR="00CE77C2" w:rsidRPr="00CE77C2">
        <w:rPr>
          <w:rFonts w:ascii="Arial" w:eastAsia="Arial" w:hAnsi="Arial" w:cs="Arial"/>
          <w:b/>
          <w:bCs/>
          <w:sz w:val="18"/>
          <w:szCs w:val="18"/>
        </w:rPr>
        <w:t>{{</w:t>
      </w:r>
      <w:r>
        <w:rPr>
          <w:rFonts w:ascii="Arial" w:eastAsia="Arial" w:hAnsi="Arial" w:cs="Arial"/>
          <w:b/>
          <w:bCs/>
          <w:sz w:val="18"/>
          <w:szCs w:val="18"/>
        </w:rPr>
        <w:t>REQUIRENTE</w:t>
      </w:r>
      <w:r w:rsidR="00CE77C2" w:rsidRPr="00CE77C2">
        <w:rPr>
          <w:rFonts w:ascii="Arial" w:eastAsia="Arial" w:hAnsi="Arial" w:cs="Arial"/>
          <w:b/>
          <w:bCs/>
          <w:sz w:val="18"/>
          <w:szCs w:val="18"/>
        </w:rPr>
        <w:t>}}</w:t>
      </w:r>
      <w:r w:rsidR="00CE77C2">
        <w:rPr>
          <w:rFonts w:ascii="Arial" w:eastAsia="Arial" w:hAnsi="Arial" w:cs="Arial"/>
          <w:b/>
          <w:bCs/>
          <w:sz w:val="18"/>
          <w:szCs w:val="18"/>
        </w:rPr>
        <w:t xml:space="preserve"> </w:t>
      </w:r>
      <w:r>
        <w:rPr>
          <w:rFonts w:ascii="Arial" w:eastAsia="Arial" w:hAnsi="Arial" w:cs="Arial"/>
          <w:b/>
          <w:bCs/>
          <w:sz w:val="18"/>
          <w:szCs w:val="18"/>
        </w:rPr>
        <w:t xml:space="preserve">Comprador: </w:t>
      </w:r>
      <w:r w:rsidRPr="001A61EC">
        <w:rPr>
          <w:rFonts w:ascii="Arial" w:eastAsia="Arial" w:hAnsi="Arial" w:cs="Arial"/>
          <w:b/>
          <w:bCs/>
          <w:sz w:val="18"/>
          <w:szCs w:val="18"/>
        </w:rPr>
        <w:t>{{</w:t>
      </w:r>
      <w:r>
        <w:rPr>
          <w:rFonts w:ascii="Arial" w:eastAsia="Arial" w:hAnsi="Arial" w:cs="Arial"/>
          <w:b/>
          <w:bCs/>
          <w:sz w:val="18"/>
          <w:szCs w:val="18"/>
        </w:rPr>
        <w:t>COMPRADOR</w:t>
      </w:r>
      <w:r w:rsidRPr="001A61EC">
        <w:rPr>
          <w:rFonts w:ascii="Arial" w:eastAsia="Arial" w:hAnsi="Arial" w:cs="Arial"/>
          <w:b/>
          <w:bCs/>
          <w:sz w:val="18"/>
          <w:szCs w:val="18"/>
        </w:rPr>
        <w:t>}}</w:t>
      </w:r>
    </w:p>
    <w:p w14:paraId="6E7105B0" w14:textId="3EAE5841" w:rsidR="00024037" w:rsidRDefault="00D93014">
      <w:pPr>
        <w:spacing w:before="120"/>
      </w:pPr>
      <w:r w:rsidRPr="00D93014">
        <w:rPr>
          <w:rFonts w:ascii="Arial" w:eastAsia="Arial" w:hAnsi="Arial" w:cs="Arial"/>
          <w:sz w:val="18"/>
          <w:szCs w:val="18"/>
        </w:rPr>
        <w:t>Las siguientes consultas se formulan con referencia a los documentos del proceso licitatorio ({{LISTA_DOCUMENTOS}}). Las respuestas pasarán a formar parte integrante del pliego.</w:t>
      </w:r>
    </w:p>
    <w:p w14:paraId="00F41EF0" w14:textId="77777777" w:rsidR="00024037" w:rsidRDefault="001A61EC">
      <w:pPr>
        <w:spacing w:before="240" w:after="160"/>
      </w:pPr>
      <w:r>
        <w:rPr>
          <w:rFonts w:ascii="Arial" w:eastAsia="Arial" w:hAnsi="Arial" w:cs="Arial"/>
          <w:b/>
          <w:bCs/>
          <w:color w:val="1F4E79"/>
          <w:sz w:val="24"/>
          <w:szCs w:val="24"/>
        </w:rPr>
        <w:t>A. Consultas técnicas, operativas y económicas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31"/>
        <w:gridCol w:w="2196"/>
        <w:gridCol w:w="5533"/>
      </w:tblGrid>
      <w:tr w:rsidR="00024037" w14:paraId="0422DF4A"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53832D"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EDC32B6" w14:textId="77777777" w:rsidR="00024037" w:rsidRDefault="001A61EC">
            <w:pPr>
              <w:jc w:val="center"/>
            </w:pPr>
            <w:r>
              <w:rPr>
                <w:rFonts w:ascii="Arial" w:eastAsia="Arial" w:hAnsi="Arial" w:cs="Arial"/>
                <w:b/>
                <w:bCs/>
                <w:color w:val="FFFFFF"/>
                <w:sz w:val="18"/>
                <w:szCs w:val="18"/>
              </w:rPr>
              <w:t>Categoría</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923B89" w14:textId="77777777" w:rsidR="00024037" w:rsidRDefault="001A61EC">
            <w:pPr>
              <w:jc w:val="center"/>
            </w:pPr>
            <w:r>
              <w:rPr>
                <w:rFonts w:ascii="Arial" w:eastAsia="Arial" w:hAnsi="Arial" w:cs="Arial"/>
                <w:b/>
                <w:bCs/>
                <w:color w:val="FFFFFF"/>
                <w:sz w:val="18"/>
                <w:szCs w:val="18"/>
              </w:rPr>
              <w:t>Archivo / Punto de origen</w:t>
            </w:r>
          </w:p>
        </w:tc>
        <w:tc>
          <w:tcPr>
            <w:tcW w:w="5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502B691" w14:textId="77777777" w:rsidR="00024037" w:rsidRDefault="001A61EC">
            <w:pPr>
              <w:jc w:val="center"/>
            </w:pPr>
            <w:r>
              <w:rPr>
                <w:rFonts w:ascii="Arial" w:eastAsia="Arial" w:hAnsi="Arial" w:cs="Arial"/>
                <w:b/>
                <w:bCs/>
                <w:color w:val="FFFFFF"/>
                <w:sz w:val="18"/>
                <w:szCs w:val="18"/>
              </w:rPr>
              <w:t>Consulta</w:t>
            </w:r>
          </w:p>
        </w:tc>
      </w:tr>
      <w:tr w:rsidR="00024037" w14:paraId="0AEA94D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8DCC677" w14:textId="77777777" w:rsidR="00024037" w:rsidRDefault="001A61EC">
            <w:pPr>
              <w:jc w:val="center"/>
            </w:pPr>
            <w:r>
              <w:rPr>
                <w:rFonts w:ascii="Arial" w:eastAsia="Arial" w:hAnsi="Arial" w:cs="Arial"/>
                <w:b/>
                <w:bCs/>
                <w:sz w:val="18"/>
                <w:szCs w:val="18"/>
              </w:rPr>
              <w:t>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8B69FFE" w14:textId="77777777" w:rsidR="00024037" w:rsidRDefault="001A61EC">
            <w:pPr>
              <w:jc w:val="center"/>
            </w:pPr>
            <w:r>
              <w:rPr>
                <w:rFonts w:ascii="Arial" w:eastAsia="Arial" w:hAnsi="Arial" w:cs="Arial"/>
                <w:sz w:val="18"/>
                <w:szCs w:val="18"/>
              </w:rPr>
              <w:t>Operativa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124A82A" w14:textId="77777777" w:rsidR="00024037" w:rsidRDefault="001A61EC">
            <w:r>
              <w:rPr>
                <w:rFonts w:ascii="Arial" w:eastAsia="Arial" w:hAnsi="Arial" w:cs="Arial"/>
                <w:sz w:val="18"/>
                <w:szCs w:val="18"/>
              </w:rPr>
              <w:t>Indicaciones para cotizar / Visita a Planta</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6544BBF" w14:textId="77777777" w:rsidR="00024037" w:rsidRDefault="001A61EC">
            <w:r>
              <w:rPr>
                <w:rFonts w:ascii="Arial" w:eastAsia="Arial" w:hAnsi="Arial" w:cs="Arial"/>
                <w:sz w:val="18"/>
                <w:szCs w:val="18"/>
              </w:rPr>
              <w:t>La visita a planta es de carácter obligatorio (contacto: Sr. Claudio Damiani). Sin embargo, no se indica si durante dicha visita se entregará un inventario de activos (portones, tableros, superficies) o si el relevamiento corre exclusivamente a cargo del oferente. ¿Pampa Energía proveerá un listado de activos existentes previo o durante la visita, o el oferente debe asumir el relevamiento completo a su costo y riesgo como parte de la oferta?</w:t>
            </w:r>
          </w:p>
        </w:tc>
      </w:tr>
      <w:tr w:rsidR="00024037" w14:paraId="4CD3BEDC" w14:textId="77777777">
        <w:tc>
          <w:tcPr>
            <w:tcW w:w="5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645D97C8" w14:textId="77777777" w:rsidR="00024037" w:rsidRDefault="001A61EC">
            <w:pPr>
              <w:jc w:val="center"/>
            </w:pPr>
            <w:r>
              <w:rPr>
                <w:rFonts w:ascii="Arial" w:eastAsia="Arial" w:hAnsi="Arial" w:cs="Arial"/>
                <w:b/>
                <w:bCs/>
                <w:sz w:val="18"/>
                <w:szCs w:val="18"/>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7594C804" w14:textId="77777777" w:rsidR="00024037" w:rsidRDefault="001A61EC">
            <w:pPr>
              <w:jc w:val="center"/>
            </w:pPr>
            <w:r>
              <w:rPr>
                <w:rFonts w:ascii="Arial" w:eastAsia="Arial" w:hAnsi="Arial" w:cs="Arial"/>
                <w:sz w:val="18"/>
                <w:szCs w:val="18"/>
              </w:rPr>
              <w:t>Operativa</w:t>
            </w:r>
          </w:p>
        </w:tc>
        <w:tc>
          <w:tcPr>
            <w:tcW w:w="22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67CA4506" w14:textId="77777777" w:rsidR="00024037" w:rsidRDefault="001A61EC">
            <w:r>
              <w:rPr>
                <w:rFonts w:ascii="Arial" w:eastAsia="Arial" w:hAnsi="Arial" w:cs="Arial"/>
                <w:sz w:val="18"/>
                <w:szCs w:val="18"/>
              </w:rPr>
              <w:t>Indicaciones para cotizar / Modalidad de pago</w:t>
            </w:r>
          </w:p>
        </w:tc>
        <w:tc>
          <w:tcPr>
            <w:tcW w:w="556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55C6F5E2" w14:textId="77777777" w:rsidR="00024037" w:rsidRDefault="001A61EC">
            <w:r>
              <w:rPr>
                <w:rFonts w:ascii="Arial" w:eastAsia="Arial" w:hAnsi="Arial" w:cs="Arial"/>
                <w:sz w:val="18"/>
                <w:szCs w:val="18"/>
              </w:rPr>
              <w:t>El pliego establece certificaciones quincenales pagaderas a 30 días fecha de recepción de factura. Las Condiciones Generales (Art. 13) requieren presentar, junto con cada certificado, comprobantes de pago de salarios, aportes, seguros y ART del período correspondiente. ¿La primera certificación se emite al cierre del primer período quincenal desde el inicio del contrato, o existe un período inicial de gracia para la acumulación de documentación laboral?</w:t>
            </w:r>
          </w:p>
        </w:tc>
      </w:tr>
      <w:tr w:rsidR="00024037" w14:paraId="358BCDE1"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24DDD01" w14:textId="77777777" w:rsidR="00024037" w:rsidRDefault="001A61EC">
            <w:pPr>
              <w:jc w:val="center"/>
            </w:pPr>
            <w:r>
              <w:rPr>
                <w:rFonts w:ascii="Arial" w:eastAsia="Arial" w:hAnsi="Arial" w:cs="Arial"/>
                <w:b/>
                <w:bCs/>
                <w:sz w:val="18"/>
                <w:szCs w:val="18"/>
              </w:rPr>
              <w:t>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0245C76" w14:textId="77777777" w:rsidR="00024037" w:rsidRDefault="001A61EC">
            <w:pPr>
              <w:jc w:val="center"/>
            </w:pPr>
            <w:r>
              <w:rPr>
                <w:rFonts w:ascii="Arial" w:eastAsia="Arial" w:hAnsi="Arial" w:cs="Arial"/>
                <w:sz w:val="18"/>
                <w:szCs w:val="18"/>
              </w:rPr>
              <w:t>Económica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DFBE052" w14:textId="77777777" w:rsidR="00024037" w:rsidRDefault="001A61EC">
            <w:r>
              <w:rPr>
                <w:rFonts w:ascii="Arial" w:eastAsia="Arial" w:hAnsi="Arial" w:cs="Arial"/>
                <w:sz w:val="18"/>
                <w:szCs w:val="18"/>
              </w:rPr>
              <w:t>Planilla de Cotización Obras Civiles Menores PGSM 2026.xlsx</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2D9B89A" w14:textId="77777777" w:rsidR="00024037" w:rsidRDefault="001A61EC">
            <w:r>
              <w:rPr>
                <w:rFonts w:ascii="Arial" w:eastAsia="Arial" w:hAnsi="Arial" w:cs="Arial"/>
                <w:sz w:val="18"/>
                <w:szCs w:val="18"/>
              </w:rPr>
              <w:t>La planilla de cotización está expresada en pesos argentinos (ARS). El pliego no aclara si los precios deben incluir IVA o se entienden netos. Las Condiciones Generales (Art. 3, Forma de cotizar) indican que los precios se entienden sin IVA. ¿Se confirma que la planilla debe completarse con valores netos sin IVA, siendo éste discriminado en la facturación?</w:t>
            </w:r>
          </w:p>
        </w:tc>
      </w:tr>
      <w:tr w:rsidR="00024037" w14:paraId="17C3E5FC" w14:textId="77777777">
        <w:tc>
          <w:tcPr>
            <w:tcW w:w="5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4F65F3B9" w14:textId="77777777" w:rsidR="00024037" w:rsidRDefault="001A61EC">
            <w:pPr>
              <w:jc w:val="center"/>
            </w:pPr>
            <w:r>
              <w:rPr>
                <w:rFonts w:ascii="Arial" w:eastAsia="Arial" w:hAnsi="Arial" w:cs="Arial"/>
                <w:b/>
                <w:bCs/>
                <w:sz w:val="18"/>
                <w:szCs w:val="18"/>
              </w:rPr>
              <w:t>4</w:t>
            </w:r>
          </w:p>
        </w:tc>
        <w:tc>
          <w:tcPr>
            <w:tcW w:w="11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1543E8E3" w14:textId="77777777" w:rsidR="00024037" w:rsidRDefault="001A61EC">
            <w:pPr>
              <w:jc w:val="center"/>
            </w:pPr>
            <w:r>
              <w:rPr>
                <w:rFonts w:ascii="Arial" w:eastAsia="Arial" w:hAnsi="Arial" w:cs="Arial"/>
                <w:sz w:val="18"/>
                <w:szCs w:val="18"/>
              </w:rPr>
              <w:t>Económica</w:t>
            </w:r>
          </w:p>
        </w:tc>
        <w:tc>
          <w:tcPr>
            <w:tcW w:w="22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6949F66C" w14:textId="77777777" w:rsidR="00024037" w:rsidRDefault="001A61EC">
            <w:r>
              <w:rPr>
                <w:rFonts w:ascii="Arial" w:eastAsia="Arial" w:hAnsi="Arial" w:cs="Arial"/>
                <w:sz w:val="18"/>
                <w:szCs w:val="18"/>
              </w:rPr>
              <w:t>Pauta de Redeterminación de tarifas.docx</w:t>
            </w:r>
          </w:p>
        </w:tc>
        <w:tc>
          <w:tcPr>
            <w:tcW w:w="556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557F82A5" w14:textId="77777777" w:rsidR="00024037" w:rsidRDefault="001A61EC">
            <w:r>
              <w:rPr>
                <w:rFonts w:ascii="Arial" w:eastAsia="Arial" w:hAnsi="Arial" w:cs="Arial"/>
                <w:sz w:val="18"/>
                <w:szCs w:val="18"/>
              </w:rPr>
              <w:t>La fórmula de redeterminación establece: 60% CCT UOCRA 76/75 Nacional Cat. Oficial Zona A + 40% Índice CAC Materiales. Para rubros como plomería, herrería y cerrajería, el CCT de referencia no es necesariamente UOCRA. ¿Pampa Energía confirma que el CCT UOCRA Zona A aplica indistintamente a TODAS las categorías del acuerdo (oficial plomero, herrero, carpintero, cerrajero), o existe alguna ponderación diferencial por especialidad?</w:t>
            </w:r>
          </w:p>
        </w:tc>
      </w:tr>
      <w:tr w:rsidR="00024037" w14:paraId="27B6C218"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15AB98E" w14:textId="77777777" w:rsidR="00024037" w:rsidRDefault="001A61EC">
            <w:pPr>
              <w:jc w:val="center"/>
            </w:pPr>
            <w:r>
              <w:rPr>
                <w:rFonts w:ascii="Arial" w:eastAsia="Arial" w:hAnsi="Arial" w:cs="Arial"/>
                <w:b/>
                <w:bCs/>
                <w:sz w:val="18"/>
                <w:szCs w:val="18"/>
              </w:rPr>
              <w:t>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08D6197" w14:textId="77777777" w:rsidR="00024037" w:rsidRDefault="001A61EC">
            <w:pPr>
              <w:jc w:val="center"/>
            </w:pPr>
            <w:r>
              <w:rPr>
                <w:rFonts w:ascii="Arial" w:eastAsia="Arial" w:hAnsi="Arial" w:cs="Arial"/>
                <w:sz w:val="18"/>
                <w:szCs w:val="18"/>
              </w:rPr>
              <w:t>Económica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AE5B1FF" w14:textId="77777777" w:rsidR="00024037" w:rsidRDefault="001A61EC">
            <w:r>
              <w:rPr>
                <w:rFonts w:ascii="Arial" w:eastAsia="Arial" w:hAnsi="Arial" w:cs="Arial"/>
                <w:sz w:val="18"/>
                <w:szCs w:val="18"/>
              </w:rPr>
              <w:t>Pauta de Redeterminación de tarifas.docx</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8EA832B" w14:textId="77777777" w:rsidR="00024037" w:rsidRDefault="001A61EC">
            <w:r>
              <w:rPr>
                <w:rFonts w:ascii="Arial" w:eastAsia="Arial" w:hAnsi="Arial" w:cs="Arial"/>
                <w:sz w:val="18"/>
                <w:szCs w:val="18"/>
              </w:rPr>
              <w:t>La pauta indica que la revisión de tarifas sólo procede ante variación acumulada del 10% o tras 6 meses. La solicitud de revisión tiene efecto únicamente desde la fecha de presentación escrita. ¿Existe un canal o formato oficial para presentar la solicitud de revisión de tarifas (nota a través de Ariba, nota dirigida al comprador, otro)? ¿Debe estar acompañada de un cálculo demostrativo del desvío aplicando la fórmula polinómica?</w:t>
            </w:r>
          </w:p>
        </w:tc>
      </w:tr>
      <w:tr w:rsidR="00024037" w14:paraId="259D5CAB" w14:textId="77777777">
        <w:tc>
          <w:tcPr>
            <w:tcW w:w="5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2940D269" w14:textId="77777777" w:rsidR="00024037" w:rsidRDefault="001A61EC">
            <w:pPr>
              <w:jc w:val="center"/>
            </w:pPr>
            <w:r>
              <w:rPr>
                <w:rFonts w:ascii="Arial" w:eastAsia="Arial" w:hAnsi="Arial" w:cs="Arial"/>
                <w:b/>
                <w:bCs/>
                <w:sz w:val="18"/>
                <w:szCs w:val="18"/>
              </w:rPr>
              <w:t>6</w:t>
            </w:r>
          </w:p>
        </w:tc>
        <w:tc>
          <w:tcPr>
            <w:tcW w:w="11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36D4C8C2" w14:textId="77777777" w:rsidR="00024037" w:rsidRDefault="001A61EC">
            <w:pPr>
              <w:jc w:val="center"/>
            </w:pPr>
            <w:r>
              <w:rPr>
                <w:rFonts w:ascii="Arial" w:eastAsia="Arial" w:hAnsi="Arial" w:cs="Arial"/>
                <w:sz w:val="18"/>
                <w:szCs w:val="18"/>
              </w:rPr>
              <w:t>Técnica</w:t>
            </w:r>
          </w:p>
        </w:tc>
        <w:tc>
          <w:tcPr>
            <w:tcW w:w="22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1C268050" w14:textId="77777777" w:rsidR="00024037" w:rsidRDefault="001A61EC">
            <w:r>
              <w:rPr>
                <w:rFonts w:ascii="Arial" w:eastAsia="Arial" w:hAnsi="Arial" w:cs="Arial"/>
                <w:sz w:val="18"/>
                <w:szCs w:val="18"/>
              </w:rPr>
              <w:t>Legajo técnico LT-SNI-003066 / Punto 14 - Provisiones / insumos</w:t>
            </w:r>
          </w:p>
        </w:tc>
        <w:tc>
          <w:tcPr>
            <w:tcW w:w="556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0C153BA2" w14:textId="77777777" w:rsidR="00024037" w:rsidRDefault="001A61EC">
            <w:r>
              <w:rPr>
                <w:rFonts w:ascii="Arial" w:eastAsia="Arial" w:hAnsi="Arial" w:cs="Arial"/>
                <w:sz w:val="18"/>
                <w:szCs w:val="18"/>
              </w:rPr>
              <w:t>El legajo técnico refiere a provisiones e insumos como punto a definir. La planilla de cotización incluye ítems de materiales. ¿El suministro de materiales forma parte del precio unitario cotizado (precio todo incluido mano de obra + materiales), o los materiales se reconocen aparte bajo un mecanismo de reembolso de costo real + porcentaje de administración conforme lo previsto en las Condiciones Generales (Art. 3)?</w:t>
            </w:r>
          </w:p>
        </w:tc>
      </w:tr>
      <w:tr w:rsidR="00024037" w14:paraId="69061395"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0F8C30C" w14:textId="77777777" w:rsidR="00024037" w:rsidRDefault="001A61EC">
            <w:pPr>
              <w:jc w:val="center"/>
            </w:pPr>
            <w:r>
              <w:rPr>
                <w:rFonts w:ascii="Arial" w:eastAsia="Arial" w:hAnsi="Arial" w:cs="Arial"/>
                <w:b/>
                <w:bCs/>
                <w:sz w:val="18"/>
                <w:szCs w:val="18"/>
              </w:rPr>
              <w:t>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25F5C4F" w14:textId="77777777" w:rsidR="00024037" w:rsidRDefault="001A61EC">
            <w:pPr>
              <w:jc w:val="center"/>
            </w:pPr>
            <w:r>
              <w:rPr>
                <w:rFonts w:ascii="Arial" w:eastAsia="Arial" w:hAnsi="Arial" w:cs="Arial"/>
                <w:sz w:val="18"/>
                <w:szCs w:val="18"/>
              </w:rPr>
              <w:t>Técnica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F64F7FA" w14:textId="77777777" w:rsidR="00024037" w:rsidRDefault="001A61EC">
            <w:r>
              <w:rPr>
                <w:rFonts w:ascii="Arial" w:eastAsia="Arial" w:hAnsi="Arial" w:cs="Arial"/>
                <w:sz w:val="18"/>
                <w:szCs w:val="18"/>
              </w:rPr>
              <w:t xml:space="preserve">Legajo técnico LT-SNI-003066 / Punto 7 - </w:t>
            </w:r>
            <w:r>
              <w:rPr>
                <w:rFonts w:ascii="Arial" w:eastAsia="Arial" w:hAnsi="Arial" w:cs="Arial"/>
                <w:sz w:val="18"/>
                <w:szCs w:val="18"/>
              </w:rPr>
              <w:lastRenderedPageBreak/>
              <w:t>Herramientas y equipos especiales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F89EAEA" w14:textId="77777777" w:rsidR="00024037" w:rsidRDefault="001A61EC">
            <w:r>
              <w:rPr>
                <w:rFonts w:ascii="Arial" w:eastAsia="Arial" w:hAnsi="Arial" w:cs="Arial"/>
                <w:sz w:val="18"/>
                <w:szCs w:val="18"/>
              </w:rPr>
              <w:lastRenderedPageBreak/>
              <w:t xml:space="preserve">El legajo técnico lista herramientas y equipos especiales. ¿Pampa Energía pone a disposición del contratista algún equipo de su </w:t>
            </w:r>
            <w:r>
              <w:rPr>
                <w:rFonts w:ascii="Arial" w:eastAsia="Arial" w:hAnsi="Arial" w:cs="Arial"/>
                <w:sz w:val="18"/>
                <w:szCs w:val="18"/>
              </w:rPr>
              <w:lastRenderedPageBreak/>
              <w:t>propiedad para la ejecución de tareas (andamios, equipos de izaje, plataformas elevadoras), o todos los medios son de provisión y costo exclusivos del contratista? En caso de equipos provistos por Pampa, ¿se requiere garantía de tenencia según Art. 17.3 de las Condiciones Generales?</w:t>
            </w:r>
          </w:p>
        </w:tc>
      </w:tr>
      <w:tr w:rsidR="00024037" w14:paraId="3CCAB488" w14:textId="77777777">
        <w:tc>
          <w:tcPr>
            <w:tcW w:w="5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292A2FA5" w14:textId="77777777" w:rsidR="00024037" w:rsidRDefault="001A61EC">
            <w:pPr>
              <w:jc w:val="center"/>
            </w:pPr>
            <w:r>
              <w:rPr>
                <w:rFonts w:ascii="Arial" w:eastAsia="Arial" w:hAnsi="Arial" w:cs="Arial"/>
                <w:b/>
                <w:bCs/>
                <w:sz w:val="18"/>
                <w:szCs w:val="18"/>
              </w:rPr>
              <w:lastRenderedPageBreak/>
              <w:t>8</w:t>
            </w:r>
          </w:p>
        </w:tc>
        <w:tc>
          <w:tcPr>
            <w:tcW w:w="11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527291BA" w14:textId="77777777" w:rsidR="00024037" w:rsidRDefault="001A61EC">
            <w:pPr>
              <w:jc w:val="center"/>
            </w:pPr>
            <w:r>
              <w:rPr>
                <w:rFonts w:ascii="Arial" w:eastAsia="Arial" w:hAnsi="Arial" w:cs="Arial"/>
                <w:sz w:val="18"/>
                <w:szCs w:val="18"/>
              </w:rPr>
              <w:t>Técnica</w:t>
            </w:r>
          </w:p>
        </w:tc>
        <w:tc>
          <w:tcPr>
            <w:tcW w:w="22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104D5CAC" w14:textId="77777777" w:rsidR="00024037" w:rsidRDefault="001A61EC">
            <w:r>
              <w:rPr>
                <w:rFonts w:ascii="Arial" w:eastAsia="Arial" w:hAnsi="Arial" w:cs="Arial"/>
                <w:sz w:val="18"/>
                <w:szCs w:val="18"/>
              </w:rPr>
              <w:t>Legajo técnico LT-SNI-003066 / Punto 8 - Idoneidad, capacitación y entrenamiento</w:t>
            </w:r>
          </w:p>
        </w:tc>
        <w:tc>
          <w:tcPr>
            <w:tcW w:w="556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02E8ECA2" w14:textId="77777777" w:rsidR="00024037" w:rsidRDefault="001A61EC">
            <w:r>
              <w:rPr>
                <w:rFonts w:ascii="Arial" w:eastAsia="Arial" w:hAnsi="Arial" w:cs="Arial"/>
                <w:sz w:val="18"/>
                <w:szCs w:val="18"/>
              </w:rPr>
              <w:t xml:space="preserve">El servicio es categoría QIII (alto riesgo CSMS) y contempla trabajos en altura, espacios confinados y trabajos en caliente. ¿El </w:t>
            </w:r>
            <w:proofErr w:type="gramStart"/>
            <w:r>
              <w:rPr>
                <w:rFonts w:ascii="Arial" w:eastAsia="Arial" w:hAnsi="Arial" w:cs="Arial"/>
                <w:sz w:val="18"/>
                <w:szCs w:val="18"/>
              </w:rPr>
              <w:t>Responsable</w:t>
            </w:r>
            <w:proofErr w:type="gramEnd"/>
            <w:r>
              <w:rPr>
                <w:rFonts w:ascii="Arial" w:eastAsia="Arial" w:hAnsi="Arial" w:cs="Arial"/>
                <w:sz w:val="18"/>
                <w:szCs w:val="18"/>
              </w:rPr>
              <w:t xml:space="preserve"> de Seguridad e Higiene matriculado exigido por el Anexo B (Requisitos Laborales, sección 6.9) debe estar presente en planta en forma continua durante la ejecución de trabajos, o se acepta disponibilidad a demanda con tiempo de respuesta definido?</w:t>
            </w:r>
          </w:p>
        </w:tc>
      </w:tr>
      <w:tr w:rsidR="00024037" w14:paraId="6EF25943"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77C894B" w14:textId="77777777" w:rsidR="00024037" w:rsidRDefault="001A61EC">
            <w:pPr>
              <w:jc w:val="center"/>
            </w:pPr>
            <w:r>
              <w:rPr>
                <w:rFonts w:ascii="Arial" w:eastAsia="Arial" w:hAnsi="Arial" w:cs="Arial"/>
                <w:b/>
                <w:bCs/>
                <w:sz w:val="18"/>
                <w:szCs w:val="18"/>
              </w:rPr>
              <w:t>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FABE275" w14:textId="77777777" w:rsidR="00024037" w:rsidRDefault="001A61EC">
            <w:pPr>
              <w:jc w:val="center"/>
            </w:pPr>
            <w:r>
              <w:rPr>
                <w:rFonts w:ascii="Arial" w:eastAsia="Arial" w:hAnsi="Arial" w:cs="Arial"/>
                <w:sz w:val="18"/>
                <w:szCs w:val="18"/>
              </w:rPr>
              <w:t>Técnica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01B5EAC" w14:textId="77777777" w:rsidR="00024037" w:rsidRDefault="001A61EC">
            <w:r>
              <w:rPr>
                <w:rFonts w:ascii="Arial" w:eastAsia="Arial" w:hAnsi="Arial" w:cs="Arial"/>
                <w:sz w:val="18"/>
                <w:szCs w:val="18"/>
              </w:rPr>
              <w:t>ANEXO C - Condiciones de CSMS_0625 / Requisitos QIII</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50BC0DB" w14:textId="77777777" w:rsidR="00024037" w:rsidRDefault="001A61EC">
            <w:r>
              <w:rPr>
                <w:rFonts w:ascii="Arial" w:eastAsia="Arial" w:hAnsi="Arial" w:cs="Arial"/>
                <w:sz w:val="18"/>
                <w:szCs w:val="18"/>
              </w:rPr>
              <w:t>Para la categoría QIII el Anexo C exige, entre otros: Programa de Seguridad aprobado por ART, análisis de riesgo previo a actividades, diálogos diarios SMS y mecanismo de tratamiento de anomalías. ¿Estos documentos deben presentarse en la oferta técnica (como parte de la propuesta), o se presentan únicamente una vez adjudicado el contrato y previo al inicio de los trabajos?</w:t>
            </w:r>
          </w:p>
        </w:tc>
      </w:tr>
      <w:tr w:rsidR="00024037" w14:paraId="0F510B14" w14:textId="77777777">
        <w:tc>
          <w:tcPr>
            <w:tcW w:w="5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62575906" w14:textId="77777777" w:rsidR="00024037" w:rsidRDefault="001A61EC">
            <w:pPr>
              <w:jc w:val="center"/>
            </w:pPr>
            <w:r>
              <w:rPr>
                <w:rFonts w:ascii="Arial" w:eastAsia="Arial" w:hAnsi="Arial" w:cs="Arial"/>
                <w:b/>
                <w:bCs/>
                <w:sz w:val="18"/>
                <w:szCs w:val="18"/>
              </w:rPr>
              <w:t>10</w:t>
            </w:r>
          </w:p>
        </w:tc>
        <w:tc>
          <w:tcPr>
            <w:tcW w:w="11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4BFF146B" w14:textId="77777777" w:rsidR="00024037" w:rsidRDefault="001A61EC">
            <w:pPr>
              <w:jc w:val="center"/>
            </w:pPr>
            <w:r>
              <w:rPr>
                <w:rFonts w:ascii="Arial" w:eastAsia="Arial" w:hAnsi="Arial" w:cs="Arial"/>
                <w:sz w:val="18"/>
                <w:szCs w:val="18"/>
              </w:rPr>
              <w:t>Operativa</w:t>
            </w:r>
          </w:p>
        </w:tc>
        <w:tc>
          <w:tcPr>
            <w:tcW w:w="22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13BF3387" w14:textId="77777777" w:rsidR="00024037" w:rsidRDefault="001A61EC">
            <w:r>
              <w:rPr>
                <w:rFonts w:ascii="Arial" w:eastAsia="Arial" w:hAnsi="Arial" w:cs="Arial"/>
                <w:sz w:val="18"/>
                <w:szCs w:val="18"/>
              </w:rPr>
              <w:t>PAMPA Cond. Grales de Obras 20190815v8 / Art. 13 - Certificación</w:t>
            </w:r>
          </w:p>
        </w:tc>
        <w:tc>
          <w:tcPr>
            <w:tcW w:w="556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29286FAD" w14:textId="77777777" w:rsidR="00024037" w:rsidRDefault="001A61EC">
            <w:r>
              <w:rPr>
                <w:rFonts w:ascii="Arial" w:eastAsia="Arial" w:hAnsi="Arial" w:cs="Arial"/>
                <w:sz w:val="18"/>
                <w:szCs w:val="18"/>
              </w:rPr>
              <w:t xml:space="preserve">Las Condiciones Generales establecen que los certificados deben presentarse del 1 al 10 de cada mes. Sin embargo, el pliego de la licitación indica certificaciones quincenales. ¿Cuál es el período de certificación que prevalece: </w:t>
            </w:r>
            <w:proofErr w:type="gramStart"/>
            <w:r>
              <w:rPr>
                <w:rFonts w:ascii="Arial" w:eastAsia="Arial" w:hAnsi="Arial" w:cs="Arial"/>
                <w:sz w:val="18"/>
                <w:szCs w:val="18"/>
              </w:rPr>
              <w:t>quincenal conforme las instrucciones de cotización, o mensual conforme las Condiciones Generales?</w:t>
            </w:r>
            <w:proofErr w:type="gramEnd"/>
            <w:r>
              <w:rPr>
                <w:rFonts w:ascii="Arial" w:eastAsia="Arial" w:hAnsi="Arial" w:cs="Arial"/>
                <w:sz w:val="18"/>
                <w:szCs w:val="18"/>
              </w:rPr>
              <w:t xml:space="preserve"> En caso de ser quincenal, ¿cuáles son los cierres exactos (días del mes)?</w:t>
            </w:r>
          </w:p>
        </w:tc>
      </w:tr>
      <w:tr w:rsidR="00024037" w14:paraId="1A090630"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322BFD4" w14:textId="77777777" w:rsidR="00024037" w:rsidRDefault="001A61EC">
            <w:pPr>
              <w:jc w:val="center"/>
            </w:pPr>
            <w:r>
              <w:rPr>
                <w:rFonts w:ascii="Arial" w:eastAsia="Arial" w:hAnsi="Arial" w:cs="Arial"/>
                <w:b/>
                <w:bCs/>
                <w:sz w:val="18"/>
                <w:szCs w:val="18"/>
              </w:rPr>
              <w:t>11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725FF62" w14:textId="77777777" w:rsidR="00024037" w:rsidRDefault="001A61EC">
            <w:pPr>
              <w:jc w:val="center"/>
            </w:pPr>
            <w:r>
              <w:rPr>
                <w:rFonts w:ascii="Arial" w:eastAsia="Arial" w:hAnsi="Arial" w:cs="Arial"/>
                <w:sz w:val="18"/>
                <w:szCs w:val="18"/>
              </w:rPr>
              <w:t>Operativa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7C3247F" w14:textId="77777777" w:rsidR="00024037" w:rsidRDefault="001A61EC">
            <w:r>
              <w:rPr>
                <w:rFonts w:ascii="Arial" w:eastAsia="Arial" w:hAnsi="Arial" w:cs="Arial"/>
                <w:sz w:val="18"/>
                <w:szCs w:val="18"/>
              </w:rPr>
              <w:t>PAMPA Cond. Grales de Obras 20190815v8 / Art. 15 - Ampliación y reducción del alcance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45C0A6E" w14:textId="77777777" w:rsidR="00024037" w:rsidRDefault="001A61EC">
            <w:r>
              <w:rPr>
                <w:rFonts w:ascii="Arial" w:eastAsia="Arial" w:hAnsi="Arial" w:cs="Arial"/>
                <w:sz w:val="18"/>
                <w:szCs w:val="18"/>
              </w:rPr>
              <w:t>Las Condiciones Generales facultan a Pampa a ampliar o reducir el alcance en cualquier momento sin generar derecho a reclamo para el contratista. Dado que se trata de un acuerdo marco de 2 años con prestaciones de frecuencia continua, ¿existe un volumen mínimo garantizado de certificación mensual, o el contratista debe asumir que el volumen puede ser cero en períodos sin solicitudes?</w:t>
            </w:r>
          </w:p>
        </w:tc>
      </w:tr>
      <w:tr w:rsidR="00024037" w14:paraId="54AC17D3" w14:textId="77777777">
        <w:tc>
          <w:tcPr>
            <w:tcW w:w="5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673F2C50" w14:textId="77777777" w:rsidR="00024037" w:rsidRDefault="001A61EC">
            <w:pPr>
              <w:jc w:val="center"/>
            </w:pPr>
            <w:r>
              <w:rPr>
                <w:rFonts w:ascii="Arial" w:eastAsia="Arial" w:hAnsi="Arial" w:cs="Arial"/>
                <w:b/>
                <w:bCs/>
                <w:sz w:val="18"/>
                <w:szCs w:val="18"/>
              </w:rPr>
              <w:t>12</w:t>
            </w:r>
          </w:p>
        </w:tc>
        <w:tc>
          <w:tcPr>
            <w:tcW w:w="11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7D93E0D6" w14:textId="77777777" w:rsidR="00024037" w:rsidRDefault="001A61EC">
            <w:pPr>
              <w:jc w:val="center"/>
            </w:pPr>
            <w:r>
              <w:rPr>
                <w:rFonts w:ascii="Arial" w:eastAsia="Arial" w:hAnsi="Arial" w:cs="Arial"/>
                <w:sz w:val="18"/>
                <w:szCs w:val="18"/>
              </w:rPr>
              <w:t>Operativa</w:t>
            </w:r>
          </w:p>
        </w:tc>
        <w:tc>
          <w:tcPr>
            <w:tcW w:w="22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2D256189" w14:textId="77777777" w:rsidR="00024037" w:rsidRDefault="001A61EC">
            <w:r>
              <w:rPr>
                <w:rFonts w:ascii="Arial" w:eastAsia="Arial" w:hAnsi="Arial" w:cs="Arial"/>
                <w:sz w:val="18"/>
                <w:szCs w:val="18"/>
              </w:rPr>
              <w:t>Legajo técnico LT-SNI-003066 / Punto 17 - Paralización de los trabajos</w:t>
            </w:r>
          </w:p>
        </w:tc>
        <w:tc>
          <w:tcPr>
            <w:tcW w:w="556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0E1B9EE9" w14:textId="77777777" w:rsidR="00024037" w:rsidRDefault="001A61EC">
            <w:r>
              <w:rPr>
                <w:rFonts w:ascii="Arial" w:eastAsia="Arial" w:hAnsi="Arial" w:cs="Arial"/>
                <w:sz w:val="18"/>
                <w:szCs w:val="18"/>
              </w:rPr>
              <w:t>El legajo contempla la paralización de trabajos como eventualidad. ¿Bajo qué condiciones Pampa Energía puede disponer la paralización, y qué reconocimiento económico (si alguno) corresponde al contratista por los costos fijos incurridos durante una paralización impuesta por causas ajenas a su responsabilidad (p.ej. condiciones operativas de planta)?</w:t>
            </w:r>
          </w:p>
        </w:tc>
      </w:tr>
      <w:tr w:rsidR="00024037" w14:paraId="20C3461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91AE8EB" w14:textId="77777777" w:rsidR="00024037" w:rsidRDefault="001A61EC">
            <w:pPr>
              <w:jc w:val="center"/>
            </w:pPr>
            <w:r>
              <w:rPr>
                <w:rFonts w:ascii="Arial" w:eastAsia="Arial" w:hAnsi="Arial" w:cs="Arial"/>
                <w:b/>
                <w:bCs/>
                <w:sz w:val="18"/>
                <w:szCs w:val="18"/>
              </w:rPr>
              <w:t>13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8667575" w14:textId="77777777" w:rsidR="00024037" w:rsidRDefault="001A61EC">
            <w:pPr>
              <w:jc w:val="center"/>
            </w:pPr>
            <w:r>
              <w:rPr>
                <w:rFonts w:ascii="Arial" w:eastAsia="Arial" w:hAnsi="Arial" w:cs="Arial"/>
                <w:sz w:val="18"/>
                <w:szCs w:val="18"/>
              </w:rPr>
              <w:t>Técnica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DB4ED89" w14:textId="77777777" w:rsidR="00024037" w:rsidRDefault="001A61EC">
            <w:r>
              <w:rPr>
                <w:rFonts w:ascii="Arial" w:eastAsia="Arial" w:hAnsi="Arial" w:cs="Arial"/>
                <w:sz w:val="18"/>
                <w:szCs w:val="18"/>
              </w:rPr>
              <w:t>Legajo técnico LT-SNI-003066 / Punto 10 - Garantías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109670D" w14:textId="77777777" w:rsidR="00024037" w:rsidRDefault="001A61EC">
            <w:r>
              <w:rPr>
                <w:rFonts w:ascii="Arial" w:eastAsia="Arial" w:hAnsi="Arial" w:cs="Arial"/>
                <w:sz w:val="18"/>
                <w:szCs w:val="18"/>
              </w:rPr>
              <w:t xml:space="preserve">Las Condiciones Generales (Art. 16.2) establecen un plazo de garantía de 12 meses corridos desde la Recepción Provisoria. En un acuerdo marco de obras civiles menores de ejecución continua sin Recepción Provisoria única, ¿cómo se determina el inicio del plazo de garantía: </w:t>
            </w:r>
            <w:proofErr w:type="gramStart"/>
            <w:r>
              <w:rPr>
                <w:rFonts w:ascii="Arial" w:eastAsia="Arial" w:hAnsi="Arial" w:cs="Arial"/>
                <w:sz w:val="18"/>
                <w:szCs w:val="18"/>
              </w:rPr>
              <w:t>por cada orden de trabajo individualmente, por cada certificado mensual, o al vencimiento del acuerdo?</w:t>
            </w:r>
            <w:proofErr w:type="gramEnd"/>
          </w:p>
        </w:tc>
      </w:tr>
      <w:tr w:rsidR="00024037" w14:paraId="2E89430F" w14:textId="77777777">
        <w:tc>
          <w:tcPr>
            <w:tcW w:w="5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7E6507E4" w14:textId="77777777" w:rsidR="00024037" w:rsidRDefault="001A61EC">
            <w:pPr>
              <w:jc w:val="center"/>
            </w:pPr>
            <w:r>
              <w:rPr>
                <w:rFonts w:ascii="Arial" w:eastAsia="Arial" w:hAnsi="Arial" w:cs="Arial"/>
                <w:b/>
                <w:bCs/>
                <w:sz w:val="18"/>
                <w:szCs w:val="18"/>
              </w:rPr>
              <w:t>14</w:t>
            </w:r>
          </w:p>
        </w:tc>
        <w:tc>
          <w:tcPr>
            <w:tcW w:w="11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04ECBBBB" w14:textId="77777777" w:rsidR="00024037" w:rsidRDefault="001A61EC">
            <w:pPr>
              <w:jc w:val="center"/>
            </w:pPr>
            <w:r>
              <w:rPr>
                <w:rFonts w:ascii="Arial" w:eastAsia="Arial" w:hAnsi="Arial" w:cs="Arial"/>
                <w:sz w:val="18"/>
                <w:szCs w:val="18"/>
              </w:rPr>
              <w:t>Operativa</w:t>
            </w:r>
          </w:p>
        </w:tc>
        <w:tc>
          <w:tcPr>
            <w:tcW w:w="220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08EA98D4" w14:textId="77777777" w:rsidR="00024037" w:rsidRDefault="001A61EC">
            <w:r>
              <w:rPr>
                <w:rFonts w:ascii="Arial" w:eastAsia="Arial" w:hAnsi="Arial" w:cs="Arial"/>
                <w:sz w:val="18"/>
                <w:szCs w:val="18"/>
              </w:rPr>
              <w:t>Indicaciones para cotizar / Punto 2 - Carta Oferta</w:t>
            </w:r>
          </w:p>
        </w:tc>
        <w:tc>
          <w:tcPr>
            <w:tcW w:w="5560" w:type="dxa"/>
            <w:tcBorders>
              <w:top w:val="single" w:sz="4" w:space="0" w:color="CCCCCC"/>
              <w:left w:val="single" w:sz="4" w:space="0" w:color="CCCCCC"/>
              <w:bottom w:val="single" w:sz="4" w:space="0" w:color="CCCCCC"/>
              <w:right w:val="single" w:sz="4" w:space="0" w:color="CCCCCC"/>
            </w:tcBorders>
            <w:shd w:val="clear" w:color="auto" w:fill="EEF3F8"/>
            <w:tcMar>
              <w:top w:w="100" w:type="dxa"/>
              <w:left w:w="120" w:type="dxa"/>
              <w:bottom w:w="100" w:type="dxa"/>
              <w:right w:w="120" w:type="dxa"/>
            </w:tcMar>
          </w:tcPr>
          <w:p w14:paraId="2AF5B0B8" w14:textId="77777777" w:rsidR="00024037" w:rsidRDefault="001A61EC">
            <w:r>
              <w:rPr>
                <w:rFonts w:ascii="Arial" w:eastAsia="Arial" w:hAnsi="Arial" w:cs="Arial"/>
                <w:sz w:val="18"/>
                <w:szCs w:val="18"/>
              </w:rPr>
              <w:t>Las instrucciones de cotización requieren presentar una 'Carta Oferta' pero no se adjunta modelo ni se define su contenido mínimo. ¿Existe un modelo o formato estandarizado de Carta Oferta para este proceso, o queda a criterio libre del oferente? En caso de formato libre, ¿cuál es el contenido mínimo requerido (datos del oferente, declaraciones, plazo de mantenimiento de oferta, firma y sello)?</w:t>
            </w:r>
          </w:p>
        </w:tc>
      </w:tr>
    </w:tbl>
    <w:p w14:paraId="62DE6379" w14:textId="77777777" w:rsidR="00024037" w:rsidRDefault="00024037">
      <w:pPr>
        <w:spacing w:before="240"/>
      </w:pPr>
    </w:p>
    <w:p w14:paraId="089B0EAC" w14:textId="77777777" w:rsidR="00024037" w:rsidRDefault="001A61EC">
      <w:pPr>
        <w:spacing w:before="240" w:after="160"/>
      </w:pPr>
      <w:r>
        <w:rPr>
          <w:rFonts w:ascii="Arial" w:eastAsia="Arial" w:hAnsi="Arial" w:cs="Arial"/>
          <w:b/>
          <w:bCs/>
          <w:color w:val="1F4E79"/>
          <w:sz w:val="24"/>
          <w:szCs w:val="24"/>
        </w:rPr>
        <w:lastRenderedPageBreak/>
        <w:t>B. Inconsistencias detectadas en el pliego - Se solicita aclaración oficial</w:t>
      </w:r>
    </w:p>
    <w:p w14:paraId="3F8E9DAC" w14:textId="77777777" w:rsidR="00024037" w:rsidRDefault="001A61EC">
      <w:pPr>
        <w:spacing w:before="80" w:after="80"/>
      </w:pPr>
      <w:r>
        <w:rPr>
          <w:rFonts w:ascii="Arial" w:eastAsia="Arial" w:hAnsi="Arial" w:cs="Arial"/>
          <w:sz w:val="18"/>
          <w:szCs w:val="18"/>
        </w:rPr>
        <w:t>Las siguientes observaciones identifican contradicciones entre documentos del mismo proceso licitatorio. Se solicita a PAMPA ENERGÍA S.A. una aclaración formal que indique qué documento prevalece en cada caso, a fin de garantizar que todas las ofertas se formulen sobre las mismas bases.</w:t>
      </w:r>
    </w:p>
    <w:p w14:paraId="5D43AA5F" w14:textId="77777777" w:rsidR="00024037" w:rsidRDefault="0002403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1381"/>
        <w:gridCol w:w="2412"/>
        <w:gridCol w:w="5078"/>
      </w:tblGrid>
      <w:tr w:rsidR="00024037" w14:paraId="04601348"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7EBE504"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FBD9082" w14:textId="77777777" w:rsidR="00024037" w:rsidRDefault="001A61EC">
            <w:pPr>
              <w:jc w:val="center"/>
            </w:pPr>
            <w:r>
              <w:rPr>
                <w:rFonts w:ascii="Arial" w:eastAsia="Arial" w:hAnsi="Arial" w:cs="Arial"/>
                <w:b/>
                <w:bCs/>
                <w:color w:val="FFFFFF"/>
                <w:sz w:val="18"/>
                <w:szCs w:val="18"/>
              </w:rPr>
              <w:t>Tipo</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5DC510" w14:textId="77777777" w:rsidR="00024037" w:rsidRDefault="001A61EC">
            <w:pPr>
              <w:jc w:val="center"/>
            </w:pPr>
            <w:r>
              <w:rPr>
                <w:rFonts w:ascii="Arial" w:eastAsia="Arial" w:hAnsi="Arial" w:cs="Arial"/>
                <w:b/>
                <w:bCs/>
                <w:color w:val="FFFFFF"/>
                <w:sz w:val="18"/>
                <w:szCs w:val="18"/>
              </w:rPr>
              <w:t>Documentos en conflicto</w:t>
            </w:r>
          </w:p>
        </w:tc>
        <w:tc>
          <w:tcPr>
            <w:tcW w:w="5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65DB7C6" w14:textId="77777777" w:rsidR="00024037" w:rsidRDefault="001A61EC">
            <w:pPr>
              <w:jc w:val="center"/>
            </w:pPr>
            <w:r>
              <w:rPr>
                <w:rFonts w:ascii="Arial" w:eastAsia="Arial" w:hAnsi="Arial" w:cs="Arial"/>
                <w:b/>
                <w:bCs/>
                <w:color w:val="FFFFFF"/>
                <w:sz w:val="18"/>
                <w:szCs w:val="18"/>
              </w:rPr>
              <w:t>Descripción de la inconsistencia y pregunta</w:t>
            </w:r>
          </w:p>
        </w:tc>
      </w:tr>
      <w:tr w:rsidR="00024037" w14:paraId="3A2F47A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4D05771" w14:textId="77777777" w:rsidR="00024037" w:rsidRDefault="001A61EC">
            <w:pPr>
              <w:jc w:val="center"/>
            </w:pPr>
            <w:r>
              <w:rPr>
                <w:rFonts w:ascii="Arial" w:eastAsia="Arial" w:hAnsi="Arial" w:cs="Arial"/>
                <w:b/>
                <w:bCs/>
                <w:sz w:val="18"/>
                <w:szCs w:val="18"/>
              </w:rPr>
              <w:t>15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7B78348" w14:textId="77777777" w:rsidR="00024037" w:rsidRDefault="001A61EC">
            <w:pPr>
              <w:jc w:val="center"/>
            </w:pPr>
            <w:r>
              <w:rPr>
                <w:rFonts w:ascii="Arial" w:eastAsia="Arial" w:hAnsi="Arial" w:cs="Arial"/>
                <w:sz w:val="18"/>
                <w:szCs w:val="18"/>
              </w:rPr>
              <w:t>Inconsistencia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6345D76" w14:textId="77777777" w:rsidR="00024037" w:rsidRDefault="001A61EC">
            <w:r>
              <w:rPr>
                <w:rFonts w:ascii="Arial" w:eastAsia="Arial" w:hAnsi="Arial" w:cs="Arial"/>
                <w:sz w:val="18"/>
                <w:szCs w:val="18"/>
              </w:rPr>
              <w:t>Indicaciones para cotizar vs. PAMPA Cond. Grales de Obras / Art. 13.3 Certificación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1F25EE5" w14:textId="77777777" w:rsidR="00024037" w:rsidRDefault="001A61EC">
            <w:r>
              <w:rPr>
                <w:rFonts w:ascii="Arial" w:eastAsia="Arial" w:hAnsi="Arial" w:cs="Arial"/>
                <w:sz w:val="18"/>
                <w:szCs w:val="18"/>
              </w:rPr>
              <w:t>Las instrucciones de cotización establecen 'certificaciones quincenales, pagaderas a 30 días fecha recepción factura'. Las Condiciones Generales (Art. 13.3) disponen que 'la presentación de los certificados en original y dos copias... se hará del 1 al 10 de cada mes', lo que implica una periodicidad mensual. Existe contradicción entre ambos documentos respecto a la frecuencia de certificación. ¿Cuál prevalece? En caso de ser quincenal, ¿cómo se articulan las fechas de medición y presentación?</w:t>
            </w:r>
          </w:p>
        </w:tc>
      </w:tr>
      <w:tr w:rsidR="00024037" w14:paraId="3C2D2E4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42DD21BE" w14:textId="77777777" w:rsidR="00024037" w:rsidRDefault="001A61EC">
            <w:pPr>
              <w:jc w:val="center"/>
            </w:pPr>
            <w:r>
              <w:rPr>
                <w:rFonts w:ascii="Arial" w:eastAsia="Arial" w:hAnsi="Arial" w:cs="Arial"/>
                <w:b/>
                <w:bCs/>
                <w:sz w:val="18"/>
                <w:szCs w:val="18"/>
              </w:rPr>
              <w:t>16</w:t>
            </w:r>
          </w:p>
        </w:tc>
        <w:tc>
          <w:tcPr>
            <w:tcW w:w="11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38645FD3" w14:textId="77777777" w:rsidR="00024037" w:rsidRDefault="001A61EC">
            <w:pPr>
              <w:jc w:val="center"/>
            </w:pPr>
            <w:r>
              <w:rPr>
                <w:rFonts w:ascii="Arial" w:eastAsia="Arial" w:hAnsi="Arial" w:cs="Arial"/>
                <w:sz w:val="18"/>
                <w:szCs w:val="18"/>
              </w:rPr>
              <w:t>Inconsistencia</w:t>
            </w:r>
          </w:p>
        </w:tc>
        <w:tc>
          <w:tcPr>
            <w:tcW w:w="26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7DBCE768" w14:textId="77777777" w:rsidR="00024037" w:rsidRDefault="001A61EC">
            <w:r>
              <w:rPr>
                <w:rFonts w:ascii="Arial" w:eastAsia="Arial" w:hAnsi="Arial" w:cs="Arial"/>
                <w:sz w:val="18"/>
                <w:szCs w:val="18"/>
              </w:rPr>
              <w:t>Pauta de Redeterminación de tarifas.docx vs. PAMPA Cond. Grales de Obras / Art. 3 (Forma de cotizar)</w:t>
            </w:r>
          </w:p>
        </w:tc>
        <w:tc>
          <w:tcPr>
            <w:tcW w:w="516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5306851B" w14:textId="77777777" w:rsidR="00024037" w:rsidRDefault="001A61EC">
            <w:r>
              <w:rPr>
                <w:rFonts w:ascii="Arial" w:eastAsia="Arial" w:hAnsi="Arial" w:cs="Arial"/>
                <w:sz w:val="18"/>
                <w:szCs w:val="18"/>
              </w:rPr>
              <w:t>La Pauta de Redeterminación establece una fórmula específica (60% UOCRA + 40% CAC) aplicable a TODAS las posiciones. Sin embargo, las Condiciones Generales (Art. 3) indican que 'no se reconocerán reajustes por variaciones de costos, salvo cuando expresamente se lo contemple en los documentos del Concurso'. Existe una aparente contradicción: ¿la Pauta de Redeterminación adjunta al proceso licitatorio prevalece sobre la cláusula genérica de las Condiciones Generales?</w:t>
            </w:r>
          </w:p>
        </w:tc>
      </w:tr>
      <w:tr w:rsidR="00024037" w14:paraId="65702F2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C545E76" w14:textId="77777777" w:rsidR="00024037" w:rsidRDefault="001A61EC">
            <w:pPr>
              <w:jc w:val="center"/>
            </w:pPr>
            <w:r>
              <w:rPr>
                <w:rFonts w:ascii="Arial" w:eastAsia="Arial" w:hAnsi="Arial" w:cs="Arial"/>
                <w:b/>
                <w:bCs/>
                <w:sz w:val="18"/>
                <w:szCs w:val="18"/>
              </w:rPr>
              <w:t>17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BB8AF75" w14:textId="77777777" w:rsidR="00024037" w:rsidRDefault="001A61EC">
            <w:pPr>
              <w:jc w:val="center"/>
            </w:pPr>
            <w:r>
              <w:rPr>
                <w:rFonts w:ascii="Arial" w:eastAsia="Arial" w:hAnsi="Arial" w:cs="Arial"/>
                <w:sz w:val="18"/>
                <w:szCs w:val="18"/>
              </w:rPr>
              <w:t>Inconsistencia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72FE622" w14:textId="77777777" w:rsidR="00024037" w:rsidRDefault="001A61EC">
            <w:r>
              <w:rPr>
                <w:rFonts w:ascii="Arial" w:eastAsia="Arial" w:hAnsi="Arial" w:cs="Arial"/>
                <w:sz w:val="18"/>
                <w:szCs w:val="18"/>
              </w:rPr>
              <w:t>Legajo técnico LT-SNI-003066 (Tipo: Servicio No Industrial) vs. PAMPA Cond. Grales de Obras (Condiciones para Obras)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39C7CE5" w14:textId="77777777" w:rsidR="00024037" w:rsidRDefault="001A61EC">
            <w:r>
              <w:rPr>
                <w:rFonts w:ascii="Arial" w:eastAsia="Arial" w:hAnsi="Arial" w:cs="Arial"/>
                <w:sz w:val="18"/>
                <w:szCs w:val="18"/>
              </w:rPr>
              <w:t>El Legajo Técnico clasifica el servicio como 'Servicio No Industrial' (frecuencia: continuo), mientras que el documento contractual de referencia adjunto son las 'Condiciones Generales de OBRAS para Contratistas', con cláusulas propias de obra (Recepción Provisoria, Garantía de Fiel Cumplimiento, Plan de Trabajos tipo GANTT, Libro de Obra, etc.). ¿Cuáles son los documentos contractuales específicos aplicables a este acuerdo marco de servicio continuo? ¿Corresponde presentar Plan de Trabajos y Certificación tipo GANTT para un servicio de demanda indeterminada?</w:t>
            </w:r>
          </w:p>
        </w:tc>
      </w:tr>
      <w:tr w:rsidR="00024037" w14:paraId="6C27563B" w14:textId="77777777">
        <w:tc>
          <w:tcPr>
            <w:tcW w:w="5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1BCE2D29" w14:textId="77777777" w:rsidR="00024037" w:rsidRDefault="001A61EC">
            <w:pPr>
              <w:jc w:val="center"/>
            </w:pPr>
            <w:r>
              <w:rPr>
                <w:rFonts w:ascii="Arial" w:eastAsia="Arial" w:hAnsi="Arial" w:cs="Arial"/>
                <w:b/>
                <w:bCs/>
                <w:sz w:val="18"/>
                <w:szCs w:val="18"/>
              </w:rPr>
              <w:t>18</w:t>
            </w:r>
          </w:p>
        </w:tc>
        <w:tc>
          <w:tcPr>
            <w:tcW w:w="11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4FA73BA3" w14:textId="77777777" w:rsidR="00024037" w:rsidRDefault="001A61EC">
            <w:pPr>
              <w:jc w:val="center"/>
            </w:pPr>
            <w:r>
              <w:rPr>
                <w:rFonts w:ascii="Arial" w:eastAsia="Arial" w:hAnsi="Arial" w:cs="Arial"/>
                <w:sz w:val="18"/>
                <w:szCs w:val="18"/>
              </w:rPr>
              <w:t>Inconsistencia</w:t>
            </w:r>
          </w:p>
        </w:tc>
        <w:tc>
          <w:tcPr>
            <w:tcW w:w="26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5DA7A977" w14:textId="77777777" w:rsidR="00024037" w:rsidRDefault="001A61EC">
            <w:r>
              <w:rPr>
                <w:rFonts w:ascii="Arial" w:eastAsia="Arial" w:hAnsi="Arial" w:cs="Arial"/>
                <w:sz w:val="18"/>
                <w:szCs w:val="18"/>
              </w:rPr>
              <w:t>ANEXO B - Requisitos Laborales V10_2025 / sección 6.9 vs. ANEXO C - Condiciones CSMS_0625</w:t>
            </w:r>
          </w:p>
        </w:tc>
        <w:tc>
          <w:tcPr>
            <w:tcW w:w="516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041D1E7D" w14:textId="77777777" w:rsidR="00024037" w:rsidRDefault="001A61EC">
            <w:r>
              <w:rPr>
                <w:rFonts w:ascii="Arial" w:eastAsia="Arial" w:hAnsi="Arial" w:cs="Arial"/>
                <w:sz w:val="18"/>
                <w:szCs w:val="18"/>
              </w:rPr>
              <w:t>El Anexo B (sección 6.9) y el Anexo C presentan versiones distintas respecto a los requisitos de CSMS para obras QIII: el Anexo B hace referencia a los requisitos en la columna 'Obra (Q3-Q4)' diferenciándolos de 'Servicio permanente (Q2-Q4)'. El Legajo clasifica el contrato como 'Servicio No Industrial' de frecuencia continua, categoría QIII. ¿Los requisitos CSMS aplicables son los de la columna 'Obra' o los de 'Servicio permanente'? La distinción tiene impacto directo sobre documentos como el Aviso de Inicio de Obra y el Programa de Seguridad.</w:t>
            </w:r>
          </w:p>
        </w:tc>
      </w:tr>
      <w:tr w:rsidR="00024037" w14:paraId="4C96F37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C2417CF" w14:textId="77777777" w:rsidR="00024037" w:rsidRDefault="001A61EC">
            <w:pPr>
              <w:jc w:val="center"/>
            </w:pPr>
            <w:r>
              <w:rPr>
                <w:rFonts w:ascii="Arial" w:eastAsia="Arial" w:hAnsi="Arial" w:cs="Arial"/>
                <w:b/>
                <w:bCs/>
                <w:sz w:val="18"/>
                <w:szCs w:val="18"/>
              </w:rPr>
              <w:t>19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FB23C23" w14:textId="77777777" w:rsidR="00024037" w:rsidRDefault="001A61EC">
            <w:pPr>
              <w:jc w:val="center"/>
            </w:pPr>
            <w:r>
              <w:rPr>
                <w:rFonts w:ascii="Arial" w:eastAsia="Arial" w:hAnsi="Arial" w:cs="Arial"/>
                <w:sz w:val="18"/>
                <w:szCs w:val="18"/>
              </w:rPr>
              <w:t>Inconsistencia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3B9DFB0" w14:textId="77777777" w:rsidR="00024037" w:rsidRDefault="001A61EC">
            <w:r>
              <w:rPr>
                <w:rFonts w:ascii="Arial" w:eastAsia="Arial" w:hAnsi="Arial" w:cs="Arial"/>
                <w:sz w:val="18"/>
                <w:szCs w:val="18"/>
              </w:rPr>
              <w:t>PAMPA Cond. Grales de Obras / Art. 17.1 (Garantía de Fiel Cumplimiento) vs. Instrucciones de cotización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CC715AB" w14:textId="77777777" w:rsidR="00024037" w:rsidRDefault="001A61EC">
            <w:r>
              <w:rPr>
                <w:rFonts w:ascii="Arial" w:eastAsia="Arial" w:hAnsi="Arial" w:cs="Arial"/>
                <w:sz w:val="18"/>
                <w:szCs w:val="18"/>
              </w:rPr>
              <w:t>Las Condiciones Generales (Art. 17.1) prevén la constitución de una Garantía de Fiel Cumplimiento equivalente al 10% del monto total de la obra 'en caso de requerirse en las Condiciones Particulares'. Las instrucciones de cotización no mencionan garantía alguna. ¿Se requiere Garantía de Fiel Cumplimiento para este acuerdo? En caso afirmativo, dado que se trata de un acuerdo marco de monto indeterminado, ¿cuál es la base de cálculo del 10%?</w:t>
            </w:r>
          </w:p>
        </w:tc>
      </w:tr>
      <w:tr w:rsidR="00024037" w14:paraId="7BBFB6EB" w14:textId="77777777">
        <w:tc>
          <w:tcPr>
            <w:tcW w:w="5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56074531" w14:textId="77777777" w:rsidR="00024037" w:rsidRDefault="001A61EC">
            <w:pPr>
              <w:jc w:val="center"/>
            </w:pPr>
            <w:r>
              <w:rPr>
                <w:rFonts w:ascii="Arial" w:eastAsia="Arial" w:hAnsi="Arial" w:cs="Arial"/>
                <w:b/>
                <w:bCs/>
                <w:sz w:val="18"/>
                <w:szCs w:val="18"/>
              </w:rPr>
              <w:t>20</w:t>
            </w:r>
          </w:p>
        </w:tc>
        <w:tc>
          <w:tcPr>
            <w:tcW w:w="11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6FF659A4" w14:textId="77777777" w:rsidR="00024037" w:rsidRDefault="001A61EC">
            <w:pPr>
              <w:jc w:val="center"/>
            </w:pPr>
            <w:r>
              <w:rPr>
                <w:rFonts w:ascii="Arial" w:eastAsia="Arial" w:hAnsi="Arial" w:cs="Arial"/>
                <w:sz w:val="18"/>
                <w:szCs w:val="18"/>
              </w:rPr>
              <w:t>Inconsistencia</w:t>
            </w:r>
          </w:p>
        </w:tc>
        <w:tc>
          <w:tcPr>
            <w:tcW w:w="260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58D9D78C" w14:textId="77777777" w:rsidR="00024037" w:rsidRDefault="001A61EC">
            <w:r>
              <w:rPr>
                <w:rFonts w:ascii="Arial" w:eastAsia="Arial" w:hAnsi="Arial" w:cs="Arial"/>
                <w:sz w:val="18"/>
                <w:szCs w:val="18"/>
              </w:rPr>
              <w:t xml:space="preserve">PAMPA Exig. Seg. Contratistas V26.12.24 / Nivel QIII vs. ANEXO A </w:t>
            </w:r>
            <w:r>
              <w:rPr>
                <w:rFonts w:ascii="Arial" w:eastAsia="Arial" w:hAnsi="Arial" w:cs="Arial"/>
                <w:sz w:val="18"/>
                <w:szCs w:val="18"/>
              </w:rPr>
              <w:lastRenderedPageBreak/>
              <w:t>PAMPA Exig. Seg. Contratistas V25.07.24</w:t>
            </w:r>
          </w:p>
        </w:tc>
        <w:tc>
          <w:tcPr>
            <w:tcW w:w="5160" w:type="dxa"/>
            <w:tcBorders>
              <w:top w:val="single" w:sz="4" w:space="0" w:color="CCCCCC"/>
              <w:left w:val="single" w:sz="4" w:space="0" w:color="CCCCCC"/>
              <w:bottom w:val="single" w:sz="4" w:space="0" w:color="CCCCCC"/>
              <w:right w:val="single" w:sz="4" w:space="0" w:color="CCCCCC"/>
            </w:tcBorders>
            <w:shd w:val="clear" w:color="auto" w:fill="FFF4EC"/>
            <w:tcMar>
              <w:top w:w="100" w:type="dxa"/>
              <w:left w:w="120" w:type="dxa"/>
              <w:bottom w:w="100" w:type="dxa"/>
              <w:right w:w="120" w:type="dxa"/>
            </w:tcMar>
          </w:tcPr>
          <w:p w14:paraId="382EF026" w14:textId="77777777" w:rsidR="00024037" w:rsidRDefault="001A61EC">
            <w:r>
              <w:rPr>
                <w:rFonts w:ascii="Arial" w:eastAsia="Arial" w:hAnsi="Arial" w:cs="Arial"/>
                <w:sz w:val="18"/>
                <w:szCs w:val="18"/>
              </w:rPr>
              <w:lastRenderedPageBreak/>
              <w:t xml:space="preserve">El proyecto incluye dos versiones del documento de exigencias de seguros: una del 25/07/2024 (Anexo A) y otra del 26/12/2024. Ambas establecen requisitos de RC </w:t>
            </w:r>
            <w:r>
              <w:rPr>
                <w:rFonts w:ascii="Arial" w:eastAsia="Arial" w:hAnsi="Arial" w:cs="Arial"/>
                <w:sz w:val="18"/>
                <w:szCs w:val="18"/>
              </w:rPr>
              <w:lastRenderedPageBreak/>
              <w:t>General QIII en USD 500.000. ¿Cuál es la versión vigente y aplicable a este proceso licitatorio? Las cláusulas adicionales de coaseguro y no subrogación, ¿deben incluir la totalidad de entidades listadas en el documento '2024_12_NOMINA_DE_EMPRESAS_A_INCLUIR.pdf'?</w:t>
            </w:r>
          </w:p>
        </w:tc>
      </w:tr>
      <w:tr w:rsidR="00024037" w14:paraId="5CF1B1DB"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4D962C4" w14:textId="77777777" w:rsidR="00024037" w:rsidRDefault="001A61EC">
            <w:pPr>
              <w:jc w:val="center"/>
            </w:pPr>
            <w:r>
              <w:rPr>
                <w:rFonts w:ascii="Arial" w:eastAsia="Arial" w:hAnsi="Arial" w:cs="Arial"/>
                <w:b/>
                <w:bCs/>
                <w:sz w:val="18"/>
                <w:szCs w:val="18"/>
              </w:rPr>
              <w:lastRenderedPageBreak/>
              <w:t>21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2AEA364" w14:textId="77777777" w:rsidR="00024037" w:rsidRDefault="001A61EC">
            <w:pPr>
              <w:jc w:val="center"/>
            </w:pPr>
            <w:r>
              <w:rPr>
                <w:rFonts w:ascii="Arial" w:eastAsia="Arial" w:hAnsi="Arial" w:cs="Arial"/>
                <w:sz w:val="18"/>
                <w:szCs w:val="18"/>
              </w:rPr>
              <w:t>Inconsistencia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0BEF0EC" w14:textId="77777777" w:rsidR="00024037" w:rsidRDefault="001A61EC">
            <w:r>
              <w:rPr>
                <w:rFonts w:ascii="Arial" w:eastAsia="Arial" w:hAnsi="Arial" w:cs="Arial"/>
                <w:sz w:val="18"/>
                <w:szCs w:val="18"/>
              </w:rPr>
              <w:t>PAMPA Cond. Grales de Obras / Art. 5 (Subcontratistas) vs. ANEXO C CSMS_0625 / Sección Subcontratación QIII</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82D4D0C" w14:textId="77777777" w:rsidR="00024037" w:rsidRDefault="001A61EC">
            <w:r>
              <w:rPr>
                <w:rFonts w:ascii="Arial" w:eastAsia="Arial" w:hAnsi="Arial" w:cs="Arial"/>
                <w:sz w:val="18"/>
                <w:szCs w:val="18"/>
              </w:rPr>
              <w:t>Las Condiciones Generales (Art. 5) permiten subcontratar con autorización previa de Pampa. El Anexo C CSMS para QIII exige, en caso de subcontratar, presentar 'listado de subcontratistas críticos y mecanismo de control'. Sin embargo, en ningún documento del pliego se define qué se considera 'subcontratista crítico' en el contexto de obras civiles menores. ¿Cuál es el criterio de Pampa para clasificar un subcontratista como crítico en este tipo de servicio?</w:t>
            </w:r>
          </w:p>
        </w:tc>
      </w:tr>
    </w:tbl>
    <w:p w14:paraId="3F40F8FF" w14:textId="77777777" w:rsidR="00024037" w:rsidRDefault="00024037">
      <w:pPr>
        <w:spacing w:before="240"/>
      </w:pPr>
    </w:p>
    <w:p w14:paraId="3A9D31B1" w14:textId="77777777" w:rsidR="00024037" w:rsidRDefault="001A61EC">
      <w:pPr>
        <w:spacing w:before="80" w:after="80"/>
      </w:pPr>
      <w:r>
        <w:rPr>
          <w:rFonts w:ascii="Arial" w:eastAsia="Arial" w:hAnsi="Arial" w:cs="Arial"/>
          <w:sz w:val="18"/>
          <w:szCs w:val="18"/>
        </w:rPr>
        <w:t>Sin otro particular, quedamos a disposición para cualquier aclaración adicional.</w:t>
      </w:r>
    </w:p>
    <w:sectPr w:rsidR="000240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F37"/>
    <w:multiLevelType w:val="hybridMultilevel"/>
    <w:tmpl w:val="B35A1E50"/>
    <w:lvl w:ilvl="0" w:tplc="6E7C072C">
      <w:start w:val="1"/>
      <w:numFmt w:val="bullet"/>
      <w:lvlText w:val="●"/>
      <w:lvlJc w:val="left"/>
      <w:pPr>
        <w:ind w:left="720" w:hanging="360"/>
      </w:pPr>
    </w:lvl>
    <w:lvl w:ilvl="1" w:tplc="7B0C1B28">
      <w:start w:val="1"/>
      <w:numFmt w:val="bullet"/>
      <w:lvlText w:val="○"/>
      <w:lvlJc w:val="left"/>
      <w:pPr>
        <w:ind w:left="1440" w:hanging="360"/>
      </w:pPr>
    </w:lvl>
    <w:lvl w:ilvl="2" w:tplc="56C09056">
      <w:start w:val="1"/>
      <w:numFmt w:val="bullet"/>
      <w:lvlText w:val="■"/>
      <w:lvlJc w:val="left"/>
      <w:pPr>
        <w:ind w:left="2160" w:hanging="360"/>
      </w:pPr>
    </w:lvl>
    <w:lvl w:ilvl="3" w:tplc="CD4EE374">
      <w:start w:val="1"/>
      <w:numFmt w:val="bullet"/>
      <w:lvlText w:val="●"/>
      <w:lvlJc w:val="left"/>
      <w:pPr>
        <w:ind w:left="2880" w:hanging="360"/>
      </w:pPr>
    </w:lvl>
    <w:lvl w:ilvl="4" w:tplc="98047DDC">
      <w:start w:val="1"/>
      <w:numFmt w:val="bullet"/>
      <w:lvlText w:val="○"/>
      <w:lvlJc w:val="left"/>
      <w:pPr>
        <w:ind w:left="3600" w:hanging="360"/>
      </w:pPr>
    </w:lvl>
    <w:lvl w:ilvl="5" w:tplc="E0084D38">
      <w:start w:val="1"/>
      <w:numFmt w:val="bullet"/>
      <w:lvlText w:val="■"/>
      <w:lvlJc w:val="left"/>
      <w:pPr>
        <w:ind w:left="4320" w:hanging="360"/>
      </w:pPr>
    </w:lvl>
    <w:lvl w:ilvl="6" w:tplc="AD540670">
      <w:start w:val="1"/>
      <w:numFmt w:val="bullet"/>
      <w:lvlText w:val="●"/>
      <w:lvlJc w:val="left"/>
      <w:pPr>
        <w:ind w:left="5040" w:hanging="360"/>
      </w:pPr>
    </w:lvl>
    <w:lvl w:ilvl="7" w:tplc="769CC6A4">
      <w:start w:val="1"/>
      <w:numFmt w:val="bullet"/>
      <w:lvlText w:val="●"/>
      <w:lvlJc w:val="left"/>
      <w:pPr>
        <w:ind w:left="5760" w:hanging="360"/>
      </w:pPr>
    </w:lvl>
    <w:lvl w:ilvl="8" w:tplc="1E96D490">
      <w:start w:val="1"/>
      <w:numFmt w:val="bullet"/>
      <w:lvlText w:val="●"/>
      <w:lvlJc w:val="left"/>
      <w:pPr>
        <w:ind w:left="6480" w:hanging="360"/>
      </w:pPr>
    </w:lvl>
  </w:abstractNum>
  <w:num w:numId="1" w16cid:durableId="111486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37"/>
    <w:rsid w:val="00024037"/>
    <w:rsid w:val="0003404F"/>
    <w:rsid w:val="001A61EC"/>
    <w:rsid w:val="00240001"/>
    <w:rsid w:val="00AF0592"/>
    <w:rsid w:val="00B07118"/>
    <w:rsid w:val="00CE77C2"/>
    <w:rsid w:val="00D930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EAC3"/>
  <w15:docId w15:val="{343D6937-6E9E-4645-B345-ED5167C4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B4613A-67D5-4F1A-8249-DBA7EE949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1EF20-01F3-4B9B-A65D-1B1F99BEA44A}">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customXml/itemProps3.xml><?xml version="1.0" encoding="utf-8"?>
<ds:datastoreItem xmlns:ds="http://schemas.openxmlformats.org/officeDocument/2006/customXml" ds:itemID="{CC5AEAFE-C867-41CA-850F-9E08BF8CD3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1828</Words>
  <Characters>10056</Characters>
  <Application>Microsoft Office Word</Application>
  <DocSecurity>0</DocSecurity>
  <Lines>83</Lines>
  <Paragraphs>23</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Martinet</cp:lastModifiedBy>
  <cp:revision>6</cp:revision>
  <dcterms:created xsi:type="dcterms:W3CDTF">2026-07-06T18:21:00Z</dcterms:created>
  <dcterms:modified xsi:type="dcterms:W3CDTF">2026-07-09T18:52:00Z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ies>
</file>