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{{CLIENTE}}</w:t>
              <w:br/>
              <w:t>{{TITULO_OBRA}}</w:t>
              <w:br/>
              <w:t>{{PLANTA}}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{{CLIENTE}}</w:t>
            </w:r>
          </w:p>
          <w:p w14:paraId="4E605749" w14:textId="77777777" w:rsidR="00EB34E8" w:rsidRDefault="00F42ECD">
            <w:r>
              <w:t>{{PLANTA}}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{{CLIENTE_CORTO}}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{{CLIENTE_CORTO}}.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{{NUMERO_LICITACION}}. IMA arbitrará todos los medios necesarios para responder en tiempo y forma a las necesidades de {{CLIENTE_CORTO}}. Todos los servicios serán ejecutados sin interferir con las actividades normales de operación del {{PLANTA}}; cualquier interferencia potencial será comunicada con la antelación suficiente al supervisor de {{CLIENTE_CORTO}}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{{CLIENTE_CORTO}}, {{PLANTA}},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{{CLIENTE_CORTO}}.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{{CLIENTE_CORTO}}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{{CLIENTE_CORTO}}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{{CLIENTE_CORTO}}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{{CLIENTE_CORTO}}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{{TEXTO_HORARIOS}}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{{PLANTA}}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{{CLIENTE_CORTO}} para cuestiones operativas, de seguridad y certificación. La supervisión de {{CLIENTE_CORTO}}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{{TEXTO_ALCANCE_GENERAL}}</w:t>
      </w:r>
    </w:p>
    <w:p>
      <w:pPr/>
      <w:r>
        <w:t>{{TEXTO_TAREAS_DEFINIDAS}}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{{TEXTO_PERFILES_PERSONAL}}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{{CLIENTE_CORTO}}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{{TEXTO_MATERIALES_CLIENTE}}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{{CLIENTE_CORTO}})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{{CLIENTE_CORTO}} dentro del predio del {{PLANTA}}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{{TEXTO_MATERIALES_IMA}}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{{CLIENTE_CORTO}}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{{TEXTO_HERRAMIENTAS_Y_EPP}}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{{TEXTO_SSMA}}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{{TEXTO_ENCUADRE_GREMIAL}}</w:t>
      </w:r>
    </w:p>
    <w:p>
      <w:pPr/>
      <w:r>
        <w:t>{{TEXTO_CONDICIONES_COMERCIALES}}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{{TEXTO_COMUNICACION}}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{{TEXTO_REQUISITOS_ADICIONALES}}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{{NUMERO_LICITACION}}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{{NUMERO_LICITACION}} — {{CLIENTE_CORTO}} {{TITULO_OBRA}} | Rev 00 | {{FECHA_EMISION}}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{{NUMERO_LICITACION}} — {{CLIENTE_CORTO}} {{TITULO_OBRA}}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