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b/>
          <w:bCs/>
          <w:color w:val="5D6278"/>
          <w:sz w:val="20"/>
          <w:szCs w:val="20"/>
        </w:rPr>
        <w:t xml:space="preserve">CONSEIN · DISD</w:t>
      </w:r>
    </w:p>
    <w:p>
      <w:pPr>
        <w:spacing w:after="160"/>
      </w:pPr>
      <w:r>
        <w:rPr>
          <w:b/>
          <w:bCs/>
          <w:color w:val="000F76"/>
          <w:sz w:val="56"/>
          <w:szCs w:val="56"/>
        </w:rPr>
        <w:t xml:space="preserve">Palabras clave SEO</w:t>
      </w:r>
    </w:p>
    <w:p>
      <w:pPr>
        <w:spacing w:after="400"/>
      </w:pPr>
      <w:r>
        <w:rPr>
          <w:color w:val="000F76"/>
          <w:sz w:val="30"/>
          <w:szCs w:val="30"/>
        </w:rPr>
        <w:t xml:space="preserve">Soluciones Cisco de Consein · 7 especialidades y Programa Renueva</w:t>
      </w:r>
    </w:p>
    <w:p>
      <w:pPr>
        <w:spacing w:after="120"/>
        <w:rPr>
          <w:color w:val="5D6278"/>
        </w:rPr>
      </w:pPr>
      <w:r>
        <w:rPr>
          <w:color w:val="5D6278"/>
        </w:rPr>
        <w:t xml:space="preserve">Documento editable para el equipo SEO · Octubre 2026</w:t>
      </w:r>
    </w:p>
    <w:p>
      <w:pPr>
        <w:spacing w:after="120"/>
        <w:rPr>
          <w:color w:val="5D6278"/>
        </w:rPr>
      </w:pPr>
      <w:r>
        <w:rPr>
          <w:color w:val="5D6278"/>
        </w:rPr>
        <w:t xml:space="preserve">Objetivo: ubicar a Consein entre los 5 primeros resultados de búsqueda en cada una de las 7 especialidades, en Venezuela, Panamá, República Dominicana y Estados Unidos (mercado hispanohablante).</w:t>
      </w:r>
    </w:p>
    <w:p>
      <w:pPr>
        <w:pStyle w:val="Heading1"/>
        <w:pageBreakBefore/>
      </w:pPr>
      <w: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Cómo usar esta lista</w:t>
      </w:r>
    </w:p>
    <w:p>
      <w:pPr>
        <w:spacing w:after="120"/>
      </w:pPr>
      <w:r>
        <w:t xml:space="preserve">Organizamos las palabras clave por especialidad. Cada tabla indica el tipo de término, la intención de búsqueda, la prioridad y la página o sección del sitio que debe posicionarse para ese término.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Principal:</w:t>
      </w:r>
      <w:r>
        <w:t xml:space="preserve"> término central de la especialidad; aparece en el H1 o H2 de su sección.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Secundaria:</w:t>
      </w:r>
      <w:r>
        <w:t xml:space="preserve"> término de apoyo con volumen relevante.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Long tail:</w:t>
      </w:r>
      <w:r>
        <w:t xml:space="preserve"> frase específica, con menos competencia y mayor probabilidad de conversión.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Producto:</w:t>
      </w:r>
      <w:r>
        <w:t xml:space="preserve"> nombre de producto Cisco o Microsoft que el cliente busca directamente.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Prioridad:</w:t>
      </w:r>
      <w:r>
        <w:t xml:space="preserve"> A = meta top 5 en los próximos 6 meses; B = top 10; C = soporte semántico.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Intención:</w:t>
      </w:r>
      <w:r>
        <w:t xml:space="preserve"> Comercial (evalúa proveedores), Informativa (investiga), Transaccional (quiere contratar) o Navegacional (busca la marca).</w:t>
      </w:r>
    </w:p>
    <w:p>
      <w:pPr>
        <w:spacing w:after="120"/>
      </w:pPr>
      <w:r>
        <w:rPr>
          <w:b/>
          <w:bCs/>
        </w:rPr>
        <w:t xml:space="preserve">Validación pendiente: </w:t>
      </w:r>
      <w:r>
        <w:t xml:space="preserve">esta lista se basa en el portafolio y en la demanda esperada del mercado. Antes de fijar las metas, el equipo SEO debe confirmar el volumen de búsqueda, la dificultad y los competidores por país con Google Keyword Planner, Semrush o Ahrefs, y luego medir el avance en Google Search Console.</w:t>
      </w:r>
    </w:p>
    <w:p>
      <w:pPr>
        <w:spacing w:after="120"/>
      </w:pPr>
      <w:r>
        <w:rPr>
          <w:b/>
          <w:bCs/>
        </w:rPr>
        <w:t xml:space="preserve">* </w:t>
      </w:r>
      <w:r>
        <w:t xml:space="preserve">Usar los términos de “partner Cisco” solo después de confirmar el nivel de partnership vigente de Consein con Cisco.</w:t>
      </w:r>
    </w:p>
    <w:p>
      <w:pPr>
        <w:pStyle w:val="Heading2"/>
      </w:pPr>
      <w:r>
        <w:t xml:space="preserve">Modificadores geográficos</w:t>
      </w:r>
    </w:p>
    <w:p>
      <w:pPr>
        <w:spacing w:after="120"/>
      </w:pPr>
      <w:r>
        <w:t xml:space="preserve">Combine las palabras clave de prioridad A con estos modificadores para crear variantes locales en títulos, contenidos y perfiles de Google Business: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País</w:t>
            </w:r>
          </w:p>
        </w:tc>
        <w:tc>
          <w:tcPr>
            <w:tcW w:type="dxa" w:w="6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Modificadores sugeridos</w:t>
            </w:r>
          </w:p>
        </w:tc>
      </w:tr>
      <w:tr>
        <w:tc>
          <w:tcPr>
            <w:tcW w:type="dxa" w:w="2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Venezuela</w:t>
            </w:r>
          </w:p>
        </w:tc>
        <w:tc>
          <w:tcPr>
            <w:tcW w:type="dxa" w:w="6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 Venezuela · Caracas · Valencia · Maracaibo</w:t>
            </w:r>
          </w:p>
        </w:tc>
      </w:tr>
      <w:tr>
        <w:tc>
          <w:tcPr>
            <w:tcW w:type="dxa" w:w="2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Panamá</w:t>
            </w:r>
          </w:p>
        </w:tc>
        <w:tc>
          <w:tcPr>
            <w:tcW w:type="dxa" w:w="6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 Panamá · Ciudad de Panamá</w:t>
            </w:r>
          </w:p>
        </w:tc>
      </w:tr>
      <w:tr>
        <w:tc>
          <w:tcPr>
            <w:tcW w:type="dxa" w:w="2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República Dominicana</w:t>
            </w:r>
          </w:p>
        </w:tc>
        <w:tc>
          <w:tcPr>
            <w:tcW w:type="dxa" w:w="6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 República Dominicana · Santo Domingo · Santiago</w:t>
            </w:r>
          </w:p>
        </w:tc>
      </w:tr>
      <w:tr>
        <w:tc>
          <w:tcPr>
            <w:tcW w:type="dxa" w:w="2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Estados Unidos</w:t>
            </w:r>
          </w:p>
        </w:tc>
        <w:tc>
          <w:tcPr>
            <w:tcW w:type="dxa" w:w="6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Miami · Florida · empresas hispanas en EE. UU.</w:t>
            </w:r>
          </w:p>
        </w:tc>
      </w:tr>
    </w:tbl>
    <w:p>
      <w:pPr>
        <w:pStyle w:val="Heading1"/>
        <w:pageBreakBefore/>
      </w:pPr>
      <w:r>
        <w:t xml:space="preserve">Palabras clave transversales</w:t>
      </w:r>
    </w:p>
    <w:p>
      <w:pPr>
        <w:spacing w:after="120"/>
      </w:pPr>
      <w:r>
        <w:t xml:space="preserve">Términos de marca y de portafolio que posicionan la página de inicio y el servicio integral.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350"/>
        <w:gridCol w:w="1350"/>
        <w:gridCol w:w="900"/>
        <w:gridCol w:w="2760"/>
      </w:tblGrid>
      <w:tr>
        <w:trPr>
          <w:tblHeader/>
        </w:trP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Página / sección destino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soluciones Cisco Microsoft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integrador Cisco y Microsoft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partner Cisco Venezuela *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Geográfica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partner Cisco Panamá *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Geográfica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partner Cisco República Dominicana *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Geográfica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partner Microsoft Venezuela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Geográfica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servicios gestionados de red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CSC-15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Consein Cisco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Consein Connected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CSC-15</w:t>
            </w:r>
          </w:p>
        </w:tc>
      </w:tr>
    </w:tbl>
    <w:p>
      <w:pPr>
        <w:pStyle w:val="Heading1"/>
        <w:pageBreakBefore/>
      </w:pPr>
      <w:r>
        <w:t xml:space="preserve">1. Infraestructura</w:t>
      </w:r>
    </w:p>
    <w:p>
      <w:pPr>
        <w:spacing w:after="120"/>
      </w:pPr>
      <w:r>
        <w:rPr>
          <w:b/>
          <w:bCs/>
        </w:rPr>
        <w:t xml:space="preserve">Objetivo: </w:t>
      </w:r>
      <w:r>
        <w:t xml:space="preserve">Posicionarnos como referencia en SD-WAN para Azure y redes Cisco Meraki gestionadas.</w:t>
      </w:r>
    </w:p>
    <w:p>
      <w:pPr>
        <w:spacing w:after="160"/>
      </w:pPr>
      <w:r>
        <w:rPr>
          <w:b/>
          <w:bCs/>
        </w:rPr>
        <w:t xml:space="preserve">H2 en el sitio: </w:t>
      </w:r>
      <w:r>
        <w:t xml:space="preserve">Infraestructura de red y SD-WAN para Azure</w:t>
      </w:r>
      <w:r>
        <w:rPr>
          <w:b/>
          <w:bCs/>
        </w:rPr>
        <w:t xml:space="preserve">   ·   URL: </w:t>
      </w:r>
      <w:r>
        <w:t xml:space="preserve">soluciones.html#infraestructura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350"/>
        <w:gridCol w:w="1350"/>
        <w:gridCol w:w="900"/>
        <w:gridCol w:w="2760"/>
      </w:tblGrid>
      <w:tr>
        <w:trPr>
          <w:tblHeader/>
        </w:trP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Página / sección destino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SD-WAN Azure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#infraestructura · CSC-02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red gestionada Meraki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CSC-04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conectar sucursales a Azure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CSC-02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Meraki SD-WAN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CSC-02 · CSC-04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diagnóstico de red gratuito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CSC-01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Azure Virtual WAN SD-WAN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CSC-02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infraestructura de red híbrida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CSC-03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redes Cisco Meraki para empresas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CSC-04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switches Cisco Catalyst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CSC-03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ThousandEyes Azure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CSC-01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datacenter Cisco Nexus ACI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CSC-03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Azure Arc Cisco Intersight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CSC-05</w:t>
            </w:r>
          </w:p>
        </w:tc>
      </w:tr>
    </w:tbl>
    <w:p>
      <w:pPr>
        <w:spacing w:after="240"/>
      </w:pPr>
    </w:p>
    <w:p>
      <w:pPr>
        <w:pStyle w:val="Heading1"/>
      </w:pPr>
      <w:r>
        <w:t xml:space="preserve">2. Seguridad</w:t>
      </w:r>
    </w:p>
    <w:p>
      <w:pPr>
        <w:spacing w:after="120"/>
      </w:pPr>
      <w:r>
        <w:rPr>
          <w:b/>
          <w:bCs/>
        </w:rPr>
        <w:t xml:space="preserve">Objetivo: </w:t>
      </w:r>
      <w:r>
        <w:t xml:space="preserve">Ganar las búsquedas de Zero Trust de red, firewall perimetral e integración con Microsoft Sentinel.</w:t>
      </w:r>
    </w:p>
    <w:p>
      <w:pPr>
        <w:spacing w:after="160"/>
      </w:pPr>
      <w:r>
        <w:rPr>
          <w:b/>
          <w:bCs/>
        </w:rPr>
        <w:t xml:space="preserve">H2 en el sitio: </w:t>
      </w:r>
      <w:r>
        <w:t xml:space="preserve">Ciberseguridad y Zero Trust de red</w:t>
      </w:r>
      <w:r>
        <w:rPr>
          <w:b/>
          <w:bCs/>
        </w:rPr>
        <w:t xml:space="preserve">   ·   URL: </w:t>
      </w:r>
      <w:r>
        <w:t xml:space="preserve">soluciones.html#seguridad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350"/>
        <w:gridCol w:w="1350"/>
        <w:gridCol w:w="900"/>
        <w:gridCol w:w="2760"/>
      </w:tblGrid>
      <w:tr>
        <w:trPr>
          <w:tblHeader/>
        </w:trP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Página / sección destino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Zero Trust de red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#seguridad · CSC-06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ciberseguridad empresarial Cisco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#seguridad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firewall perimetral para empresas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CSC-07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Secure Firewall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CSC-07 · REN-04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integración Microsoft Sentinel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CSC-07 · CSC-08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ISE Intune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CSC-06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control de acceso a la red NAC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CSC-06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detección de amenazas en la red NDR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CSC-08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segmentación de red Zero Trust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CSC-06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Secure Firewall Sentinel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CSC-07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Secure Network Analytics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CSC-08</w:t>
            </w:r>
          </w:p>
        </w:tc>
      </w:tr>
    </w:tbl>
    <w:p>
      <w:pPr>
        <w:spacing w:after="240"/>
      </w:pPr>
    </w:p>
    <w:p>
      <w:pPr>
        <w:pStyle w:val="Heading1"/>
      </w:pPr>
      <w:r>
        <w:t xml:space="preserve">3. Colaboración</w:t>
      </w:r>
    </w:p>
    <w:p>
      <w:pPr>
        <w:spacing w:after="120"/>
      </w:pPr>
      <w:r>
        <w:rPr>
          <w:b/>
          <w:bCs/>
        </w:rPr>
        <w:t xml:space="preserve">Objetivo: </w:t>
      </w:r>
      <w:r>
        <w:t xml:space="preserve">Liderar las búsquedas de salas Microsoft Teams Rooms con hardware Cisco certificado.</w:t>
      </w:r>
    </w:p>
    <w:p>
      <w:pPr>
        <w:spacing w:after="160"/>
      </w:pPr>
      <w:r>
        <w:rPr>
          <w:b/>
          <w:bCs/>
        </w:rPr>
        <w:t xml:space="preserve">H2 en el sitio: </w:t>
      </w:r>
      <w:r>
        <w:t xml:space="preserve">Colaboración y salas Microsoft Teams Rooms</w:t>
      </w:r>
      <w:r>
        <w:rPr>
          <w:b/>
          <w:bCs/>
        </w:rPr>
        <w:t xml:space="preserve">   ·   URL: </w:t>
      </w:r>
      <w:r>
        <w:t xml:space="preserve">soluciones.html#colaboracion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350"/>
        <w:gridCol w:w="1350"/>
        <w:gridCol w:w="900"/>
        <w:gridCol w:w="2760"/>
      </w:tblGrid>
      <w:tr>
        <w:trPr>
          <w:tblHeader/>
        </w:trP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Página / sección destino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Microsoft Teams Rooms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#colaboracion · CSC-10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salas de reuniones Teams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CSC-10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implementación Teams Rooms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CSC-10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Room Kit Teams Rooms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CSC-10 · REN-06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videoconferencia empresarial Teams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CSC-10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calidad de llamadas Teams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CSC-11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monitoreo Microsoft Teams ThousandEyes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CSC-11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Board Teams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CSC-10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teléfonos Cisco Teams Phone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REN-06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salas híbridas Copilot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CSC-10</w:t>
            </w:r>
          </w:p>
        </w:tc>
      </w:tr>
    </w:tbl>
    <w:p>
      <w:pPr>
        <w:spacing w:after="240"/>
      </w:pPr>
    </w:p>
    <w:p>
      <w:pPr>
        <w:pStyle w:val="Heading1"/>
      </w:pPr>
      <w:r>
        <w:t xml:space="preserve">4. Data y Analítica</w:t>
      </w:r>
    </w:p>
    <w:p>
      <w:pPr>
        <w:spacing w:after="120"/>
      </w:pPr>
      <w:r>
        <w:rPr>
          <w:b/>
          <w:bCs/>
        </w:rPr>
        <w:t xml:space="preserve">Objetivo: </w:t>
      </w:r>
      <w:r>
        <w:t xml:space="preserve">Posicionarnos en observabilidad y monitoreo de aplicaciones con indicadores en Power BI.</w:t>
      </w:r>
    </w:p>
    <w:p>
      <w:pPr>
        <w:spacing w:after="160"/>
      </w:pPr>
      <w:r>
        <w:rPr>
          <w:b/>
          <w:bCs/>
        </w:rPr>
        <w:t xml:space="preserve">H2 en el sitio: </w:t>
      </w:r>
      <w:r>
        <w:t xml:space="preserve">Data, analítica y observabilidad de aplicaciones</w:t>
      </w:r>
      <w:r>
        <w:rPr>
          <w:b/>
          <w:bCs/>
        </w:rPr>
        <w:t xml:space="preserve">   ·   URL: </w:t>
      </w:r>
      <w:r>
        <w:t xml:space="preserve">soluciones.html#data-analitica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350"/>
        <w:gridCol w:w="1350"/>
        <w:gridCol w:w="900"/>
        <w:gridCol w:w="2760"/>
      </w:tblGrid>
      <w:tr>
        <w:trPr>
          <w:tblHeader/>
        </w:trP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Página / sección destino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observabilidad de aplicaciones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#data-analitica · CSC-12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monitoreo de aplicaciones APM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CSC-12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AppDynamics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CSC-12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observabilidad full stack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CSC-12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monitoreo rendimiento ERP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CSC-12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Azure Monitor Application Insights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CSC-12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indicadores de disponibilidad Power BI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CSC-12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ThousandEyes Cloud Insights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#data-analitica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Splunk Observability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#data-analitica</w:t>
            </w:r>
          </w:p>
        </w:tc>
      </w:tr>
    </w:tbl>
    <w:p>
      <w:pPr>
        <w:spacing w:after="240"/>
      </w:pPr>
    </w:p>
    <w:p>
      <w:pPr>
        <w:pStyle w:val="Heading1"/>
      </w:pPr>
      <w:r>
        <w:t xml:space="preserve">5. Servicios Empresariales</w:t>
      </w:r>
    </w:p>
    <w:p>
      <w:pPr>
        <w:spacing w:after="120"/>
      </w:pPr>
      <w:r>
        <w:rPr>
          <w:b/>
          <w:bCs/>
        </w:rPr>
        <w:t xml:space="preserve">Objetivo: </w:t>
      </w:r>
      <w:r>
        <w:t xml:space="preserve">Captar a las empresas que buscan proteger y acelerar Dynamics 365 y Business Central.</w:t>
      </w:r>
    </w:p>
    <w:p>
      <w:pPr>
        <w:spacing w:after="160"/>
      </w:pPr>
      <w:r>
        <w:rPr>
          <w:b/>
          <w:bCs/>
        </w:rPr>
        <w:t xml:space="preserve">H2 en el sitio: </w:t>
      </w:r>
      <w:r>
        <w:t xml:space="preserve">Acceso seguro a Dynamics 365 y Business Central</w:t>
      </w:r>
      <w:r>
        <w:rPr>
          <w:b/>
          <w:bCs/>
        </w:rPr>
        <w:t xml:space="preserve">   ·   URL: </w:t>
      </w:r>
      <w:r>
        <w:t xml:space="preserve">soluciones.html#servicios-empresariales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350"/>
        <w:gridCol w:w="1350"/>
        <w:gridCol w:w="900"/>
        <w:gridCol w:w="2760"/>
      </w:tblGrid>
      <w:tr>
        <w:trPr>
          <w:tblHeader/>
        </w:trP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Página / sección destino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acceso seguro Dynamics 365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#servicios-empresariales · CSC-09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monitoreo Dynamics 365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CSC-12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alternativa a VPN para empresas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CSC-09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Dynamics 365 lento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CSC-12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acceso remoto Business Central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CSC-09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Secure Access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CSC-09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acceso de terceros a aplicaciones de negocio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CSC-09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conectividad de sedes para ERP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#servicios-empresariales</w:t>
            </w:r>
          </w:p>
        </w:tc>
      </w:tr>
    </w:tbl>
    <w:p>
      <w:pPr>
        <w:spacing w:after="240"/>
      </w:pPr>
    </w:p>
    <w:p>
      <w:pPr>
        <w:pStyle w:val="Heading1"/>
      </w:pPr>
      <w:r>
        <w:t xml:space="preserve">6. Automatización</w:t>
      </w:r>
    </w:p>
    <w:p>
      <w:pPr>
        <w:spacing w:after="120"/>
      </w:pPr>
      <w:r>
        <w:rPr>
          <w:b/>
          <w:bCs/>
        </w:rPr>
        <w:t xml:space="preserve">Objetivo: </w:t>
      </w:r>
      <w:r>
        <w:t xml:space="preserve">Ocupar el nicho de automatización de redes con Power Automate y APIs de Cisco.</w:t>
      </w:r>
    </w:p>
    <w:p>
      <w:pPr>
        <w:spacing w:after="160"/>
      </w:pPr>
      <w:r>
        <w:rPr>
          <w:b/>
          <w:bCs/>
        </w:rPr>
        <w:t xml:space="preserve">H2 en el sitio: </w:t>
      </w:r>
      <w:r>
        <w:t xml:space="preserve">Automatización de redes con Power Platform</w:t>
      </w:r>
      <w:r>
        <w:rPr>
          <w:b/>
          <w:bCs/>
        </w:rPr>
        <w:t xml:space="preserve">   ·   URL: </w:t>
      </w:r>
      <w:r>
        <w:t xml:space="preserve">soluciones.html#automatizacion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350"/>
        <w:gridCol w:w="1350"/>
        <w:gridCol w:w="900"/>
        <w:gridCol w:w="2760"/>
      </w:tblGrid>
      <w:tr>
        <w:trPr>
          <w:tblHeader/>
        </w:trP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Página / sección destino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automatización de redes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#automatizacion · CSC-13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NetOps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CSC-13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Power Automate red Cisco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CSC-13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automatización de infraestructura TI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#automatizacion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Meraki API automatización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CSC-13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Catalyst Center API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CSC-13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Logic Apps red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CSC-13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NSO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CSC-13</w:t>
            </w:r>
          </w:p>
        </w:tc>
      </w:tr>
    </w:tbl>
    <w:p>
      <w:pPr>
        <w:spacing w:after="240"/>
      </w:pPr>
    </w:p>
    <w:p>
      <w:pPr>
        <w:pStyle w:val="Heading1"/>
      </w:pPr>
      <w:r>
        <w:t xml:space="preserve">7. Inteligencia Artificial</w:t>
      </w:r>
    </w:p>
    <w:p>
      <w:pPr>
        <w:spacing w:after="120"/>
      </w:pPr>
      <w:r>
        <w:rPr>
          <w:b/>
          <w:bCs/>
        </w:rPr>
        <w:t xml:space="preserve">Objetivo: </w:t>
      </w:r>
      <w:r>
        <w:t xml:space="preserve">Posicionarnos temprano en seguridad para IA, un tema en crecimiento con poca competencia en español.</w:t>
      </w:r>
    </w:p>
    <w:p>
      <w:pPr>
        <w:spacing w:after="160"/>
      </w:pPr>
      <w:r>
        <w:rPr>
          <w:b/>
          <w:bCs/>
        </w:rPr>
        <w:t xml:space="preserve">H2 en el sitio: </w:t>
      </w:r>
      <w:r>
        <w:t xml:space="preserve">Infraestructura y seguridad para inteligencia artificial</w:t>
      </w:r>
      <w:r>
        <w:rPr>
          <w:b/>
          <w:bCs/>
        </w:rPr>
        <w:t xml:space="preserve">   ·   URL: </w:t>
      </w:r>
      <w:r>
        <w:t xml:space="preserve">soluciones.html#inteligencia-artificial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350"/>
        <w:gridCol w:w="1350"/>
        <w:gridCol w:w="900"/>
        <w:gridCol w:w="2760"/>
      </w:tblGrid>
      <w:tr>
        <w:trPr>
          <w:tblHeader/>
        </w:trP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Página / sección destino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seguridad para inteligencia artificial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#inteligencia-artificial · CSC-14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infraestructura para IA empresarial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CSC-14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AI Defense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CSC-14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seguridad Azure OpenAI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CSC-14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seguridad de agentes Copilot Studio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CSC-14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red para inteligencia artificial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CSC-14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Hypershield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CSC-14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prevención de inyección de instrucciones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CSC-14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Secure AI Factory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#inteligencia-artificial</w:t>
            </w:r>
          </w:p>
        </w:tc>
      </w:tr>
    </w:tbl>
    <w:p>
      <w:pPr>
        <w:spacing w:after="240"/>
      </w:pPr>
    </w:p>
    <w:p>
      <w:pPr>
        <w:pStyle w:val="Heading1"/>
        <w:pageBreakBefore/>
      </w:pPr>
      <w:r>
        <w:t xml:space="preserve">Productos · Programa Renueva</w:t>
      </w:r>
    </w:p>
    <w:p>
      <w:pPr>
        <w:spacing w:after="120"/>
      </w:pPr>
      <w:r>
        <w:rPr>
          <w:b/>
          <w:bCs/>
        </w:rPr>
        <w:t xml:space="preserve">Objetivo: </w:t>
      </w:r>
      <w:r>
        <w:t xml:space="preserve">captar a las empresas que buscan renovar equipos Cisco sin soporte.</w:t>
      </w:r>
    </w:p>
    <w:p>
      <w:pPr>
        <w:spacing w:after="160"/>
      </w:pPr>
      <w:r>
        <w:rPr>
          <w:b/>
          <w:bCs/>
        </w:rPr>
        <w:t xml:space="preserve">H1 en el sitio: </w:t>
      </w:r>
      <w:r>
        <w:t xml:space="preserve">Programa Renueva: renovación de redes Cisco</w:t>
      </w:r>
      <w:r>
        <w:rPr>
          <w:b/>
          <w:bCs/>
        </w:rPr>
        <w:t xml:space="preserve">   ·   URL: </w:t>
      </w:r>
      <w:r>
        <w:t xml:space="preserve">productos.html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350"/>
        <w:gridCol w:w="1350"/>
        <w:gridCol w:w="900"/>
        <w:gridCol w:w="2760"/>
      </w:tblGrid>
      <w:tr>
        <w:trPr>
          <w:tblHeader/>
        </w:trP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Página / sección destino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renovación de equipos Cisco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productos.html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equipos Cisco fin de soporte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#por-que-renovar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inventario de obsolescencia tecnológica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REN-01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end of life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#rutas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migración Cisco ASA a Secure Firewall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REN-04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reemplazo de MPLS por SD-WAN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REN-03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renovación switches Catalyst 9000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REN-02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financiamiento para renovación tecnológica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REN-07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financiamiento bancario de equipos de red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REN-07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CISA BOD 26-02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#por-que-renovar</w:t>
            </w:r>
          </w:p>
        </w:tc>
      </w:tr>
    </w:tbl>
    <w:p>
      <w:pPr>
        <w:pStyle w:val="Heading1"/>
        <w:pageBreakBefore/>
      </w:pPr>
      <w:r>
        <w:t xml:space="preserve">Lo que ya implementamos en el sitio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400"/>
        <w:gridCol w:w="3360"/>
        <w:gridCol w:w="2100"/>
      </w:tblGrid>
      <w:tr>
        <w:trPr>
          <w:tblHeader/>
        </w:trPr>
        <w:tc>
          <w:tcPr>
            <w:tcW w:type="dxa" w:w="15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Página</w:t>
            </w:r>
          </w:p>
        </w:tc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Title (etiqueta de título)</w:t>
            </w:r>
          </w:p>
        </w:tc>
        <w:tc>
          <w:tcPr>
            <w:tcW w:type="dxa" w:w="33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21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H1</w:t>
            </w:r>
          </w:p>
        </w:tc>
      </w:tr>
      <w:tr>
        <w:tc>
          <w:tcPr>
            <w:tcW w:type="dxa" w:w="15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index.html</w:t>
            </w:r>
          </w:p>
        </w:tc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Cisco y Microsoft: redes, ciberseguridad e IA | Consein</w:t>
            </w:r>
          </w:p>
        </w:tc>
        <w:tc>
          <w:tcPr>
            <w:tcW w:type="dxa" w:w="33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Integramos redes Cisco con su plataforma Microsoft: SD-WAN para Azure, Zero Trust, Microsoft Teams Rooms, observabilidad e IA segura. Venezuela, Panamá, República Dominicana y EE. UU.</w:t>
            </w:r>
          </w:p>
        </w:tc>
        <w:tc>
          <w:tcPr>
            <w:tcW w:type="dxa" w:w="21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Sinergia exponencial: su plataforma Microsoft, potenciada por una red Cisco</w:t>
            </w:r>
          </w:p>
        </w:tc>
      </w:tr>
      <w:tr>
        <w:tc>
          <w:tcPr>
            <w:tcW w:type="dxa" w:w="15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soluciones.html</w:t>
            </w:r>
          </w:p>
        </w:tc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Cisco para Azure, Microsoft 365 y Teams | Consein</w:t>
            </w:r>
          </w:p>
        </w:tc>
        <w:tc>
          <w:tcPr>
            <w:tcW w:type="dxa" w:w="33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SD-WAN para Azure, Zero Trust con Cisco ISE e Intune, Microsoft Teams Rooms, observabilidad de aplicaciones, automatización de redes y seguridad para IA. 15 soluciones Consein.</w:t>
            </w:r>
          </w:p>
        </w:tc>
        <w:tc>
          <w:tcPr>
            <w:tcW w:type="dxa" w:w="21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Cisco para su plataforma Microsoft</w:t>
            </w:r>
          </w:p>
        </w:tc>
      </w:tr>
      <w:tr>
        <w:tc>
          <w:tcPr>
            <w:tcW w:type="dxa" w:w="15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productos.html</w:t>
            </w:r>
          </w:p>
        </w:tc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Programa Renueva: renovación de equipos Cisco obsoletos | Consein</w:t>
            </w:r>
          </w:p>
        </w:tc>
        <w:tc>
          <w:tcPr>
            <w:tcW w:type="dxa" w:w="33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Renovamos switches, WiFi, routers, firewalls, servidores UCS y salas Cisco en fin de soporte. Inventario de obsolescencia sin costo, migración por fases y financiamiento.</w:t>
            </w:r>
          </w:p>
        </w:tc>
        <w:tc>
          <w:tcPr>
            <w:tcW w:type="dxa" w:w="21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Programa Renueva: renovación de redes Cisco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H2 por especialidad con su palabra clave principal y un párrafo con los nombres de producto Cisco y Microsoft.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Datos estructurados schema.org: Organization, WebPage, BreadcrumbList, ItemList de Service (23 servicios) y FAQPage (7 preguntas, una por especialidad).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Etiquetas canonical, Open Graph y textos alternativos en el logotipo.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Contenido completo de cada oferta en el HTML (visible al abrir “Seguir leyendo…”), indexable por los buscadores.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Fuentes locales y sin dependencias externas para una carga rápida.</w:t>
      </w:r>
    </w:p>
    <w:p>
      <w:pPr>
        <w:pStyle w:val="Heading1"/>
        <w:spacing w:before="360"/>
      </w:pPr>
      <w:r>
        <w:t xml:space="preserve">Recomendaciones para llegar al top 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Páginas por especialidad:</w:t>
      </w:r>
      <w:r>
        <w:t xml:space="preserve"> publicar una URL propia por especialidad (por ejemplo, /cisco/infraestructura) con 600 a 900 palabras, usando la palabra clave principal en el title, el H1 y la URL.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Clúster de contenidos:</w:t>
      </w:r>
      <w:r>
        <w:t xml:space="preserve"> un artículo pilar por especialidad y tres artículos satélite de long tail, enlazados entre sí y hacia la solución correspondiente.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Casos de éxito:</w:t>
      </w:r>
      <w:r>
        <w:t xml:space="preserve"> un caso de éxito por especialidad, con datos medidos del cliente.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Autoridad local:</w:t>
      </w:r>
      <w:r>
        <w:t xml:space="preserve"> fichas de Google Business Profile por país y enlaces desde los directorios de partners de Cisco y Microsoft, asociaciones gremiales y medios de tecnología locales.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Hreflang:</w:t>
      </w:r>
      <w:r>
        <w:t xml:space="preserve"> si se crean versiones por país, declarar hreflang es-VE, es-PA, es-DO y es-US.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Medición:</w:t>
      </w:r>
      <w:r>
        <w:t xml:space="preserve"> revisar posiciones cada mes en Search Console y ajustar títulos y descripciones según la tasa de clics.</w:t>
      </w:r>
    </w:p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D6278"/>
        <w:sz w:val="16"/>
        <w:szCs w:val="16"/>
      </w:rPr>
      <w:t xml:space="preserve">Consein · Palabras clave SEO · Soluciones Cisco   ·   Página </w:t>
    </w:r>
    <w:r>
      <w:rPr>
        <w:color w:val="5D627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000F7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000F76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Palabras clave SEO · Soluciones Cisco de Consein</dc:title>
  <dc:creator>Consein · DISD</dc:creator>
  <cp:lastModifiedBy>Un-named</cp:lastModifiedBy>
  <cp:revision>1</cp:revision>
  <dcterms:created xsi:type="dcterms:W3CDTF">2026-10-03T17:00:40.770Z</dcterms:created>
  <dcterms:modified xsi:type="dcterms:W3CDTF">2026-10-03T17:00:40.775Z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