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Reporte de Juicio</w:t>
      </w:r>
    </w:p>
    <w:p>
      <w:pPr>
        <w:spacing w:after="120"/>
      </w:pPr>
      <w:r>
        <w:rPr>
          <w:i/>
          <w:iCs/>
          <w:color w:val="555555"/>
          <w:sz w:val="22"/>
          <w:szCs w:val="22"/>
        </w:rPr>
        <w:t xml:space="preserve">Análisis de la revisión comercial a la Nueva Matriz de Valor Cisco + Microsoft (estrategia "Better Together")</w:t>
      </w:r>
    </w:p>
    <w:p>
      <w:pPr>
        <w:spacing w:after="120"/>
      </w:pPr>
      <w:r>
        <w:rPr>
          <w:color w:val="777777"/>
          <w:sz w:val="19"/>
          <w:szCs w:val="19"/>
        </w:rPr>
        <w:t xml:space="preserve">Consein | Documento de trabajo | Octubre 2026</w:t>
      </w:r>
    </w:p>
    <w:p>
      <w:pPr>
        <w:pStyle w:val="Heading1"/>
        <w:keepNext/>
        <w:spacing w:after="100" w:before="280"/>
      </w:pPr>
      <w:r>
        <w:t xml:space="preserve">1. Juicio general</w:t>
      </w:r>
    </w:p>
    <w:p>
      <w:pPr>
        <w:pBdr>
          <w:left w:val="single" w:color="1F3864" w:sz="24" w:space="8"/>
        </w:pBdr>
        <w:spacing w:after="140"/>
      </w:pPr>
      <w:r>
        <w:rPr>
          <w:b/>
          <w:bCs/>
          <w:sz w:val="22"/>
          <w:szCs w:val="22"/>
        </w:rPr>
        <w:t xml:space="preserve">La crítica es mayormente acertada y mejora la matriz para la venta, pero exagera en dos puntos y se contradice en otros dos. </w:t>
      </w:r>
      <w:r>
        <w:rPr>
          <w:b w:val="false"/>
          <w:bCs w:val="false"/>
          <w:sz w:val="22"/>
          <w:szCs w:val="22"/>
        </w:rPr>
        <w:t xml:space="preserve">Se recomienda adoptarla con ajustes, no tal como está.</w:t>
      </w:r>
    </w:p>
    <w:p>
      <w:pPr>
        <w:spacing w:after="120"/>
      </w:pPr>
      <w:r>
        <w:rPr>
          <w:sz w:val="21"/>
          <w:szCs w:val="21"/>
        </w:rPr>
        <w:t xml:space="preserve">La Nueva Matriz (versión 1) excluyó Duo, XDR, Email Threat Defense y Secure Endpoint porque así lo pedía la instrucción de trabajo ("productos que no coliden con nuestros servicios Microsoft") y porque la Matriz original ya excluía Duo y XDR por colisión. Lo que la revisión cuestiona es ese criterio, no su aplicación. Es una decisión de negocio, y el argumento para cambiarlo es sólido.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shd w:fill="1F3864" w:color="auto" w:val="clear"/>
            <w:tcMar>
              <w:top w:type="dxa" w:w="60"/>
              <w:left w:type="dxa" w:w="100"/>
              <w:bottom w:type="dxa" w:w="60"/>
              <w:right w:type="dxa" w:w="100"/>
            </w:tcMar>
          </w:tcPr>
          <w:p>
            <w:r>
              <w:rPr>
                <w:b/>
                <w:bCs/>
                <w:color w:val="FFFFFF"/>
                <w:sz w:val="19"/>
                <w:szCs w:val="19"/>
              </w:rPr>
              <w:t xml:space="preserve">Aspecto evaluado</w:t>
            </w:r>
          </w:p>
        </w:tc>
        <w:tc>
          <w:tcPr>
            <w:tcW w:type="dxa" w:w="3000"/>
            <w:shd w:fill="1F3864" w:color="auto" w:val="clear"/>
            <w:tcMar>
              <w:top w:type="dxa" w:w="60"/>
              <w:left w:type="dxa" w:w="100"/>
              <w:bottom w:type="dxa" w:w="60"/>
              <w:right w:type="dxa" w:w="100"/>
            </w:tcMar>
          </w:tcPr>
          <w:p>
            <w:r>
              <w:rPr>
                <w:b/>
                <w:bCs/>
                <w:color w:val="FFFFFF"/>
                <w:sz w:val="19"/>
                <w:szCs w:val="19"/>
              </w:rPr>
              <w:t xml:space="preserve">Juicio</w:t>
            </w:r>
          </w:p>
        </w:tc>
      </w:tr>
      <w:tr>
        <w:trPr>
          <w:cantSplit/>
        </w:trPr>
        <w:tc>
          <w:tcPr>
            <w:tcW w:type="dxa" w:w="6360"/>
            <w:tcMar>
              <w:top w:type="dxa" w:w="60"/>
              <w:left w:type="dxa" w:w="100"/>
              <w:bottom w:type="dxa" w:w="60"/>
              <w:right w:type="dxa" w:w="100"/>
            </w:tcMar>
          </w:tcPr>
          <w:p>
            <w:r>
              <w:rPr>
                <w:b w:val="false"/>
                <w:bCs w:val="false"/>
                <w:sz w:val="19"/>
                <w:szCs w:val="19"/>
              </w:rPr>
              <w:t xml:space="preserve">Tesis "Better Together": la colisión depende de la licencia del cliente, no de la categoría</w:t>
            </w:r>
          </w:p>
        </w:tc>
        <w:tc>
          <w:tcPr>
            <w:tcW w:type="dxa" w:w="3000"/>
            <w:shd w:fill="D4EDDA" w:color="auto" w:val="clear"/>
            <w:tcMar>
              <w:top w:type="dxa" w:w="60"/>
              <w:left w:type="dxa" w:w="100"/>
              <w:bottom w:type="dxa" w:w="60"/>
              <w:right w:type="dxa" w:w="100"/>
            </w:tcMar>
          </w:tcPr>
          <w:p>
            <w:r>
              <w:rPr>
                <w:b/>
                <w:bCs/>
                <w:sz w:val="19"/>
                <w:szCs w:val="19"/>
              </w:rPr>
              <w:t xml:space="preserve">Válido</w:t>
            </w:r>
          </w:p>
        </w:tc>
      </w:tr>
      <w:tr>
        <w:trPr>
          <w:cantSplit/>
        </w:trPr>
        <w:tc>
          <w:tcPr>
            <w:tcW w:type="dxa" w:w="6360"/>
            <w:shd w:fill="F2F5FA" w:color="auto" w:val="clear"/>
            <w:tcMar>
              <w:top w:type="dxa" w:w="60"/>
              <w:left w:type="dxa" w:w="100"/>
              <w:bottom w:type="dxa" w:w="60"/>
              <w:right w:type="dxa" w:w="100"/>
            </w:tcMar>
          </w:tcPr>
          <w:p>
            <w:r>
              <w:rPr>
                <w:b w:val="false"/>
                <w:bCs w:val="false"/>
                <w:sz w:val="19"/>
                <w:szCs w:val="19"/>
              </w:rPr>
              <w:t xml:space="preserve">"Nuestra oferta aplica perfectamente para Business, E3 o E5"</w:t>
            </w:r>
          </w:p>
        </w:tc>
        <w:tc>
          <w:tcPr>
            <w:tcW w:type="dxa" w:w="3000"/>
            <w:shd w:fill="F8D7DA" w:color="auto" w:val="clear"/>
            <w:tcMar>
              <w:top w:type="dxa" w:w="60"/>
              <w:left w:type="dxa" w:w="100"/>
              <w:bottom w:type="dxa" w:w="60"/>
              <w:right w:type="dxa" w:w="100"/>
            </w:tcMar>
          </w:tcPr>
          <w:p>
            <w:r>
              <w:rPr>
                <w:b/>
                <w:bCs/>
                <w:sz w:val="19"/>
                <w:szCs w:val="19"/>
              </w:rPr>
              <w:t xml:space="preserve">Exagerado</w:t>
            </w:r>
          </w:p>
        </w:tc>
      </w:tr>
      <w:tr>
        <w:trPr>
          <w:cantSplit/>
        </w:trPr>
        <w:tc>
          <w:tcPr>
            <w:tcW w:type="dxa" w:w="6360"/>
            <w:tcMar>
              <w:top w:type="dxa" w:w="60"/>
              <w:left w:type="dxa" w:w="100"/>
              <w:bottom w:type="dxa" w:w="60"/>
              <w:right w:type="dxa" w:w="100"/>
            </w:tcMar>
          </w:tcPr>
          <w:p>
            <w:r>
              <w:rPr>
                <w:b w:val="false"/>
                <w:bCs w:val="false"/>
                <w:sz w:val="19"/>
                <w:szCs w:val="19"/>
              </w:rPr>
              <w:t xml:space="preserve">"E3 ofrece solo capacidades básicas de MFA"</w:t>
            </w:r>
          </w:p>
        </w:tc>
        <w:tc>
          <w:tcPr>
            <w:tcW w:type="dxa" w:w="3000"/>
            <w:shd w:fill="F8D7DA" w:color="auto" w:val="clear"/>
            <w:tcMar>
              <w:top w:type="dxa" w:w="60"/>
              <w:left w:type="dxa" w:w="100"/>
              <w:bottom w:type="dxa" w:w="60"/>
              <w:right w:type="dxa" w:w="100"/>
            </w:tcMar>
          </w:tcPr>
          <w:p>
            <w:r>
              <w:rPr>
                <w:b/>
                <w:bCs/>
                <w:sz w:val="19"/>
                <w:szCs w:val="19"/>
              </w:rPr>
              <w:t xml:space="preserve">Exagerado</w:t>
            </w:r>
          </w:p>
        </w:tc>
      </w:tr>
      <w:tr>
        <w:trPr>
          <w:cantSplit/>
        </w:trPr>
        <w:tc>
          <w:tcPr>
            <w:tcW w:type="dxa" w:w="6360"/>
            <w:shd w:fill="F2F5FA" w:color="auto" w:val="clear"/>
            <w:tcMar>
              <w:top w:type="dxa" w:w="60"/>
              <w:left w:type="dxa" w:w="100"/>
              <w:bottom w:type="dxa" w:w="60"/>
              <w:right w:type="dxa" w:w="100"/>
            </w:tcMar>
          </w:tcPr>
          <w:p>
            <w:r>
              <w:rPr>
                <w:b w:val="false"/>
                <w:bCs w:val="false"/>
                <w:sz w:val="19"/>
                <w:szCs w:val="19"/>
              </w:rPr>
              <w:t xml:space="preserve">Argumento comercial frente a la migración a E5</w:t>
            </w:r>
          </w:p>
        </w:tc>
        <w:tc>
          <w:tcPr>
            <w:tcW w:type="dxa" w:w="3000"/>
            <w:shd w:fill="FFF3CD" w:color="auto" w:val="clear"/>
            <w:tcMar>
              <w:top w:type="dxa" w:w="60"/>
              <w:left w:type="dxa" w:w="100"/>
              <w:bottom w:type="dxa" w:w="60"/>
              <w:right w:type="dxa" w:w="100"/>
            </w:tcMar>
          </w:tcPr>
          <w:p>
            <w:r>
              <w:rPr>
                <w:b/>
                <w:bCs/>
                <w:sz w:val="19"/>
                <w:szCs w:val="19"/>
              </w:rPr>
              <w:t xml:space="preserve">Incompleto</w:t>
            </w:r>
          </w:p>
        </w:tc>
      </w:tr>
      <w:tr>
        <w:trPr>
          <w:cantSplit/>
        </w:trPr>
        <w:tc>
          <w:tcPr>
            <w:tcW w:type="dxa" w:w="6360"/>
            <w:tcMar>
              <w:top w:type="dxa" w:w="60"/>
              <w:left w:type="dxa" w:w="100"/>
              <w:bottom w:type="dxa" w:w="60"/>
              <w:right w:type="dxa" w:w="100"/>
            </w:tcMar>
          </w:tcPr>
          <w:p>
            <w:r>
              <w:rPr>
                <w:b w:val="false"/>
                <w:bCs w:val="false"/>
                <w:sz w:val="19"/>
                <w:szCs w:val="19"/>
              </w:rPr>
              <w:t xml:space="preserve">Observaciones puntuales 1 a 7</w:t>
            </w:r>
          </w:p>
        </w:tc>
        <w:tc>
          <w:tcPr>
            <w:tcW w:type="dxa" w:w="3000"/>
            <w:shd w:fill="FFF3CD" w:color="auto" w:val="clear"/>
            <w:tcMar>
              <w:top w:type="dxa" w:w="60"/>
              <w:left w:type="dxa" w:w="100"/>
              <w:bottom w:type="dxa" w:w="60"/>
              <w:right w:type="dxa" w:w="100"/>
            </w:tcMar>
          </w:tcPr>
          <w:p>
            <w:r>
              <w:rPr>
                <w:b/>
                <w:bCs/>
                <w:sz w:val="19"/>
                <w:szCs w:val="19"/>
              </w:rPr>
              <w:t xml:space="preserve">De acuerdo, con matices</w:t>
            </w:r>
          </w:p>
        </w:tc>
      </w:tr>
    </w:tbl>
    <w:p>
      <w:pPr>
        <w:pStyle w:val="Heading1"/>
        <w:keepNext/>
        <w:spacing w:after="100" w:before="280"/>
      </w:pPr>
      <w:r>
        <w:t xml:space="preserve">2. Análisis de la tesis central</w:t>
      </w:r>
    </w:p>
    <w:p>
      <w:pPr>
        <w:pStyle w:val="Heading2"/>
        <w:keepNext/>
        <w:spacing w:after="60" w:before="200"/>
      </w:pPr>
      <w:r>
        <w:t xml:space="preserve">2.1 En qué tiene razón</w:t>
      </w:r>
    </w:p>
    <w:p>
      <w:pPr>
        <w:pStyle w:val="ListParagraph"/>
        <w:numPr>
          <w:ilvl w:val="0"/>
          <w:numId w:val="2"/>
        </w:numPr>
        <w:spacing w:after="60"/>
      </w:pPr>
      <w:r>
        <w:rPr>
          <w:b/>
          <w:bCs/>
          <w:sz w:val="21"/>
          <w:szCs w:val="21"/>
        </w:rPr>
        <w:t xml:space="preserve">Las integraciones existen y son reales. </w:t>
      </w:r>
      <w:r>
        <w:rPr>
          <w:sz w:val="21"/>
          <w:szCs w:val="21"/>
        </w:rPr>
        <w:t xml:space="preserve">Duo se conecta con Entra ID como método de autenticación externo. Email Threat Defense trabaja sobre Microsoft 365 vía Graph API. XDR recibe alertas de Defender, Entra ID e Intune. ISE se integra con Intune.</w:t>
      </w:r>
    </w:p>
    <w:p>
      <w:pPr>
        <w:pStyle w:val="ListParagraph"/>
        <w:numPr>
          <w:ilvl w:val="0"/>
          <w:numId w:val="2"/>
        </w:numPr>
        <w:spacing w:after="60"/>
      </w:pPr>
      <w:r>
        <w:rPr>
          <w:b/>
          <w:bCs/>
          <w:sz w:val="21"/>
          <w:szCs w:val="21"/>
        </w:rPr>
        <w:t xml:space="preserve">Excluir un producto solo por ser de la misma categoría es demasiado tosco. </w:t>
      </w:r>
      <w:r>
        <w:rPr>
          <w:sz w:val="21"/>
          <w:szCs w:val="21"/>
        </w:rPr>
        <w:t xml:space="preserve">Que haya o no colisión depende de la licencia que ya tiene el cliente. Este es el aporte más valioso de la revisión.</w:t>
      </w:r>
    </w:p>
    <w:p>
      <w:pPr>
        <w:pStyle w:val="ListParagraph"/>
        <w:numPr>
          <w:ilvl w:val="0"/>
          <w:numId w:val="2"/>
        </w:numPr>
        <w:spacing w:after="60"/>
      </w:pPr>
      <w:r>
        <w:rPr>
          <w:b/>
          <w:bCs/>
          <w:sz w:val="21"/>
          <w:szCs w:val="21"/>
        </w:rPr>
        <w:t xml:space="preserve">El argumento comercial es válido. </w:t>
      </w:r>
      <w:r>
        <w:rPr>
          <w:sz w:val="21"/>
          <w:szCs w:val="21"/>
        </w:rPr>
        <w:t xml:space="preserve">Reforzar la seguridad de un cliente E3 o Business sin obligarlo a migrar a E5 protege su presupuesto y abre ingresos recurrentes.</w:t>
      </w:r>
    </w:p>
    <w:p>
      <w:pPr>
        <w:pStyle w:val="Heading2"/>
        <w:keepNext/>
        <w:spacing w:after="60" w:before="200"/>
      </w:pPr>
      <w:r>
        <w:t xml:space="preserve">2.2 Dónde exagera</w:t>
      </w:r>
    </w:p>
    <w:p>
      <w:pPr>
        <w:spacing w:after="120"/>
      </w:pPr>
      <w:r>
        <w:rPr>
          <w:b/>
          <w:bCs/>
          <w:sz w:val="21"/>
          <w:szCs w:val="21"/>
        </w:rPr>
        <w:t xml:space="preserve">a) "La oferta aplica perfectamente para Business, E3 o E5"</w:t>
      </w:r>
    </w:p>
    <w:p>
      <w:pPr>
        <w:spacing w:after="120"/>
      </w:pPr>
      <w:r>
        <w:rPr>
          <w:sz w:val="21"/>
          <w:szCs w:val="21"/>
        </w:rPr>
        <w:t xml:space="preserve">No es así en E5. E5 ya incluye Defender for Office 365 P2, Defender for Endpoint P2 (con EDR), Entra ID P2 y Defender XDR. Ahí la superposición es real:</w:t>
      </w:r>
    </w:p>
    <w:p>
      <w:pPr>
        <w:pStyle w:val="ListParagraph"/>
        <w:numPr>
          <w:ilvl w:val="0"/>
          <w:numId w:val="2"/>
        </w:numPr>
        <w:spacing w:after="60"/>
      </w:pPr>
      <w:r>
        <w:rPr>
          <w:sz w:val="21"/>
          <w:szCs w:val="21"/>
        </w:rPr>
        <w:t xml:space="preserve">No se recomienda tener dos agentes EDR activos en el mismo equipo; Defender pasa a modo pasivo.</w:t>
      </w:r>
    </w:p>
    <w:p>
      <w:pPr>
        <w:pStyle w:val="ListParagraph"/>
        <w:numPr>
          <w:ilvl w:val="0"/>
          <w:numId w:val="2"/>
        </w:numPr>
        <w:spacing w:after="60"/>
      </w:pPr>
      <w:r>
        <w:rPr>
          <w:sz w:val="21"/>
          <w:szCs w:val="21"/>
        </w:rPr>
        <w:t xml:space="preserve">Email Threat Defense sobre Defender for Office 365 P2 es una segunda capa defendible, pero más difícil de justificar.</w:t>
      </w:r>
    </w:p>
    <w:p>
      <w:pPr>
        <w:pStyle w:val="ListParagraph"/>
        <w:numPr>
          <w:ilvl w:val="0"/>
          <w:numId w:val="2"/>
        </w:numPr>
        <w:spacing w:after="60"/>
      </w:pPr>
      <w:r>
        <w:rPr>
          <w:sz w:val="21"/>
          <w:szCs w:val="21"/>
        </w:rPr>
        <w:t xml:space="preserve">Lo mismo ocurre, en menor grado, con Business Premium, que ya trae Defender for Business (con EDR) y Defender for Office 365 P1.</w:t>
      </w:r>
    </w:p>
    <w:p>
      <w:pPr>
        <w:spacing w:after="120"/>
      </w:pPr>
      <w:r>
        <w:rPr>
          <w:b/>
          <w:bCs/>
          <w:sz w:val="21"/>
          <w:szCs w:val="21"/>
        </w:rPr>
        <w:t xml:space="preserve">b) "E3 ofrece capacidades básicas de MFA"</w:t>
      </w:r>
    </w:p>
    <w:p>
      <w:pPr>
        <w:spacing w:after="120"/>
      </w:pPr>
      <w:r>
        <w:rPr>
          <w:sz w:val="21"/>
          <w:szCs w:val="21"/>
        </w:rPr>
        <w:t xml:space="preserve">Se queda corto. E3 incluye Entra ID P1, con Acceso Condicional y métodos resistentes al phishing (FIDO2, passkeys, Windows Hello). Si el vendedor afirma lo contrario, un cliente informado lo refutará. El valor real de Duo sobre E3 es:</w:t>
      </w:r>
    </w:p>
    <w:p>
      <w:pPr>
        <w:pStyle w:val="ListParagraph"/>
        <w:numPr>
          <w:ilvl w:val="0"/>
          <w:numId w:val="2"/>
        </w:numPr>
        <w:spacing w:after="60"/>
      </w:pPr>
      <w:r>
        <w:rPr>
          <w:sz w:val="21"/>
          <w:szCs w:val="21"/>
        </w:rPr>
        <w:t xml:space="preserve">MFA para servidores on-premise, accesos remotos (RDP/SSH) y aplicaciones heredadas (RADIUS/LDAP). En esto la revisión sí acierta.</w:t>
      </w:r>
    </w:p>
    <w:p>
      <w:pPr>
        <w:pStyle w:val="ListParagraph"/>
        <w:numPr>
          <w:ilvl w:val="0"/>
          <w:numId w:val="2"/>
        </w:numPr>
        <w:spacing w:after="60"/>
      </w:pPr>
      <w:r>
        <w:rPr>
          <w:sz w:val="21"/>
          <w:szCs w:val="21"/>
        </w:rPr>
        <w:t xml:space="preserve">Verificación del estado de dispositivos no administrados.</w:t>
      </w:r>
    </w:p>
    <w:p>
      <w:pPr>
        <w:pStyle w:val="ListParagraph"/>
        <w:numPr>
          <w:ilvl w:val="0"/>
          <w:numId w:val="2"/>
        </w:numPr>
        <w:spacing w:after="60"/>
      </w:pPr>
      <w:r>
        <w:rPr>
          <w:sz w:val="21"/>
          <w:szCs w:val="21"/>
        </w:rPr>
        <w:t xml:space="preserve">Una experiencia de autenticación única, también para usuarios fuera de Microsoft.</w:t>
      </w:r>
    </w:p>
    <w:p>
      <w:pPr>
        <w:spacing w:after="120"/>
      </w:pPr>
      <w:r>
        <w:rPr>
          <w:b/>
          <w:bCs/>
          <w:sz w:val="21"/>
          <w:szCs w:val="21"/>
        </w:rPr>
        <w:t xml:space="preserve">c) Falta mencionar la alternativa de Microsoft</w:t>
      </w:r>
    </w:p>
    <w:p>
      <w:pPr>
        <w:spacing w:after="120"/>
      </w:pPr>
      <w:r>
        <w:rPr>
          <w:sz w:val="21"/>
          <w:szCs w:val="21"/>
        </w:rPr>
        <w:t xml:space="preserve">Para clientes E3 existe el complemento "Microsoft 365 E5 Security", que da la seguridad de E5 sin migrar toda la licencia. El cliente o su proveedor Microsoft lo pondrán sobre la mesa, así que el equipo comercial debe llegar con esa comparación de costo y alcance preparada.</w:t>
      </w:r>
    </w:p>
    <w:p>
      <w:pPr>
        <w:pStyle w:val="Heading2"/>
        <w:keepNext/>
        <w:spacing w:after="60" w:before="200"/>
      </w:pPr>
      <w:r>
        <w:t xml:space="preserve">2.3 Propuesta: posicionar por licencia</w:t>
      </w:r>
    </w:p>
    <w:p>
      <w:pPr>
        <w:spacing w:after="120"/>
      </w:pPr>
      <w:r>
        <w:rPr>
          <w:sz w:val="21"/>
          <w:szCs w:val="21"/>
        </w:rPr>
        <w:t xml:space="preserve">En lugar de excluir por colisión, se propone indicar el valor de cada producto Cisco según la licencia Microsoft 365 del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800"/>
        <w:gridCol w:w="1930"/>
        <w:gridCol w:w="1930"/>
      </w:tblGrid>
      <w:tr>
        <w:trPr>
          <w:tblHeader/>
        </w:trPr>
        <w:tc>
          <w:tcPr>
            <w:tcW w:type="dxa" w:w="1900"/>
            <w:shd w:fill="1F3864" w:color="auto" w:val="clear"/>
            <w:tcMar>
              <w:top w:type="dxa" w:w="60"/>
              <w:left w:type="dxa" w:w="100"/>
              <w:bottom w:type="dxa" w:w="60"/>
              <w:right w:type="dxa" w:w="100"/>
            </w:tcMar>
          </w:tcPr>
          <w:p>
            <w:r>
              <w:rPr>
                <w:b/>
                <w:bCs/>
                <w:color w:val="FFFFFF"/>
                <w:sz w:val="19"/>
                <w:szCs w:val="19"/>
              </w:rPr>
              <w:t xml:space="preserve">Producto Cisco</w:t>
            </w:r>
          </w:p>
        </w:tc>
        <w:tc>
          <w:tcPr>
            <w:tcW w:type="dxa" w:w="1800"/>
            <w:shd w:fill="1F3864" w:color="auto" w:val="clear"/>
            <w:tcMar>
              <w:top w:type="dxa" w:w="60"/>
              <w:left w:type="dxa" w:w="100"/>
              <w:bottom w:type="dxa" w:w="60"/>
              <w:right w:type="dxa" w:w="100"/>
            </w:tcMar>
          </w:tcPr>
          <w:p>
            <w:r>
              <w:rPr>
                <w:b/>
                <w:bCs/>
                <w:color w:val="FFFFFF"/>
                <w:sz w:val="19"/>
                <w:szCs w:val="19"/>
              </w:rPr>
              <w:t xml:space="preserve">Business Basic / Standard</w:t>
            </w:r>
          </w:p>
        </w:tc>
        <w:tc>
          <w:tcPr>
            <w:tcW w:type="dxa" w:w="1800"/>
            <w:shd w:fill="1F3864" w:color="auto" w:val="clear"/>
            <w:tcMar>
              <w:top w:type="dxa" w:w="60"/>
              <w:left w:type="dxa" w:w="100"/>
              <w:bottom w:type="dxa" w:w="60"/>
              <w:right w:type="dxa" w:w="100"/>
            </w:tcMar>
          </w:tcPr>
          <w:p>
            <w:r>
              <w:rPr>
                <w:b/>
                <w:bCs/>
                <w:color w:val="FFFFFF"/>
                <w:sz w:val="19"/>
                <w:szCs w:val="19"/>
              </w:rPr>
              <w:t xml:space="preserve">Business Premium</w:t>
            </w:r>
          </w:p>
        </w:tc>
        <w:tc>
          <w:tcPr>
            <w:tcW w:type="dxa" w:w="1930"/>
            <w:shd w:fill="1F3864" w:color="auto" w:val="clear"/>
            <w:tcMar>
              <w:top w:type="dxa" w:w="60"/>
              <w:left w:type="dxa" w:w="100"/>
              <w:bottom w:type="dxa" w:w="60"/>
              <w:right w:type="dxa" w:w="100"/>
            </w:tcMar>
          </w:tcPr>
          <w:p>
            <w:r>
              <w:rPr>
                <w:b/>
                <w:bCs/>
                <w:color w:val="FFFFFF"/>
                <w:sz w:val="19"/>
                <w:szCs w:val="19"/>
              </w:rPr>
              <w:t xml:space="preserve">E3</w:t>
            </w:r>
          </w:p>
        </w:tc>
        <w:tc>
          <w:tcPr>
            <w:tcW w:type="dxa" w:w="1930"/>
            <w:shd w:fill="1F3864" w:color="auto" w:val="clear"/>
            <w:tcMar>
              <w:top w:type="dxa" w:w="60"/>
              <w:left w:type="dxa" w:w="100"/>
              <w:bottom w:type="dxa" w:w="60"/>
              <w:right w:type="dxa" w:w="100"/>
            </w:tcMar>
          </w:tcPr>
          <w:p>
            <w:r>
              <w:rPr>
                <w:b/>
                <w:bCs/>
                <w:color w:val="FFFFFF"/>
                <w:sz w:val="19"/>
                <w:szCs w:val="19"/>
              </w:rPr>
              <w:t xml:space="preserve">E5</w:t>
            </w:r>
          </w:p>
        </w:tc>
      </w:tr>
      <w:tr>
        <w:trPr>
          <w:cantSplit/>
        </w:trPr>
        <w:tc>
          <w:tcPr>
            <w:tcW w:type="dxa" w:w="1900"/>
            <w:tcMar>
              <w:top w:type="dxa" w:w="60"/>
              <w:left w:type="dxa" w:w="100"/>
              <w:bottom w:type="dxa" w:w="60"/>
              <w:right w:type="dxa" w:w="100"/>
            </w:tcMar>
          </w:tcPr>
          <w:p>
            <w:r>
              <w:rPr>
                <w:b/>
                <w:bCs/>
                <w:sz w:val="19"/>
                <w:szCs w:val="19"/>
              </w:rPr>
              <w:t xml:space="preserve">Cisco Duo</w:t>
            </w:r>
          </w:p>
        </w:tc>
        <w:tc>
          <w:tcPr>
            <w:tcW w:type="dxa" w:w="1800"/>
            <w:shd w:fill="D4EDDA" w:color="auto" w:val="clear"/>
            <w:tcMar>
              <w:top w:type="dxa" w:w="60"/>
              <w:left w:type="dxa" w:w="100"/>
              <w:bottom w:type="dxa" w:w="60"/>
              <w:right w:type="dxa" w:w="100"/>
            </w:tcMar>
          </w:tcPr>
          <w:p>
            <w:r>
              <w:rPr>
                <w:b/>
                <w:bCs/>
                <w:sz w:val="19"/>
                <w:szCs w:val="19"/>
              </w:rPr>
              <w:t xml:space="preserve">Alto</w:t>
            </w:r>
          </w:p>
        </w:tc>
        <w:tc>
          <w:tcPr>
            <w:tcW w:type="dxa" w:w="1800"/>
            <w:shd w:fill="FFF3CD" w:color="auto" w:val="clear"/>
            <w:tcMar>
              <w:top w:type="dxa" w:w="60"/>
              <w:left w:type="dxa" w:w="100"/>
              <w:bottom w:type="dxa" w:w="60"/>
              <w:right w:type="dxa" w:w="100"/>
            </w:tcMar>
          </w:tcPr>
          <w:p>
            <w:r>
              <w:rPr>
                <w:b/>
                <w:bCs/>
                <w:sz w:val="19"/>
                <w:szCs w:val="19"/>
              </w:rPr>
              <w:t xml:space="preserve">Medio: on-premise y heredadas</w:t>
            </w:r>
          </w:p>
        </w:tc>
        <w:tc>
          <w:tcPr>
            <w:tcW w:type="dxa" w:w="1930"/>
            <w:shd w:fill="E8F3D6" w:color="auto" w:val="clear"/>
            <w:tcMar>
              <w:top w:type="dxa" w:w="60"/>
              <w:left w:type="dxa" w:w="100"/>
              <w:bottom w:type="dxa" w:w="60"/>
              <w:right w:type="dxa" w:w="100"/>
            </w:tcMar>
          </w:tcPr>
          <w:p>
            <w:r>
              <w:rPr>
                <w:b/>
                <w:bCs/>
                <w:sz w:val="19"/>
                <w:szCs w:val="19"/>
              </w:rPr>
              <w:t xml:space="preserve">Medio-alto: on-premise, heredadas, dispositivos</w:t>
            </w:r>
          </w:p>
        </w:tc>
        <w:tc>
          <w:tcPr>
            <w:tcW w:type="dxa" w:w="1930"/>
            <w:shd w:fill="F8D7DA" w:color="auto" w:val="clear"/>
            <w:tcMar>
              <w:top w:type="dxa" w:w="60"/>
              <w:left w:type="dxa" w:w="100"/>
              <w:bottom w:type="dxa" w:w="60"/>
              <w:right w:type="dxa" w:w="100"/>
            </w:tcMar>
          </w:tcPr>
          <w:p>
            <w:r>
              <w:rPr>
                <w:b/>
                <w:bCs/>
                <w:sz w:val="19"/>
                <w:szCs w:val="19"/>
              </w:rPr>
              <w:t xml:space="preserve">Bajo: casos específicos</w:t>
            </w:r>
          </w:p>
        </w:tc>
      </w:tr>
      <w:tr>
        <w:trPr>
          <w:cantSplit/>
        </w:trPr>
        <w:tc>
          <w:tcPr>
            <w:tcW w:type="dxa" w:w="1900"/>
            <w:shd w:fill="F2F5FA" w:color="auto" w:val="clear"/>
            <w:tcMar>
              <w:top w:type="dxa" w:w="60"/>
              <w:left w:type="dxa" w:w="100"/>
              <w:bottom w:type="dxa" w:w="60"/>
              <w:right w:type="dxa" w:w="100"/>
            </w:tcMar>
          </w:tcPr>
          <w:p>
            <w:r>
              <w:rPr>
                <w:b/>
                <w:bCs/>
                <w:sz w:val="19"/>
                <w:szCs w:val="19"/>
              </w:rPr>
              <w:t xml:space="preserve">Secure Email Threat Defense</w:t>
            </w:r>
          </w:p>
        </w:tc>
        <w:tc>
          <w:tcPr>
            <w:tcW w:type="dxa" w:w="1800"/>
            <w:shd w:fill="D4EDDA" w:color="auto" w:val="clear"/>
            <w:tcMar>
              <w:top w:type="dxa" w:w="60"/>
              <w:left w:type="dxa" w:w="100"/>
              <w:bottom w:type="dxa" w:w="60"/>
              <w:right w:type="dxa" w:w="100"/>
            </w:tcMar>
          </w:tcPr>
          <w:p>
            <w:r>
              <w:rPr>
                <w:b/>
                <w:bCs/>
                <w:sz w:val="19"/>
                <w:szCs w:val="19"/>
              </w:rPr>
              <w:t xml:space="preserve">Alto: solo tiene EOP</w:t>
            </w:r>
          </w:p>
        </w:tc>
        <w:tc>
          <w:tcPr>
            <w:tcW w:type="dxa" w:w="1800"/>
            <w:shd w:fill="FFF3CD" w:color="auto" w:val="clear"/>
            <w:tcMar>
              <w:top w:type="dxa" w:w="60"/>
              <w:left w:type="dxa" w:w="100"/>
              <w:bottom w:type="dxa" w:w="60"/>
              <w:right w:type="dxa" w:w="100"/>
            </w:tcMar>
          </w:tcPr>
          <w:p>
            <w:r>
              <w:rPr>
                <w:b/>
                <w:bCs/>
                <w:sz w:val="19"/>
                <w:szCs w:val="19"/>
              </w:rPr>
              <w:t xml:space="preserve">Medio: sobre MDO P1</w:t>
            </w:r>
          </w:p>
        </w:tc>
        <w:tc>
          <w:tcPr>
            <w:tcW w:type="dxa" w:w="1930"/>
            <w:shd w:fill="D4EDDA" w:color="auto" w:val="clear"/>
            <w:tcMar>
              <w:top w:type="dxa" w:w="60"/>
              <w:left w:type="dxa" w:w="100"/>
              <w:bottom w:type="dxa" w:w="60"/>
              <w:right w:type="dxa" w:w="100"/>
            </w:tcMar>
          </w:tcPr>
          <w:p>
            <w:r>
              <w:rPr>
                <w:b/>
                <w:bCs/>
                <w:sz w:val="19"/>
                <w:szCs w:val="19"/>
              </w:rPr>
              <w:t xml:space="preserve">Alto: E3 no trae MDO</w:t>
            </w:r>
          </w:p>
        </w:tc>
        <w:tc>
          <w:tcPr>
            <w:tcW w:type="dxa" w:w="1930"/>
            <w:shd w:fill="F8D7DA" w:color="auto" w:val="clear"/>
            <w:tcMar>
              <w:top w:type="dxa" w:w="60"/>
              <w:left w:type="dxa" w:w="100"/>
              <w:bottom w:type="dxa" w:w="60"/>
              <w:right w:type="dxa" w:w="100"/>
            </w:tcMar>
          </w:tcPr>
          <w:p>
            <w:r>
              <w:rPr>
                <w:b/>
                <w:bCs/>
                <w:sz w:val="19"/>
                <w:szCs w:val="19"/>
              </w:rPr>
              <w:t xml:space="preserve">Bajo: segunda capa a pedido</w:t>
            </w:r>
          </w:p>
        </w:tc>
      </w:tr>
      <w:tr>
        <w:trPr>
          <w:cantSplit/>
        </w:trPr>
        <w:tc>
          <w:tcPr>
            <w:tcW w:type="dxa" w:w="1900"/>
            <w:tcMar>
              <w:top w:type="dxa" w:w="60"/>
              <w:left w:type="dxa" w:w="100"/>
              <w:bottom w:type="dxa" w:w="60"/>
              <w:right w:type="dxa" w:w="100"/>
            </w:tcMar>
          </w:tcPr>
          <w:p>
            <w:r>
              <w:rPr>
                <w:b/>
                <w:bCs/>
                <w:sz w:val="19"/>
                <w:szCs w:val="19"/>
              </w:rPr>
              <w:t xml:space="preserve">Cisco Secure Endpoint</w:t>
            </w:r>
          </w:p>
        </w:tc>
        <w:tc>
          <w:tcPr>
            <w:tcW w:type="dxa" w:w="1800"/>
            <w:shd w:fill="D4EDDA" w:color="auto" w:val="clear"/>
            <w:tcMar>
              <w:top w:type="dxa" w:w="60"/>
              <w:left w:type="dxa" w:w="100"/>
              <w:bottom w:type="dxa" w:w="60"/>
              <w:right w:type="dxa" w:w="100"/>
            </w:tcMar>
          </w:tcPr>
          <w:p>
            <w:r>
              <w:rPr>
                <w:b/>
                <w:bCs/>
                <w:sz w:val="19"/>
                <w:szCs w:val="19"/>
              </w:rPr>
              <w:t xml:space="preserve">Alto</w:t>
            </w:r>
          </w:p>
        </w:tc>
        <w:tc>
          <w:tcPr>
            <w:tcW w:type="dxa" w:w="1800"/>
            <w:shd w:fill="F8D7DA" w:color="auto" w:val="clear"/>
            <w:tcMar>
              <w:top w:type="dxa" w:w="60"/>
              <w:left w:type="dxa" w:w="100"/>
              <w:bottom w:type="dxa" w:w="60"/>
              <w:right w:type="dxa" w:w="100"/>
            </w:tcMar>
          </w:tcPr>
          <w:p>
            <w:r>
              <w:rPr>
                <w:b/>
                <w:bCs/>
                <w:sz w:val="19"/>
                <w:szCs w:val="19"/>
              </w:rPr>
              <w:t xml:space="preserve">Bajo: ya tiene EDR</w:t>
            </w:r>
          </w:p>
        </w:tc>
        <w:tc>
          <w:tcPr>
            <w:tcW w:type="dxa" w:w="1930"/>
            <w:shd w:fill="D4EDDA" w:color="auto" w:val="clear"/>
            <w:tcMar>
              <w:top w:type="dxa" w:w="60"/>
              <w:left w:type="dxa" w:w="100"/>
              <w:bottom w:type="dxa" w:w="60"/>
              <w:right w:type="dxa" w:w="100"/>
            </w:tcMar>
          </w:tcPr>
          <w:p>
            <w:r>
              <w:rPr>
                <w:b/>
                <w:bCs/>
                <w:sz w:val="19"/>
                <w:szCs w:val="19"/>
              </w:rPr>
              <w:t xml:space="preserve">Alto: MDE P1 no tiene EDR</w:t>
            </w:r>
          </w:p>
        </w:tc>
        <w:tc>
          <w:tcPr>
            <w:tcW w:type="dxa" w:w="1930"/>
            <w:shd w:fill="F8D7DA" w:color="auto" w:val="clear"/>
            <w:tcMar>
              <w:top w:type="dxa" w:w="60"/>
              <w:left w:type="dxa" w:w="100"/>
              <w:bottom w:type="dxa" w:w="60"/>
              <w:right w:type="dxa" w:w="100"/>
            </w:tcMar>
          </w:tcPr>
          <w:p>
            <w:r>
              <w:rPr>
                <w:b/>
                <w:bCs/>
                <w:sz w:val="19"/>
                <w:szCs w:val="19"/>
              </w:rPr>
              <w:t xml:space="preserve">Bajo: evitar doble agente</w:t>
            </w:r>
          </w:p>
        </w:tc>
      </w:tr>
      <w:tr>
        <w:trPr>
          <w:cantSplit/>
        </w:trPr>
        <w:tc>
          <w:tcPr>
            <w:tcW w:type="dxa" w:w="1900"/>
            <w:shd w:fill="F2F5FA" w:color="auto" w:val="clear"/>
            <w:tcMar>
              <w:top w:type="dxa" w:w="60"/>
              <w:left w:type="dxa" w:w="100"/>
              <w:bottom w:type="dxa" w:w="60"/>
              <w:right w:type="dxa" w:w="100"/>
            </w:tcMar>
          </w:tcPr>
          <w:p>
            <w:r>
              <w:rPr>
                <w:b/>
                <w:bCs/>
                <w:sz w:val="19"/>
                <w:szCs w:val="19"/>
              </w:rPr>
              <w:t xml:space="preserve">Cisco XDR</w:t>
            </w:r>
          </w:p>
        </w:tc>
        <w:tc>
          <w:tcPr>
            <w:tcW w:type="dxa" w:w="1800"/>
            <w:shd w:fill="E2E3F3" w:color="auto" w:val="clear"/>
            <w:tcMar>
              <w:top w:type="dxa" w:w="60"/>
              <w:left w:type="dxa" w:w="100"/>
              <w:bottom w:type="dxa" w:w="60"/>
              <w:right w:type="dxa" w:w="100"/>
            </w:tcMar>
          </w:tcPr>
          <w:p>
            <w:r>
              <w:rPr>
                <w:b/>
                <w:bCs/>
                <w:sz w:val="19"/>
                <w:szCs w:val="19"/>
              </w:rPr>
              <w:t xml:space="preserve">Según necesidad</w:t>
            </w:r>
          </w:p>
        </w:tc>
        <w:tc>
          <w:tcPr>
            <w:tcW w:type="dxa" w:w="1800"/>
            <w:shd w:fill="E2E3F3" w:color="auto" w:val="clear"/>
            <w:tcMar>
              <w:top w:type="dxa" w:w="60"/>
              <w:left w:type="dxa" w:w="100"/>
              <w:bottom w:type="dxa" w:w="60"/>
              <w:right w:type="dxa" w:w="100"/>
            </w:tcMar>
          </w:tcPr>
          <w:p>
            <w:r>
              <w:rPr>
                <w:b/>
                <w:bCs/>
                <w:sz w:val="19"/>
                <w:szCs w:val="19"/>
              </w:rPr>
              <w:t xml:space="preserve">Según necesidad</w:t>
            </w:r>
          </w:p>
        </w:tc>
        <w:tc>
          <w:tcPr>
            <w:tcW w:type="dxa" w:w="1930"/>
            <w:shd w:fill="E2E3F3" w:color="auto" w:val="clear"/>
            <w:tcMar>
              <w:top w:type="dxa" w:w="60"/>
              <w:left w:type="dxa" w:w="100"/>
              <w:bottom w:type="dxa" w:w="60"/>
              <w:right w:type="dxa" w:w="100"/>
            </w:tcMar>
          </w:tcPr>
          <w:p>
            <w:r>
              <w:rPr>
                <w:b/>
                <w:bCs/>
                <w:sz w:val="19"/>
                <w:szCs w:val="19"/>
              </w:rPr>
              <w:t xml:space="preserve">Según necesidad: consola multi-proveedor</w:t>
            </w:r>
          </w:p>
        </w:tc>
        <w:tc>
          <w:tcPr>
            <w:tcW w:type="dxa" w:w="1930"/>
            <w:shd w:fill="E2E3F3" w:color="auto" w:val="clear"/>
            <w:tcMar>
              <w:top w:type="dxa" w:w="60"/>
              <w:left w:type="dxa" w:w="100"/>
              <w:bottom w:type="dxa" w:w="60"/>
              <w:right w:type="dxa" w:w="100"/>
            </w:tcMar>
          </w:tcPr>
          <w:p>
            <w:r>
              <w:rPr>
                <w:b/>
                <w:bCs/>
                <w:sz w:val="19"/>
                <w:szCs w:val="19"/>
              </w:rPr>
              <w:t xml:space="preserve">Según necesidad: solo multi-proveedor</w:t>
            </w:r>
          </w:p>
        </w:tc>
      </w:tr>
    </w:tbl>
    <w:p>
      <w:pPr>
        <w:spacing w:after="120"/>
      </w:pPr>
      <w:r>
        <w:rPr>
          <w:i/>
          <w:iCs/>
          <w:color w:val="555555"/>
          <w:sz w:val="18"/>
          <w:szCs w:val="18"/>
        </w:rPr>
        <w:t xml:space="preserve">Referencia para preventa. Validar siempre las licencias vigentes del cliente.</w:t>
      </w:r>
    </w:p>
    <w:p>
      <w:pPr>
        <w:pStyle w:val="Heading1"/>
        <w:keepNext/>
        <w:spacing w:after="100" w:before="280"/>
      </w:pPr>
      <w:r>
        <w:t xml:space="preserve">3. Contradicciones internas de la revisión</w:t>
      </w:r>
    </w:p>
    <w:p>
      <w:pPr>
        <w:pStyle w:val="ListParagraph"/>
        <w:numPr>
          <w:ilvl w:val="0"/>
          <w:numId w:val="3"/>
        </w:numPr>
        <w:spacing w:after="60"/>
      </w:pPr>
      <w:r>
        <w:rPr>
          <w:b/>
          <w:bCs/>
          <w:sz w:val="21"/>
          <w:szCs w:val="21"/>
        </w:rPr>
        <w:t xml:space="preserve">Suites "no excluibles" vs. retiro de NDR.</w:t>
      </w:r>
      <w:r>
        <w:rPr>
          <w:sz w:val="21"/>
          <w:szCs w:val="21"/>
        </w:rPr>
        <w:t xml:space="preserve"> La revisión afirma que "no es viable excluir soluciones de los paquetes Breach o User Protection", pero en el punto 4 pide retirar Secure Network Analytics y Telemetry Broker, que forman parte de Breach Protection Advantage. Hay que precisar la regla: o se vende la suite completa (y esos productos van incluidos), o se posiciona por producto.</w:t>
      </w:r>
    </w:p>
    <w:p>
      <w:pPr>
        <w:pStyle w:val="ListParagraph"/>
        <w:numPr>
          <w:ilvl w:val="0"/>
          <w:numId w:val="3"/>
        </w:numPr>
        <w:spacing w:after="60"/>
      </w:pPr>
      <w:r>
        <w:rPr>
          <w:b/>
          <w:bCs/>
          <w:sz w:val="21"/>
          <w:szCs w:val="21"/>
        </w:rPr>
        <w:t xml:space="preserve">Better Together vs. Microsoft primero en clientes nuevos.</w:t>
      </w:r>
      <w:r>
        <w:rPr>
          <w:sz w:val="21"/>
          <w:szCs w:val="21"/>
        </w:rPr>
        <w:t xml:space="preserve"> Defiende "Better Together" para todos, pero sugiere posicionar solo seguridad Microsoft con clientes nuevos. Para clientes nuevos, eso es en la práctica el mismo criterio de colisión que critica. Es una postura razonable, pero debe escribirse como regla explícita: clientes nuevos, Microsoft primero; base instalada E3 o Business, Cisco como capa adicional.</w:t>
      </w:r>
    </w:p>
    <w:p>
      <w:pPr>
        <w:pStyle w:val="Heading1"/>
        <w:keepNext/>
        <w:spacing w:after="100" w:before="280"/>
      </w:pPr>
      <w:r>
        <w:t xml:space="preserve">4. Juicio sobre las observaciones puntuales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1700"/>
        <w:gridCol w:w="4860"/>
      </w:tblGrid>
      <w:tr>
        <w:trPr>
          <w:tblHeader/>
        </w:trPr>
        <w:tc>
          <w:tcPr>
            <w:tcW w:type="dxa" w:w="500"/>
            <w:shd w:fill="1F3864" w:color="auto" w:val="clear"/>
            <w:tcMar>
              <w:top w:type="dxa" w:w="60"/>
              <w:left w:type="dxa" w:w="100"/>
              <w:bottom w:type="dxa" w:w="60"/>
              <w:right w:type="dxa" w:w="100"/>
            </w:tcMar>
          </w:tcPr>
          <w:p>
            <w:r>
              <w:rPr>
                <w:b/>
                <w:bCs/>
                <w:color w:val="FFFFFF"/>
                <w:sz w:val="19"/>
                <w:szCs w:val="19"/>
              </w:rPr>
              <w:t xml:space="preserve">#</w:t>
            </w:r>
          </w:p>
        </w:tc>
        <w:tc>
          <w:tcPr>
            <w:tcW w:type="dxa" w:w="2300"/>
            <w:shd w:fill="1F3864" w:color="auto" w:val="clear"/>
            <w:tcMar>
              <w:top w:type="dxa" w:w="60"/>
              <w:left w:type="dxa" w:w="100"/>
              <w:bottom w:type="dxa" w:w="60"/>
              <w:right w:type="dxa" w:w="100"/>
            </w:tcMar>
          </w:tcPr>
          <w:p>
            <w:r>
              <w:rPr>
                <w:b/>
                <w:bCs/>
                <w:color w:val="FFFFFF"/>
                <w:sz w:val="19"/>
                <w:szCs w:val="19"/>
              </w:rPr>
              <w:t xml:space="preserve">Observación</w:t>
            </w:r>
          </w:p>
        </w:tc>
        <w:tc>
          <w:tcPr>
            <w:tcW w:type="dxa" w:w="1700"/>
            <w:shd w:fill="1F3864" w:color="auto" w:val="clear"/>
            <w:tcMar>
              <w:top w:type="dxa" w:w="60"/>
              <w:left w:type="dxa" w:w="100"/>
              <w:bottom w:type="dxa" w:w="60"/>
              <w:right w:type="dxa" w:w="100"/>
            </w:tcMar>
          </w:tcPr>
          <w:p>
            <w:r>
              <w:rPr>
                <w:b/>
                <w:bCs/>
                <w:color w:val="FFFFFF"/>
                <w:sz w:val="19"/>
                <w:szCs w:val="19"/>
              </w:rPr>
              <w:t xml:space="preserve">Juicio</w:t>
            </w:r>
          </w:p>
        </w:tc>
        <w:tc>
          <w:tcPr>
            <w:tcW w:type="dxa" w:w="4860"/>
            <w:shd w:fill="1F3864" w:color="auto" w:val="clear"/>
            <w:tcMar>
              <w:top w:type="dxa" w:w="60"/>
              <w:left w:type="dxa" w:w="100"/>
              <w:bottom w:type="dxa" w:w="60"/>
              <w:right w:type="dxa" w:w="100"/>
            </w:tcMar>
          </w:tcPr>
          <w:p>
            <w:r>
              <w:rPr>
                <w:b/>
                <w:bCs/>
                <w:color w:val="FFFFFF"/>
                <w:sz w:val="19"/>
                <w:szCs w:val="19"/>
              </w:rPr>
              <w:t xml:space="preserve">Fundamento</w:t>
            </w:r>
          </w:p>
        </w:tc>
      </w:tr>
      <w:tr>
        <w:trPr>
          <w:cantSplit/>
        </w:trPr>
        <w:tc>
          <w:tcPr>
            <w:tcW w:type="dxa" w:w="500"/>
            <w:tcMar>
              <w:top w:type="dxa" w:w="60"/>
              <w:left w:type="dxa" w:w="100"/>
              <w:bottom w:type="dxa" w:w="60"/>
              <w:right w:type="dxa" w:w="100"/>
            </w:tcMar>
          </w:tcPr>
          <w:p>
            <w:r>
              <w:rPr>
                <w:b w:val="false"/>
                <w:bCs w:val="false"/>
                <w:sz w:val="19"/>
                <w:szCs w:val="19"/>
              </w:rPr>
              <w:t xml:space="preserve">1</w:t>
            </w:r>
          </w:p>
        </w:tc>
        <w:tc>
          <w:tcPr>
            <w:tcW w:type="dxa" w:w="2300"/>
            <w:tcMar>
              <w:top w:type="dxa" w:w="60"/>
              <w:left w:type="dxa" w:w="100"/>
              <w:bottom w:type="dxa" w:w="60"/>
              <w:right w:type="dxa" w:w="100"/>
            </w:tcMar>
          </w:tcPr>
          <w:p>
            <w:r>
              <w:rPr>
                <w:b/>
                <w:bCs/>
                <w:sz w:val="19"/>
                <w:szCs w:val="19"/>
              </w:rPr>
              <w:t xml:space="preserve">Banner "Red · Seguridad · Salas · Datacenter"</w:t>
            </w:r>
          </w:p>
        </w:tc>
        <w:tc>
          <w:tcPr>
            <w:tcW w:type="dxa" w:w="1700"/>
            <w:shd w:fill="FFF3CD" w:color="auto" w:val="clear"/>
            <w:tcMar>
              <w:top w:type="dxa" w:w="60"/>
              <w:left w:type="dxa" w:w="100"/>
              <w:bottom w:type="dxa" w:w="60"/>
              <w:right w:type="dxa" w:w="100"/>
            </w:tcMar>
          </w:tcPr>
          <w:p>
            <w:r>
              <w:rPr>
                <w:b/>
                <w:bCs/>
                <w:sz w:val="19"/>
                <w:szCs w:val="19"/>
              </w:rPr>
              <w:t xml:space="preserve">Parcial</w:t>
            </w:r>
          </w:p>
        </w:tc>
        <w:tc>
          <w:tcPr>
            <w:tcW w:type="dxa" w:w="4860"/>
            <w:tcMar>
              <w:top w:type="dxa" w:w="60"/>
              <w:left w:type="dxa" w:w="100"/>
              <w:bottom w:type="dxa" w:w="60"/>
              <w:right w:type="dxa" w:w="100"/>
            </w:tcMar>
          </w:tcPr>
          <w:p>
            <w:r>
              <w:rPr>
                <w:b w:val="false"/>
                <w:bCs w:val="false"/>
                <w:sz w:val="19"/>
                <w:szCs w:val="19"/>
              </w:rPr>
              <w:t xml:space="preserve">Retirar "Observabilidad" es coherente: ThousandEyes no está en el Modelo de Servicios. Pero el Modelo tampoco tiene servicio de Datacenter ni de servidores para IA; agregarlo al banner recrea la incoherencia entre Matriz y Modelo, salvo que antes se cree esa ficha.</w:t>
            </w:r>
          </w:p>
        </w:tc>
      </w:tr>
      <w:tr>
        <w:trPr>
          <w:cantSplit/>
        </w:trPr>
        <w:tc>
          <w:tcPr>
            <w:tcW w:type="dxa" w:w="500"/>
            <w:shd w:fill="F2F5FA" w:color="auto" w:val="clear"/>
            <w:tcMar>
              <w:top w:type="dxa" w:w="60"/>
              <w:left w:type="dxa" w:w="100"/>
              <w:bottom w:type="dxa" w:w="60"/>
              <w:right w:type="dxa" w:w="100"/>
            </w:tcMar>
          </w:tcPr>
          <w:p>
            <w:r>
              <w:rPr>
                <w:b w:val="false"/>
                <w:bCs w:val="false"/>
                <w:sz w:val="19"/>
                <w:szCs w:val="19"/>
              </w:rPr>
              <w:t xml:space="preserve">2</w:t>
            </w:r>
          </w:p>
        </w:tc>
        <w:tc>
          <w:tcPr>
            <w:tcW w:type="dxa" w:w="2300"/>
            <w:shd w:fill="F2F5FA" w:color="auto" w:val="clear"/>
            <w:tcMar>
              <w:top w:type="dxa" w:w="60"/>
              <w:left w:type="dxa" w:w="100"/>
              <w:bottom w:type="dxa" w:w="60"/>
              <w:right w:type="dxa" w:w="100"/>
            </w:tcMar>
          </w:tcPr>
          <w:p>
            <w:r>
              <w:rPr>
                <w:b/>
                <w:bCs/>
                <w:sz w:val="19"/>
                <w:szCs w:val="19"/>
              </w:rPr>
              <w:t xml:space="preserve">Vender por caso de uso: Meraki MX para SaaS, Catalyst para IaaS</w:t>
            </w:r>
          </w:p>
        </w:tc>
        <w:tc>
          <w:tcPr>
            <w:tcW w:type="dxa" w:w="1700"/>
            <w:shd w:fill="FFF3CD" w:color="auto" w:val="clear"/>
            <w:tcMar>
              <w:top w:type="dxa" w:w="60"/>
              <w:left w:type="dxa" w:w="100"/>
              <w:bottom w:type="dxa" w:w="60"/>
              <w:right w:type="dxa" w:w="100"/>
            </w:tcMar>
          </w:tcPr>
          <w:p>
            <w:r>
              <w:rPr>
                <w:b/>
                <w:bCs/>
                <w:sz w:val="19"/>
                <w:szCs w:val="19"/>
              </w:rPr>
              <w:t xml:space="preserve">De acuerdo, con matices</w:t>
            </w:r>
          </w:p>
        </w:tc>
        <w:tc>
          <w:tcPr>
            <w:tcW w:type="dxa" w:w="4860"/>
            <w:shd w:fill="F2F5FA" w:color="auto" w:val="clear"/>
            <w:tcMar>
              <w:top w:type="dxa" w:w="60"/>
              <w:left w:type="dxa" w:w="100"/>
              <w:bottom w:type="dxa" w:w="60"/>
              <w:right w:type="dxa" w:w="100"/>
            </w:tcMar>
          </w:tcPr>
          <w:p>
            <w:r>
              <w:rPr>
                <w:b w:val="false"/>
                <w:bCs w:val="false"/>
                <w:sz w:val="19"/>
                <w:szCs w:val="19"/>
              </w:rPr>
              <w:t xml:space="preserve">Buen mensaje comercial, pero no es una división técnica: Meraki tiene vMX en Azure y Catalyst optimiza SaaS. Meraki MX solo no es SASE; SASE es SD-WAN más Secure Access. Al texto de MS/MR le falta un verbo, y en MG debe evitarse "ininterrumpido ante cualquier caída", porque depende de la cobertura celular.</w:t>
            </w:r>
          </w:p>
        </w:tc>
      </w:tr>
      <w:tr>
        <w:trPr>
          <w:cantSplit/>
        </w:trPr>
        <w:tc>
          <w:tcPr>
            <w:tcW w:type="dxa" w:w="500"/>
            <w:tcMar>
              <w:top w:type="dxa" w:w="60"/>
              <w:left w:type="dxa" w:w="100"/>
              <w:bottom w:type="dxa" w:w="60"/>
              <w:right w:type="dxa" w:w="100"/>
            </w:tcMar>
          </w:tcPr>
          <w:p>
            <w:r>
              <w:rPr>
                <w:b w:val="false"/>
                <w:bCs w:val="false"/>
                <w:sz w:val="19"/>
                <w:szCs w:val="19"/>
              </w:rPr>
              <w:t xml:space="preserve">3</w:t>
            </w:r>
          </w:p>
        </w:tc>
        <w:tc>
          <w:tcPr>
            <w:tcW w:type="dxa" w:w="2300"/>
            <w:tcMar>
              <w:top w:type="dxa" w:w="60"/>
              <w:left w:type="dxa" w:w="100"/>
              <w:bottom w:type="dxa" w:w="60"/>
              <w:right w:type="dxa" w:w="100"/>
            </w:tcMar>
          </w:tcPr>
          <w:p>
            <w:r>
              <w:rPr>
                <w:b/>
                <w:bCs/>
                <w:sz w:val="19"/>
                <w:szCs w:val="19"/>
              </w:rPr>
              <w:t xml:space="preserve">Cisco ISE: quitar "Premier"; postura con Cisco Secure Client</w:t>
            </w:r>
          </w:p>
        </w:tc>
        <w:tc>
          <w:tcPr>
            <w:tcW w:type="dxa" w:w="1700"/>
            <w:shd w:fill="D4EDDA" w:color="auto" w:val="clear"/>
            <w:tcMar>
              <w:top w:type="dxa" w:w="60"/>
              <w:left w:type="dxa" w:w="100"/>
              <w:bottom w:type="dxa" w:w="60"/>
              <w:right w:type="dxa" w:w="100"/>
            </w:tcMar>
          </w:tcPr>
          <w:p>
            <w:r>
              <w:rPr>
                <w:b/>
                <w:bCs/>
                <w:sz w:val="19"/>
                <w:szCs w:val="19"/>
              </w:rPr>
              <w:t xml:space="preserve">De acuerdo</w:t>
            </w:r>
          </w:p>
        </w:tc>
        <w:tc>
          <w:tcPr>
            <w:tcW w:type="dxa" w:w="4860"/>
            <w:tcMar>
              <w:top w:type="dxa" w:w="60"/>
              <w:left w:type="dxa" w:w="100"/>
              <w:bottom w:type="dxa" w:w="60"/>
              <w:right w:type="dxa" w:w="100"/>
            </w:tcMar>
          </w:tcPr>
          <w:p>
            <w:r>
              <w:rPr>
                <w:b w:val="false"/>
                <w:bCs w:val="false"/>
                <w:sz w:val="19"/>
                <w:szCs w:val="19"/>
              </w:rPr>
              <w:t xml:space="preserve">Premier es un nivel de licencia, no parte del nombre. Secure Client (módulo de postura de ISE) es el diseño de referencia; Intune queda como integración complementaria.</w:t>
            </w:r>
          </w:p>
        </w:tc>
      </w:tr>
      <w:tr>
        <w:trPr>
          <w:cantSplit/>
        </w:trPr>
        <w:tc>
          <w:tcPr>
            <w:tcW w:type="dxa" w:w="500"/>
            <w:shd w:fill="F2F5FA" w:color="auto" w:val="clear"/>
            <w:tcMar>
              <w:top w:type="dxa" w:w="60"/>
              <w:left w:type="dxa" w:w="100"/>
              <w:bottom w:type="dxa" w:w="60"/>
              <w:right w:type="dxa" w:w="100"/>
            </w:tcMar>
          </w:tcPr>
          <w:p>
            <w:r>
              <w:rPr>
                <w:b w:val="false"/>
                <w:bCs w:val="false"/>
                <w:sz w:val="19"/>
                <w:szCs w:val="19"/>
              </w:rPr>
              <w:t xml:space="preserve">4</w:t>
            </w:r>
          </w:p>
        </w:tc>
        <w:tc>
          <w:tcPr>
            <w:tcW w:type="dxa" w:w="2300"/>
            <w:shd w:fill="F2F5FA" w:color="auto" w:val="clear"/>
            <w:tcMar>
              <w:top w:type="dxa" w:w="60"/>
              <w:left w:type="dxa" w:w="100"/>
              <w:bottom w:type="dxa" w:w="60"/>
              <w:right w:type="dxa" w:w="100"/>
            </w:tcMar>
          </w:tcPr>
          <w:p>
            <w:r>
              <w:rPr>
                <w:b/>
                <w:bCs/>
                <w:sz w:val="19"/>
                <w:szCs w:val="19"/>
              </w:rPr>
              <w:t xml:space="preserve">Retirar Secure Network Analytics y Telemetry Broker</w:t>
            </w:r>
          </w:p>
        </w:tc>
        <w:tc>
          <w:tcPr>
            <w:tcW w:type="dxa" w:w="1700"/>
            <w:shd w:fill="E8F3D6" w:color="auto" w:val="clear"/>
            <w:tcMar>
              <w:top w:type="dxa" w:w="60"/>
              <w:left w:type="dxa" w:w="100"/>
              <w:bottom w:type="dxa" w:w="60"/>
              <w:right w:type="dxa" w:w="100"/>
            </w:tcMar>
          </w:tcPr>
          <w:p>
            <w:r>
              <w:rPr>
                <w:b/>
                <w:bCs/>
                <w:sz w:val="19"/>
                <w:szCs w:val="19"/>
              </w:rPr>
              <w:t xml:space="preserve">De acuerdo como fase 2</w:t>
            </w:r>
          </w:p>
        </w:tc>
        <w:tc>
          <w:tcPr>
            <w:tcW w:type="dxa" w:w="4860"/>
            <w:shd w:fill="F2F5FA" w:color="auto" w:val="clear"/>
            <w:tcMar>
              <w:top w:type="dxa" w:w="60"/>
              <w:left w:type="dxa" w:w="100"/>
              <w:bottom w:type="dxa" w:w="60"/>
              <w:right w:type="dxa" w:w="100"/>
            </w:tcMar>
          </w:tcPr>
          <w:p>
            <w:r>
              <w:rPr>
                <w:b w:val="false"/>
                <w:bCs w:val="false"/>
                <w:sz w:val="19"/>
                <w:szCs w:val="19"/>
              </w:rPr>
              <w:t xml:space="preserve">Tiene sentido comercial (exigen un SOC maduro). Pero el Servicio 1 del Modelo sigue nombrando el NDR; hay que ajustar ambos documentos.</w:t>
            </w:r>
          </w:p>
        </w:tc>
      </w:tr>
      <w:tr>
        <w:trPr>
          <w:cantSplit/>
        </w:trPr>
        <w:tc>
          <w:tcPr>
            <w:tcW w:type="dxa" w:w="500"/>
            <w:tcMar>
              <w:top w:type="dxa" w:w="60"/>
              <w:left w:type="dxa" w:w="100"/>
              <w:bottom w:type="dxa" w:w="60"/>
              <w:right w:type="dxa" w:w="100"/>
            </w:tcMar>
          </w:tcPr>
          <w:p>
            <w:r>
              <w:rPr>
                <w:b w:val="false"/>
                <w:bCs w:val="false"/>
                <w:sz w:val="19"/>
                <w:szCs w:val="19"/>
              </w:rPr>
              <w:t xml:space="preserve">5</w:t>
            </w:r>
          </w:p>
        </w:tc>
        <w:tc>
          <w:tcPr>
            <w:tcW w:type="dxa" w:w="2300"/>
            <w:tcMar>
              <w:top w:type="dxa" w:w="60"/>
              <w:left w:type="dxa" w:w="100"/>
              <w:bottom w:type="dxa" w:w="60"/>
              <w:right w:type="dxa" w:w="100"/>
            </w:tcMar>
          </w:tcPr>
          <w:p>
            <w:r>
              <w:rPr>
                <w:b/>
                <w:bCs/>
                <w:sz w:val="19"/>
                <w:szCs w:val="19"/>
              </w:rPr>
              <w:t xml:space="preserve">Retirar cámaras Meraki MV + Power BI</w:t>
            </w:r>
          </w:p>
        </w:tc>
        <w:tc>
          <w:tcPr>
            <w:tcW w:type="dxa" w:w="1700"/>
            <w:shd w:fill="D4EDDA" w:color="auto" w:val="clear"/>
            <w:tcMar>
              <w:top w:type="dxa" w:w="60"/>
              <w:left w:type="dxa" w:w="100"/>
              <w:bottom w:type="dxa" w:w="60"/>
              <w:right w:type="dxa" w:w="100"/>
            </w:tcMar>
          </w:tcPr>
          <w:p>
            <w:r>
              <w:rPr>
                <w:b/>
                <w:bCs/>
                <w:sz w:val="19"/>
                <w:szCs w:val="19"/>
              </w:rPr>
              <w:t xml:space="preserve">De acuerdo</w:t>
            </w:r>
          </w:p>
        </w:tc>
        <w:tc>
          <w:tcPr>
            <w:tcW w:type="dxa" w:w="4860"/>
            <w:tcMar>
              <w:top w:type="dxa" w:w="60"/>
              <w:left w:type="dxa" w:w="100"/>
              <w:bottom w:type="dxa" w:w="60"/>
              <w:right w:type="dxa" w:w="100"/>
            </w:tcMar>
          </w:tcPr>
          <w:p>
            <w:r>
              <w:rPr>
                <w:b w:val="false"/>
                <w:bCs w:val="false"/>
                <w:sz w:val="19"/>
                <w:szCs w:val="19"/>
              </w:rPr>
              <w:t xml:space="preserve">No existe un conector nativo; MV ofrece APIs y MQTT, así que la integración sería a medida. El mismo criterio aplica a los sensores Meraki MT, que la revisión no mencionó.</w:t>
            </w:r>
          </w:p>
        </w:tc>
      </w:tr>
      <w:tr>
        <w:trPr>
          <w:cantSplit/>
        </w:trPr>
        <w:tc>
          <w:tcPr>
            <w:tcW w:type="dxa" w:w="500"/>
            <w:shd w:fill="F2F5FA" w:color="auto" w:val="clear"/>
            <w:tcMar>
              <w:top w:type="dxa" w:w="60"/>
              <w:left w:type="dxa" w:w="100"/>
              <w:bottom w:type="dxa" w:w="60"/>
              <w:right w:type="dxa" w:w="100"/>
            </w:tcMar>
          </w:tcPr>
          <w:p>
            <w:r>
              <w:rPr>
                <w:b w:val="false"/>
                <w:bCs w:val="false"/>
                <w:sz w:val="19"/>
                <w:szCs w:val="19"/>
              </w:rPr>
              <w:t xml:space="preserve">6</w:t>
            </w:r>
          </w:p>
        </w:tc>
        <w:tc>
          <w:tcPr>
            <w:tcW w:type="dxa" w:w="2300"/>
            <w:shd w:fill="F2F5FA" w:color="auto" w:val="clear"/>
            <w:tcMar>
              <w:top w:type="dxa" w:w="60"/>
              <w:left w:type="dxa" w:w="100"/>
              <w:bottom w:type="dxa" w:w="60"/>
              <w:right w:type="dxa" w:w="100"/>
            </w:tcMar>
          </w:tcPr>
          <w:p>
            <w:r>
              <w:rPr>
                <w:b/>
                <w:bCs/>
                <w:sz w:val="19"/>
                <w:szCs w:val="19"/>
              </w:rPr>
              <w:t xml:space="preserve">"Usuarios Remotos" en lugar de Dynamics 365 + paquete SECaaS</w:t>
            </w:r>
          </w:p>
        </w:tc>
        <w:tc>
          <w:tcPr>
            <w:tcW w:type="dxa" w:w="1700"/>
            <w:shd w:fill="D4EDDA" w:color="auto" w:val="clear"/>
            <w:tcMar>
              <w:top w:type="dxa" w:w="60"/>
              <w:left w:type="dxa" w:w="100"/>
              <w:bottom w:type="dxa" w:w="60"/>
              <w:right w:type="dxa" w:w="100"/>
            </w:tcMar>
          </w:tcPr>
          <w:p>
            <w:r>
              <w:rPr>
                <w:b/>
                <w:bCs/>
                <w:sz w:val="19"/>
                <w:szCs w:val="19"/>
              </w:rPr>
              <w:t xml:space="preserve">De acuerdo</w:t>
            </w:r>
          </w:p>
        </w:tc>
        <w:tc>
          <w:tcPr>
            <w:tcW w:type="dxa" w:w="4860"/>
            <w:shd w:fill="F2F5FA" w:color="auto" w:val="clear"/>
            <w:tcMar>
              <w:top w:type="dxa" w:w="60"/>
              <w:left w:type="dxa" w:w="100"/>
              <w:bottom w:type="dxa" w:w="60"/>
              <w:right w:type="dxa" w:w="100"/>
            </w:tcMar>
          </w:tcPr>
          <w:p>
            <w:r>
              <w:rPr>
                <w:b w:val="false"/>
                <w:bCs w:val="false"/>
                <w:sz w:val="19"/>
                <w:szCs w:val="19"/>
              </w:rPr>
              <w:t xml:space="preserve">La redundancia es real. Duo + Secure Endpoint + Secure Access es casi la suite User Protection (Advantage suma ISE y Email Threat Defense). Conviene armar SECaaS sobre la suite oficial, por precio y licenciamiento.</w:t>
            </w:r>
          </w:p>
        </w:tc>
      </w:tr>
      <w:tr>
        <w:trPr>
          <w:cantSplit/>
        </w:trPr>
        <w:tc>
          <w:tcPr>
            <w:tcW w:type="dxa" w:w="500"/>
            <w:tcMar>
              <w:top w:type="dxa" w:w="60"/>
              <w:left w:type="dxa" w:w="100"/>
              <w:bottom w:type="dxa" w:w="60"/>
              <w:right w:type="dxa" w:w="100"/>
            </w:tcMar>
          </w:tcPr>
          <w:p>
            <w:r>
              <w:rPr>
                <w:b w:val="false"/>
                <w:bCs w:val="false"/>
                <w:sz w:val="19"/>
                <w:szCs w:val="19"/>
              </w:rPr>
              <w:t xml:space="preserve">7</w:t>
            </w:r>
          </w:p>
        </w:tc>
        <w:tc>
          <w:tcPr>
            <w:tcW w:type="dxa" w:w="2300"/>
            <w:tcMar>
              <w:top w:type="dxa" w:w="60"/>
              <w:left w:type="dxa" w:w="100"/>
              <w:bottom w:type="dxa" w:w="60"/>
              <w:right w:type="dxa" w:w="100"/>
            </w:tcMar>
          </w:tcPr>
          <w:p>
            <w:r>
              <w:rPr>
                <w:b/>
                <w:bCs/>
                <w:sz w:val="19"/>
                <w:szCs w:val="19"/>
              </w:rPr>
              <w:t xml:space="preserve">Retirar Meraki API + Power Platform; AI Defense en espera</w:t>
            </w:r>
          </w:p>
        </w:tc>
        <w:tc>
          <w:tcPr>
            <w:tcW w:type="dxa" w:w="1700"/>
            <w:shd w:fill="D4EDDA" w:color="auto" w:val="clear"/>
            <w:tcMar>
              <w:top w:type="dxa" w:w="60"/>
              <w:left w:type="dxa" w:w="100"/>
              <w:bottom w:type="dxa" w:w="60"/>
              <w:right w:type="dxa" w:w="100"/>
            </w:tcMar>
          </w:tcPr>
          <w:p>
            <w:r>
              <w:rPr>
                <w:b/>
                <w:bCs/>
                <w:sz w:val="19"/>
                <w:szCs w:val="19"/>
              </w:rPr>
              <w:t xml:space="preserve">De acuerdo</w:t>
            </w:r>
          </w:p>
        </w:tc>
        <w:tc>
          <w:tcPr>
            <w:tcW w:type="dxa" w:w="4860"/>
            <w:tcMar>
              <w:top w:type="dxa" w:w="60"/>
              <w:left w:type="dxa" w:w="100"/>
              <w:bottom w:type="dxa" w:w="60"/>
              <w:right w:type="dxa" w:w="100"/>
            </w:tcMar>
          </w:tcPr>
          <w:p>
            <w:r>
              <w:rPr>
                <w:b w:val="false"/>
                <w:bCs w:val="false"/>
                <w:sz w:val="19"/>
                <w:szCs w:val="19"/>
              </w:rPr>
              <w:t xml:space="preserve">Coherente con la matriz, que ya marcaba AI Defense como "alcance definido" y recomendaba empezar por inventario.</w:t>
            </w:r>
          </w:p>
        </w:tc>
      </w:tr>
    </w:tbl>
    <w:p>
      <w:pPr>
        <w:pStyle w:val="Heading1"/>
        <w:keepNext/>
        <w:spacing w:after="100" w:before="280"/>
      </w:pPr>
      <w:r>
        <w:t xml:space="preserve">5. Recomendaciones</w:t>
      </w:r>
    </w:p>
    <w:p>
      <w:pPr>
        <w:pStyle w:val="ListParagraph"/>
        <w:numPr>
          <w:ilvl w:val="0"/>
          <w:numId w:val="3"/>
        </w:numPr>
        <w:spacing w:after="60"/>
      </w:pPr>
      <w:r>
        <w:rPr>
          <w:b/>
          <w:bCs/>
          <w:sz w:val="21"/>
          <w:szCs w:val="21"/>
        </w:rPr>
        <w:t xml:space="preserve">Cambiar el criterio de la matriz.</w:t>
      </w:r>
      <w:r>
        <w:rPr>
          <w:sz w:val="21"/>
          <w:szCs w:val="21"/>
        </w:rPr>
        <w:t xml:space="preserve"> Dejar de excluir por colisión y posicionar cada producto según la licencia del cliente (sección 2.3).</w:t>
      </w:r>
    </w:p>
    <w:p>
      <w:pPr>
        <w:pStyle w:val="ListParagraph"/>
        <w:numPr>
          <w:ilvl w:val="0"/>
          <w:numId w:val="3"/>
        </w:numPr>
        <w:spacing w:after="60"/>
      </w:pPr>
      <w:r>
        <w:rPr>
          <w:b/>
          <w:bCs/>
          <w:sz w:val="21"/>
          <w:szCs w:val="21"/>
        </w:rPr>
        <w:t xml:space="preserve">Reincorporar Duo, Email Threat Defense y Secure Endpoint.</w:t>
      </w:r>
      <w:r>
        <w:rPr>
          <w:sz w:val="21"/>
          <w:szCs w:val="21"/>
        </w:rPr>
        <w:t xml:space="preserve"> Reincorporarlos con argumentos corregidos: no afirmar que E3 tiene "MFA básico" y advertir que en E5 y Business Premium su valor es limitado.</w:t>
      </w:r>
    </w:p>
    <w:p>
      <w:pPr>
        <w:pStyle w:val="ListParagraph"/>
        <w:numPr>
          <w:ilvl w:val="0"/>
          <w:numId w:val="3"/>
        </w:numPr>
        <w:spacing w:after="60"/>
      </w:pPr>
      <w:r>
        <w:rPr>
          <w:b/>
          <w:bCs/>
          <w:sz w:val="21"/>
          <w:szCs w:val="21"/>
        </w:rPr>
        <w:t xml:space="preserve">Escribir las reglas de uso.</w:t>
      </w:r>
      <w:r>
        <w:rPr>
          <w:sz w:val="21"/>
          <w:szCs w:val="21"/>
        </w:rPr>
        <w:t xml:space="preserve"> Clientes nuevos: Microsoft primero. Base instalada E3 o Business: Cisco como capa adicional. ISE, SASE y XDR: siempre que el requisito supere lo que Microsoft cubre.</w:t>
      </w:r>
    </w:p>
    <w:p>
      <w:pPr>
        <w:pStyle w:val="ListParagraph"/>
        <w:numPr>
          <w:ilvl w:val="0"/>
          <w:numId w:val="3"/>
        </w:numPr>
        <w:spacing w:after="60"/>
      </w:pPr>
      <w:r>
        <w:rPr>
          <w:b/>
          <w:bCs/>
          <w:sz w:val="21"/>
          <w:szCs w:val="21"/>
        </w:rPr>
        <w:t xml:space="preserve">Aplicar las observaciones 2, 3, 5, 6 y 7.</w:t>
      </w:r>
      <w:r>
        <w:rPr>
          <w:sz w:val="21"/>
          <w:szCs w:val="21"/>
        </w:rPr>
        <w:t xml:space="preserve"> Incluir el retiro de los sensores Meraki MT, por el mismo motivo que las cámaras MV.</w:t>
      </w:r>
    </w:p>
    <w:p>
      <w:pPr>
        <w:pStyle w:val="ListParagraph"/>
        <w:numPr>
          <w:ilvl w:val="0"/>
          <w:numId w:val="3"/>
        </w:numPr>
        <w:spacing w:after="60"/>
      </w:pPr>
      <w:r>
        <w:rPr>
          <w:b/>
          <w:bCs/>
          <w:sz w:val="21"/>
          <w:szCs w:val="21"/>
        </w:rPr>
        <w:t xml:space="preserve">Mantener la coherencia Matriz–Modelo.</w:t>
      </w:r>
      <w:r>
        <w:rPr>
          <w:sz w:val="21"/>
          <w:szCs w:val="21"/>
        </w:rPr>
        <w:t xml:space="preserve"> No agregar Datacenter ni servidores para IA a la matriz hasta que el Modelo de Servicios tenga esa ficha; si no, Matriz y Modelo vuelven a no coincidir.</w:t>
      </w:r>
    </w:p>
    <w:p>
      <w:pPr>
        <w:pStyle w:val="ListParagraph"/>
        <w:numPr>
          <w:ilvl w:val="0"/>
          <w:numId w:val="3"/>
        </w:numPr>
        <w:spacing w:after="60"/>
      </w:pPr>
      <w:r>
        <w:rPr>
          <w:b/>
          <w:bCs/>
          <w:sz w:val="21"/>
          <w:szCs w:val="21"/>
        </w:rPr>
        <w:t xml:space="preserve">Preparar la respuesta al complemento E5 Security.</w:t>
      </w:r>
      <w:r>
        <w:rPr>
          <w:sz w:val="21"/>
          <w:szCs w:val="21"/>
        </w:rPr>
        <w:t xml:space="preserve"> El equipo comercial debe llegar con la comparación de costo y alcance frente a "Microsoft 365 E5 Security".</w:t>
      </w:r>
    </w:p>
    <w:p>
      <w:pPr>
        <w:pStyle w:val="Heading1"/>
        <w:keepNext/>
        <w:spacing w:after="100" w:before="280"/>
      </w:pPr>
      <w:r>
        <w:t xml:space="preserve">6. Estado</w:t>
      </w:r>
    </w:p>
    <w:p>
      <w:pPr>
        <w:spacing w:after="120"/>
      </w:pPr>
      <w:r>
        <w:rPr>
          <w:sz w:val="21"/>
          <w:szCs w:val="21"/>
        </w:rPr>
        <w:t xml:space="preserve">Estas recomendaciones ya están aplicadas en "Nueva_Matriz_Valor_Cisco_Microsoft_Consein_v2.docx". Queda pendiente marcar el NDR (Secure Network Analytics) como opcional en el Servicio 1 del Modelo de Servicios, para mantener ambos documentos alineados.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Consein | Reporte de Juicio | Página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b/>
      <w:bCs/>
      <w:color w:val="1F3864"/>
      <w:sz w:val="40"/>
      <w:szCs w:val="40"/>
    </w:rPr>
  </w:style>
  <w:style w:type="paragraph" w:styleId="Heading1">
    <w:name w:val="Heading 1"/>
    <w:basedOn w:val="Normal"/>
    <w:next w:val="Normal"/>
    <w:qFormat/>
    <w:pPr>
      <w:outlineLvl w:val="0"/>
    </w:pPr>
    <w:rPr>
      <w:b/>
      <w:bCs/>
      <w:color w:val="1F3864"/>
      <w:sz w:val="28"/>
      <w:szCs w:val="28"/>
    </w:rPr>
  </w:style>
  <w:style w:type="paragraph" w:styleId="Heading2">
    <w:name w:val="Heading 2"/>
    <w:basedOn w:val="Normal"/>
    <w:next w:val="Normal"/>
    <w:qFormat/>
    <w:pPr>
      <w:outlineLvl w:val="1"/>
    </w:pPr>
    <w:rPr>
      <w:b/>
      <w:bCs/>
      <w:color w:val="2E559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2026-10-05T20:16:21.930Z</dcterms:created>
  <dcterms:modified xsi:type="dcterms:W3CDTF">2026-10-05T20:16:21.930Z</dcterms:modified>
</cp:coreProperties>
</file>

<file path=docProps/custom.xml><?xml version="1.0" encoding="utf-8"?>
<Properties xmlns="http://schemas.openxmlformats.org/officeDocument/2006/custom-properties" xmlns:vt="http://schemas.openxmlformats.org/officeDocument/2006/docPropsVTypes"/>
</file>