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Nueva Matriz de Valor: Cisco suma valor a la plataforma Microsoft</w:t>
      </w:r>
    </w:p>
    <w:p>
      <w:pPr>
        <w:spacing w:after="120"/>
      </w:pPr>
      <w:r>
        <w:rPr>
          <w:i/>
          <w:iCs/>
          <w:color w:val="555555"/>
          <w:sz w:val="20"/>
          <w:szCs w:val="20"/>
        </w:rPr>
        <w:t xml:space="preserve">Productos Cisco tomados del Modelo de Servicios Cisco de Consein, filtrados por colisión con los servicios Microsoft y organizados por las 7 áreas de práctica de Consein.</w:t>
      </w:r>
    </w:p>
    <w:p>
      <w:pPr>
        <w:pStyle w:val="Heading1"/>
        <w:spacing w:after="80" w:before="240"/>
      </w:pPr>
      <w:r>
        <w:t xml:space="preserve">Criterio de selección</w:t>
      </w:r>
    </w:p>
    <w:p>
      <w:pPr>
        <w:pBdr>
          <w:left w:val="single" w:color="1F3864" w:sz="24" w:space="8"/>
        </w:pBdr>
        <w:spacing w:after="120"/>
      </w:pPr>
      <w:r>
        <w:rPr>
          <w:sz w:val="21"/>
          <w:szCs w:val="21"/>
        </w:rPr>
        <w:t xml:space="preserve">Solo se incluyen productos que aparecen en el Modelo de Servicios (Servicios 1 a 7) y que operan en una capa distinta a Microsoft, se integran con él de forma nativa o extienden una capacidad sin duplicar función, consola ni licencia. Se excluyen los productos del Modelo con colisión Alta o Media frente a Microsoft (ver sección C).</w:t>
      </w:r>
    </w:p>
    <w:p>
      <w:pPr>
        <w:pStyle w:val="ListParagraph"/>
        <w:numPr>
          <w:ilvl w:val="0"/>
          <w:numId w:val="2"/>
        </w:numPr>
        <w:spacing w:after="60"/>
      </w:pPr>
      <w:r>
        <w:rPr>
          <w:sz w:val="21"/>
          <w:szCs w:val="21"/>
        </w:rPr>
        <w:t xml:space="preserve">Fuente única de productos: Modelo_de_Servicios_Cisco_Consein_1.pdf (Servicios 1 a 7 y cuadro de suites).</w:t>
      </w:r>
    </w:p>
    <w:p>
      <w:pPr>
        <w:pStyle w:val="ListParagraph"/>
        <w:numPr>
          <w:ilvl w:val="0"/>
          <w:numId w:val="2"/>
        </w:numPr>
        <w:spacing w:after="60"/>
      </w:pPr>
      <w:r>
        <w:rPr>
          <w:sz w:val="21"/>
          <w:szCs w:val="21"/>
        </w:rPr>
        <w:t xml:space="preserve">Criterio de colisión: el mismo de la Matriz anterior. Por eso Cisco Duo y Cisco XDR quedan fuera, como ya lo estaban.</w:t>
      </w:r>
    </w:p>
    <w:p>
      <w:pPr>
        <w:pStyle w:val="ListParagraph"/>
        <w:numPr>
          <w:ilvl w:val="0"/>
          <w:numId w:val="2"/>
        </w:numPr>
        <w:spacing w:after="60"/>
      </w:pPr>
      <w:r>
        <w:rPr>
          <w:sz w:val="21"/>
          <w:szCs w:val="21"/>
        </w:rPr>
        <w:t xml:space="preserve">Cada fila indica el servicio del Modelo de donde viene el producto, para mantener la trazabilidad entre ambos documentos.</w:t>
      </w:r>
    </w:p>
    <w:p>
      <w:pPr>
        <w:pStyle w:val="Heading1"/>
        <w:spacing w:after="80" w:before="240"/>
      </w:pPr>
      <w:r>
        <w:t xml:space="preserve">A. Vista consolidada de valor agregado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9800"/>
      </w:tblGrid>
      <w:tr>
        <w:trPr>
          <w:tblHeader/>
        </w:trPr>
        <w:tc>
          <w:tcPr>
            <w:tcW w:type="dxa" w:w="3200"/>
            <w:shd w:fill="1F3864" w:color="auto" w:val="clear"/>
            <w:tcMar>
              <w:top w:type="dxa" w:w="60"/>
              <w:left w:type="dxa" w:w="100"/>
              <w:bottom w:type="dxa" w:w="60"/>
              <w:right w:type="dxa" w:w="100"/>
            </w:tcMar>
          </w:tcPr>
          <w:p>
            <w:r>
              <w:rPr>
                <w:b/>
                <w:bCs/>
                <w:color w:val="FFFFFF"/>
                <w:sz w:val="19"/>
                <w:szCs w:val="19"/>
              </w:rPr>
              <w:t xml:space="preserve">Área de práctica</w:t>
            </w:r>
          </w:p>
        </w:tc>
        <w:tc>
          <w:tcPr>
            <w:tcW w:type="dxa" w:w="1400"/>
            <w:shd w:fill="1F3864" w:color="auto" w:val="clear"/>
            <w:tcMar>
              <w:top w:type="dxa" w:w="60"/>
              <w:left w:type="dxa" w:w="100"/>
              <w:bottom w:type="dxa" w:w="60"/>
              <w:right w:type="dxa" w:w="100"/>
            </w:tcMar>
          </w:tcPr>
          <w:p>
            <w:r>
              <w:rPr>
                <w:b/>
                <w:bCs/>
                <w:color w:val="FFFFFF"/>
                <w:sz w:val="19"/>
                <w:szCs w:val="19"/>
              </w:rPr>
              <w:t xml:space="preserve">Productos</w:t>
            </w:r>
          </w:p>
        </w:tc>
        <w:tc>
          <w:tcPr>
            <w:tcW w:type="dxa" w:w="9800"/>
            <w:shd w:fill="1F3864" w:color="auto" w:val="clear"/>
            <w:tcMar>
              <w:top w:type="dxa" w:w="60"/>
              <w:left w:type="dxa" w:w="100"/>
              <w:bottom w:type="dxa" w:w="60"/>
              <w:right w:type="dxa" w:w="100"/>
            </w:tcMar>
          </w:tcPr>
          <w:p>
            <w:r>
              <w:rPr>
                <w:b/>
                <w:bCs/>
                <w:color w:val="FFFFFF"/>
                <w:sz w:val="19"/>
                <w:szCs w:val="19"/>
              </w:rPr>
              <w:t xml:space="preserve">Aporte principal</w:t>
            </w:r>
          </w:p>
        </w:tc>
      </w:tr>
      <w:tr>
        <w:tc>
          <w:tcPr>
            <w:tcW w:type="dxa" w:w="3200"/>
            <w:tcMar>
              <w:top w:type="dxa" w:w="60"/>
              <w:left w:type="dxa" w:w="100"/>
              <w:bottom w:type="dxa" w:w="60"/>
              <w:right w:type="dxa" w:w="100"/>
            </w:tcMar>
          </w:tcPr>
          <w:p>
            <w:r>
              <w:rPr>
                <w:b/>
                <w:bCs/>
                <w:sz w:val="19"/>
                <w:szCs w:val="19"/>
              </w:rPr>
              <w:t xml:space="preserve">1. Infraestructura</w:t>
            </w:r>
          </w:p>
        </w:tc>
        <w:tc>
          <w:tcPr>
            <w:tcW w:type="dxa" w:w="1400"/>
            <w:tcMar>
              <w:top w:type="dxa" w:w="60"/>
              <w:left w:type="dxa" w:w="100"/>
              <w:bottom w:type="dxa" w:w="60"/>
              <w:right w:type="dxa" w:w="100"/>
            </w:tcMar>
          </w:tcPr>
          <w:p>
            <w:r>
              <w:rPr>
                <w:b w:val="false"/>
                <w:bCs w:val="false"/>
                <w:sz w:val="19"/>
                <w:szCs w:val="19"/>
              </w:rPr>
              <w:t xml:space="preserve">4</w:t>
            </w:r>
          </w:p>
        </w:tc>
        <w:tc>
          <w:tcPr>
            <w:tcW w:type="dxa" w:w="9800"/>
            <w:tcMar>
              <w:top w:type="dxa" w:w="60"/>
              <w:left w:type="dxa" w:w="100"/>
              <w:bottom w:type="dxa" w:w="60"/>
              <w:right w:type="dxa" w:w="100"/>
            </w:tcMar>
          </w:tcPr>
          <w:p>
            <w:r>
              <w:rPr>
                <w:b w:val="false"/>
                <w:bCs w:val="false"/>
                <w:sz w:val="19"/>
                <w:szCs w:val="19"/>
              </w:rPr>
              <w:t xml:space="preserve">Conectividad de sedes, WAN y red local sobre la que operan Microsoft 365 y Azure.</w:t>
            </w:r>
          </w:p>
        </w:tc>
      </w:tr>
      <w:tr>
        <w:tc>
          <w:tcPr>
            <w:tcW w:type="dxa" w:w="3200"/>
            <w:shd w:fill="F2F5FA" w:color="auto" w:val="clear"/>
            <w:tcMar>
              <w:top w:type="dxa" w:w="60"/>
              <w:left w:type="dxa" w:w="100"/>
              <w:bottom w:type="dxa" w:w="60"/>
              <w:right w:type="dxa" w:w="100"/>
            </w:tcMar>
          </w:tcPr>
          <w:p>
            <w:r>
              <w:rPr>
                <w:b/>
                <w:bCs/>
                <w:sz w:val="19"/>
                <w:szCs w:val="19"/>
              </w:rPr>
              <w:t xml:space="preserve">2. Seguridad</w:t>
            </w:r>
          </w:p>
        </w:tc>
        <w:tc>
          <w:tcPr>
            <w:tcW w:type="dxa" w:w="1400"/>
            <w:shd w:fill="F2F5FA" w:color="auto" w:val="clear"/>
            <w:tcMar>
              <w:top w:type="dxa" w:w="60"/>
              <w:left w:type="dxa" w:w="100"/>
              <w:bottom w:type="dxa" w:w="60"/>
              <w:right w:type="dxa" w:w="100"/>
            </w:tcMar>
          </w:tcPr>
          <w:p>
            <w:r>
              <w:rPr>
                <w:b w:val="false"/>
                <w:bCs w:val="false"/>
                <w:sz w:val="19"/>
                <w:szCs w:val="19"/>
              </w:rPr>
              <w:t xml:space="preserve">5</w:t>
            </w:r>
          </w:p>
        </w:tc>
        <w:tc>
          <w:tcPr>
            <w:tcW w:type="dxa" w:w="9800"/>
            <w:shd w:fill="F2F5FA" w:color="auto" w:val="clear"/>
            <w:tcMar>
              <w:top w:type="dxa" w:w="60"/>
              <w:left w:type="dxa" w:w="100"/>
              <w:bottom w:type="dxa" w:w="60"/>
              <w:right w:type="dxa" w:w="100"/>
            </w:tcMar>
          </w:tcPr>
          <w:p>
            <w:r>
              <w:rPr>
                <w:b w:val="false"/>
                <w:bCs w:val="false"/>
                <w:sz w:val="19"/>
                <w:szCs w:val="19"/>
              </w:rPr>
              <w:t xml:space="preserve">Controles de red y telemetría que refuerzan el stack de seguridad Microsoft sin duplicar consola.</w:t>
            </w:r>
          </w:p>
        </w:tc>
      </w:tr>
      <w:tr>
        <w:tc>
          <w:tcPr>
            <w:tcW w:type="dxa" w:w="3200"/>
            <w:tcMar>
              <w:top w:type="dxa" w:w="60"/>
              <w:left w:type="dxa" w:w="100"/>
              <w:bottom w:type="dxa" w:w="60"/>
              <w:right w:type="dxa" w:w="100"/>
            </w:tcMar>
          </w:tcPr>
          <w:p>
            <w:r>
              <w:rPr>
                <w:b/>
                <w:bCs/>
                <w:sz w:val="19"/>
                <w:szCs w:val="19"/>
              </w:rPr>
              <w:t xml:space="preserve">3. Colaboración</w:t>
            </w:r>
          </w:p>
        </w:tc>
        <w:tc>
          <w:tcPr>
            <w:tcW w:type="dxa" w:w="1400"/>
            <w:tcMar>
              <w:top w:type="dxa" w:w="60"/>
              <w:left w:type="dxa" w:w="100"/>
              <w:bottom w:type="dxa" w:w="60"/>
              <w:right w:type="dxa" w:w="100"/>
            </w:tcMar>
          </w:tcPr>
          <w:p>
            <w:r>
              <w:rPr>
                <w:b w:val="false"/>
                <w:bCs w:val="false"/>
                <w:sz w:val="19"/>
                <w:szCs w:val="19"/>
              </w:rPr>
              <w:t xml:space="preserve">2</w:t>
            </w:r>
          </w:p>
        </w:tc>
        <w:tc>
          <w:tcPr>
            <w:tcW w:type="dxa" w:w="9800"/>
            <w:tcMar>
              <w:top w:type="dxa" w:w="60"/>
              <w:left w:type="dxa" w:w="100"/>
              <w:bottom w:type="dxa" w:w="60"/>
              <w:right w:type="dxa" w:w="100"/>
            </w:tcMar>
          </w:tcPr>
          <w:p>
            <w:r>
              <w:rPr>
                <w:b w:val="false"/>
                <w:bCs w:val="false"/>
                <w:sz w:val="19"/>
                <w:szCs w:val="19"/>
              </w:rPr>
              <w:t xml:space="preserve">Hardware certificado para la experiencia Microsoft Teams Rooms.</w:t>
            </w:r>
          </w:p>
        </w:tc>
      </w:tr>
      <w:tr>
        <w:tc>
          <w:tcPr>
            <w:tcW w:type="dxa" w:w="3200"/>
            <w:shd w:fill="F2F5FA" w:color="auto" w:val="clear"/>
            <w:tcMar>
              <w:top w:type="dxa" w:w="60"/>
              <w:left w:type="dxa" w:w="100"/>
              <w:bottom w:type="dxa" w:w="60"/>
              <w:right w:type="dxa" w:w="100"/>
            </w:tcMar>
          </w:tcPr>
          <w:p>
            <w:r>
              <w:rPr>
                <w:b/>
                <w:bCs/>
                <w:sz w:val="19"/>
                <w:szCs w:val="19"/>
              </w:rPr>
              <w:t xml:space="preserve">4. Data y Analítica</w:t>
            </w:r>
          </w:p>
        </w:tc>
        <w:tc>
          <w:tcPr>
            <w:tcW w:type="dxa" w:w="1400"/>
            <w:shd w:fill="F2F5FA" w:color="auto" w:val="clear"/>
            <w:tcMar>
              <w:top w:type="dxa" w:w="60"/>
              <w:left w:type="dxa" w:w="100"/>
              <w:bottom w:type="dxa" w:w="60"/>
              <w:right w:type="dxa" w:w="100"/>
            </w:tcMar>
          </w:tcPr>
          <w:p>
            <w:r>
              <w:rPr>
                <w:b w:val="false"/>
                <w:bCs w:val="false"/>
                <w:sz w:val="19"/>
                <w:szCs w:val="19"/>
              </w:rPr>
              <w:t xml:space="preserve">2</w:t>
            </w:r>
          </w:p>
        </w:tc>
        <w:tc>
          <w:tcPr>
            <w:tcW w:type="dxa" w:w="9800"/>
            <w:shd w:fill="F2F5FA" w:color="auto" w:val="clear"/>
            <w:tcMar>
              <w:top w:type="dxa" w:w="60"/>
              <w:left w:type="dxa" w:w="100"/>
              <w:bottom w:type="dxa" w:w="60"/>
              <w:right w:type="dxa" w:w="100"/>
            </w:tcMar>
          </w:tcPr>
          <w:p>
            <w:r>
              <w:rPr>
                <w:b w:val="false"/>
                <w:bCs w:val="false"/>
                <w:sz w:val="19"/>
                <w:szCs w:val="19"/>
              </w:rPr>
              <w:t xml:space="preserve">Fuentes de datos físicos y operativos que enriquecen la analítica de Power BI y Fabric.</w:t>
            </w:r>
          </w:p>
        </w:tc>
      </w:tr>
      <w:tr>
        <w:tc>
          <w:tcPr>
            <w:tcW w:type="dxa" w:w="3200"/>
            <w:tcMar>
              <w:top w:type="dxa" w:w="60"/>
              <w:left w:type="dxa" w:w="100"/>
              <w:bottom w:type="dxa" w:w="60"/>
              <w:right w:type="dxa" w:w="100"/>
            </w:tcMar>
          </w:tcPr>
          <w:p>
            <w:r>
              <w:rPr>
                <w:b/>
                <w:bCs/>
                <w:sz w:val="19"/>
                <w:szCs w:val="19"/>
              </w:rPr>
              <w:t xml:space="preserve">5. Servicios Empresariales</w:t>
            </w:r>
          </w:p>
        </w:tc>
        <w:tc>
          <w:tcPr>
            <w:tcW w:type="dxa" w:w="1400"/>
            <w:tcMar>
              <w:top w:type="dxa" w:w="60"/>
              <w:left w:type="dxa" w:w="100"/>
              <w:bottom w:type="dxa" w:w="60"/>
              <w:right w:type="dxa" w:w="100"/>
            </w:tcMar>
          </w:tcPr>
          <w:p>
            <w:r>
              <w:rPr>
                <w:b w:val="false"/>
                <w:bCs w:val="false"/>
                <w:sz w:val="19"/>
                <w:szCs w:val="19"/>
              </w:rPr>
              <w:t xml:space="preserve">2</w:t>
            </w:r>
          </w:p>
        </w:tc>
        <w:tc>
          <w:tcPr>
            <w:tcW w:type="dxa" w:w="9800"/>
            <w:tcMar>
              <w:top w:type="dxa" w:w="60"/>
              <w:left w:type="dxa" w:w="100"/>
              <w:bottom w:type="dxa" w:w="60"/>
              <w:right w:type="dxa" w:w="100"/>
            </w:tcMar>
          </w:tcPr>
          <w:p>
            <w:r>
              <w:rPr>
                <w:b w:val="false"/>
                <w:bCs w:val="false"/>
                <w:sz w:val="19"/>
                <w:szCs w:val="19"/>
              </w:rPr>
              <w:t xml:space="preserve">Conectividad y acceso seguro para las aplicaciones de negocio en Dynamics 365.</w:t>
            </w:r>
          </w:p>
        </w:tc>
      </w:tr>
      <w:tr>
        <w:tc>
          <w:tcPr>
            <w:tcW w:type="dxa" w:w="3200"/>
            <w:shd w:fill="F2F5FA" w:color="auto" w:val="clear"/>
            <w:tcMar>
              <w:top w:type="dxa" w:w="60"/>
              <w:left w:type="dxa" w:w="100"/>
              <w:bottom w:type="dxa" w:w="60"/>
              <w:right w:type="dxa" w:w="100"/>
            </w:tcMar>
          </w:tcPr>
          <w:p>
            <w:r>
              <w:rPr>
                <w:b/>
                <w:bCs/>
                <w:sz w:val="19"/>
                <w:szCs w:val="19"/>
              </w:rPr>
              <w:t xml:space="preserve">6. Automatización</w:t>
            </w:r>
          </w:p>
        </w:tc>
        <w:tc>
          <w:tcPr>
            <w:tcW w:type="dxa" w:w="1400"/>
            <w:shd w:fill="F2F5FA" w:color="auto" w:val="clear"/>
            <w:tcMar>
              <w:top w:type="dxa" w:w="60"/>
              <w:left w:type="dxa" w:w="100"/>
              <w:bottom w:type="dxa" w:w="60"/>
              <w:right w:type="dxa" w:w="100"/>
            </w:tcMar>
          </w:tcPr>
          <w:p>
            <w:r>
              <w:rPr>
                <w:b w:val="false"/>
                <w:bCs w:val="false"/>
                <w:sz w:val="19"/>
                <w:szCs w:val="19"/>
              </w:rPr>
              <w:t xml:space="preserve">1</w:t>
            </w:r>
          </w:p>
        </w:tc>
        <w:tc>
          <w:tcPr>
            <w:tcW w:type="dxa" w:w="9800"/>
            <w:shd w:fill="F2F5FA" w:color="auto" w:val="clear"/>
            <w:tcMar>
              <w:top w:type="dxa" w:w="60"/>
              <w:left w:type="dxa" w:w="100"/>
              <w:bottom w:type="dxa" w:w="60"/>
              <w:right w:type="dxa" w:w="100"/>
            </w:tcMar>
          </w:tcPr>
          <w:p>
            <w:r>
              <w:rPr>
                <w:b w:val="false"/>
                <w:bCs w:val="false"/>
                <w:sz w:val="19"/>
                <w:szCs w:val="19"/>
              </w:rPr>
              <w:t xml:space="preserve">Eventos y acciones de red que se orquestan desde Power Platform.</w:t>
            </w:r>
          </w:p>
        </w:tc>
      </w:tr>
      <w:tr>
        <w:tc>
          <w:tcPr>
            <w:tcW w:type="dxa" w:w="3200"/>
            <w:tcMar>
              <w:top w:type="dxa" w:w="60"/>
              <w:left w:type="dxa" w:w="100"/>
              <w:bottom w:type="dxa" w:w="60"/>
              <w:right w:type="dxa" w:w="100"/>
            </w:tcMar>
          </w:tcPr>
          <w:p>
            <w:r>
              <w:rPr>
                <w:b/>
                <w:bCs/>
                <w:sz w:val="19"/>
                <w:szCs w:val="19"/>
              </w:rPr>
              <w:t xml:space="preserve">7. Inteligencia Artificial</w:t>
            </w:r>
          </w:p>
        </w:tc>
        <w:tc>
          <w:tcPr>
            <w:tcW w:type="dxa" w:w="1400"/>
            <w:tcMar>
              <w:top w:type="dxa" w:w="60"/>
              <w:left w:type="dxa" w:w="100"/>
              <w:bottom w:type="dxa" w:w="60"/>
              <w:right w:type="dxa" w:w="100"/>
            </w:tcMar>
          </w:tcPr>
          <w:p>
            <w:r>
              <w:rPr>
                <w:b w:val="false"/>
                <w:bCs w:val="false"/>
                <w:sz w:val="19"/>
                <w:szCs w:val="19"/>
              </w:rPr>
              <w:t xml:space="preserve">3</w:t>
            </w:r>
          </w:p>
        </w:tc>
        <w:tc>
          <w:tcPr>
            <w:tcW w:type="dxa" w:w="9800"/>
            <w:tcMar>
              <w:top w:type="dxa" w:w="60"/>
              <w:left w:type="dxa" w:w="100"/>
              <w:bottom w:type="dxa" w:w="60"/>
              <w:right w:type="dxa" w:w="100"/>
            </w:tcMar>
          </w:tcPr>
          <w:p>
            <w:r>
              <w:rPr>
                <w:b w:val="false"/>
                <w:bCs w:val="false"/>
                <w:sz w:val="19"/>
                <w:szCs w:val="19"/>
              </w:rPr>
              <w:t xml:space="preserve">Seguridad especializada del ciclo de vida de modelos y agentes de IA.</w:t>
            </w:r>
          </w:p>
        </w:tc>
      </w:tr>
      <w:tr>
        <w:tc>
          <w:tcPr>
            <w:tcW w:type="dxa" w:w="3200"/>
            <w:shd w:fill="F2F5FA" w:color="auto" w:val="clear"/>
            <w:tcMar>
              <w:top w:type="dxa" w:w="60"/>
              <w:left w:type="dxa" w:w="100"/>
              <w:bottom w:type="dxa" w:w="60"/>
              <w:right w:type="dxa" w:w="100"/>
            </w:tcMar>
          </w:tcPr>
          <w:p>
            <w:r>
              <w:rPr>
                <w:b/>
                <w:bCs/>
                <w:sz w:val="19"/>
                <w:szCs w:val="19"/>
              </w:rPr>
              <w:t xml:space="preserve">Total</w:t>
            </w:r>
          </w:p>
        </w:tc>
        <w:tc>
          <w:tcPr>
            <w:tcW w:type="dxa" w:w="1400"/>
            <w:shd w:fill="F2F5FA" w:color="auto" w:val="clear"/>
            <w:tcMar>
              <w:top w:type="dxa" w:w="60"/>
              <w:left w:type="dxa" w:w="100"/>
              <w:bottom w:type="dxa" w:w="60"/>
              <w:right w:type="dxa" w:w="100"/>
            </w:tcMar>
          </w:tcPr>
          <w:p>
            <w:r>
              <w:rPr>
                <w:b w:val="false"/>
                <w:bCs w:val="false"/>
                <w:sz w:val="19"/>
                <w:szCs w:val="19"/>
              </w:rPr>
              <w:t xml:space="preserve">19</w:t>
            </w:r>
          </w:p>
        </w:tc>
        <w:tc>
          <w:tcPr>
            <w:tcW w:type="dxa" w:w="9800"/>
            <w:shd w:fill="F2F5FA" w:color="auto" w:val="clear"/>
            <w:tcMar>
              <w:top w:type="dxa" w:w="60"/>
              <w:left w:type="dxa" w:w="100"/>
              <w:bottom w:type="dxa" w:w="60"/>
              <w:right w:type="dxa" w:w="100"/>
            </w:tcMar>
          </w:tcPr>
          <w:p>
            <w:r>
              <w:rPr>
                <w:b w:val="false"/>
                <w:bCs w:val="false"/>
                <w:sz w:val="19"/>
                <w:szCs w:val="19"/>
              </w:rPr>
              <w:t xml:space="preserve">Entradas de producto Cisco sin colisión relevante con la plataforma Microsoft (algunos productos aparecen en más de un área).</w:t>
            </w:r>
          </w:p>
        </w:tc>
      </w:tr>
    </w:tbl>
    <w:p>
      <w:pPr>
        <w:pStyle w:val="Heading1"/>
        <w:pageBreakBefore/>
        <w:spacing w:after="80" w:before="240"/>
      </w:pPr>
      <w:r>
        <w:t xml:space="preserve">B. Matriz de valor por área de práctica</w:t>
      </w:r>
    </w:p>
    <w:p>
      <w:pPr>
        <w:pStyle w:val="Heading2"/>
        <w:keepNext/>
        <w:spacing w:after="60" w:before="200"/>
      </w:pPr>
      <w:r>
        <w:t xml:space="preserve">1. Infraestructura</w:t>
      </w:r>
    </w:p>
    <w:p>
      <w:pPr>
        <w:spacing w:after="120"/>
      </w:pPr>
      <w:r>
        <w:rPr>
          <w:i/>
          <w:iCs/>
          <w:color w:val="555555"/>
          <w:sz w:val="19"/>
          <w:szCs w:val="19"/>
        </w:rPr>
        <w:t xml:space="preserve">Conectividad de sedes, WAN y red local sobre la que operan Microsoft 365 y Azure.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00"/>
        <w:gridCol w:w="2400"/>
        <w:gridCol w:w="52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Producto Cisco</w:t>
            </w:r>
          </w:p>
        </w:tc>
        <w:tc>
          <w:tcPr>
            <w:tcW w:type="dxa" w:w="2100"/>
            <w:shd w:fill="1F3864" w:color="auto" w:val="clear"/>
            <w:tcMar>
              <w:top w:type="dxa" w:w="60"/>
              <w:left w:type="dxa" w:w="100"/>
              <w:bottom w:type="dxa" w:w="60"/>
              <w:right w:type="dxa" w:w="100"/>
            </w:tcMar>
          </w:tcPr>
          <w:p>
            <w:r>
              <w:rPr>
                <w:b/>
                <w:bCs/>
                <w:color w:val="FFFFFF"/>
                <w:sz w:val="19"/>
                <w:szCs w:val="19"/>
              </w:rPr>
              <w:t xml:space="preserve">Servicio de origen (Modelo)</w:t>
            </w:r>
          </w:p>
        </w:tc>
        <w:tc>
          <w:tcPr>
            <w:tcW w:type="dxa" w:w="2200"/>
            <w:shd w:fill="1F3864" w:color="auto" w:val="clear"/>
            <w:tcMar>
              <w:top w:type="dxa" w:w="60"/>
              <w:left w:type="dxa" w:w="100"/>
              <w:bottom w:type="dxa" w:w="60"/>
              <w:right w:type="dxa" w:w="100"/>
            </w:tcMar>
          </w:tcPr>
          <w:p>
            <w:r>
              <w:rPr>
                <w:b/>
                <w:bCs/>
                <w:color w:val="FFFFFF"/>
                <w:sz w:val="19"/>
                <w:szCs w:val="19"/>
              </w:rPr>
              <w:t xml:space="preserve">Capa / función</w:t>
            </w:r>
          </w:p>
        </w:tc>
        <w:tc>
          <w:tcPr>
            <w:tcW w:type="dxa" w:w="2400"/>
            <w:shd w:fill="1F3864" w:color="auto" w:val="clear"/>
            <w:tcMar>
              <w:top w:type="dxa" w:w="60"/>
              <w:left w:type="dxa" w:w="100"/>
              <w:bottom w:type="dxa" w:w="60"/>
              <w:right w:type="dxa" w:w="100"/>
            </w:tcMar>
          </w:tcPr>
          <w:p>
            <w:r>
              <w:rPr>
                <w:b/>
                <w:bCs/>
                <w:color w:val="FFFFFF"/>
                <w:sz w:val="19"/>
                <w:szCs w:val="19"/>
              </w:rPr>
              <w:t xml:space="preserve">Producto Microsoft asociado</w:t>
            </w:r>
          </w:p>
        </w:tc>
        <w:tc>
          <w:tcPr>
            <w:tcW w:type="dxa" w:w="5200"/>
            <w:shd w:fill="1F3864" w:color="auto" w:val="clear"/>
            <w:tcMar>
              <w:top w:type="dxa" w:w="60"/>
              <w:left w:type="dxa" w:w="100"/>
              <w:bottom w:type="dxa" w:w="60"/>
              <w:right w:type="dxa" w:w="100"/>
            </w:tcMar>
          </w:tcPr>
          <w:p>
            <w:r>
              <w:rPr>
                <w:b/>
                <w:bCs/>
                <w:color w:val="FFFFFF"/>
                <w:sz w:val="19"/>
                <w:szCs w:val="19"/>
              </w:rPr>
              <w:t xml:space="preserve">Cómo agrega valor</w:t>
            </w:r>
          </w:p>
        </w:tc>
      </w:tr>
      <w:tr>
        <w:tc>
          <w:tcPr>
            <w:tcW w:type="dxa" w:w="2500"/>
            <w:tcMar>
              <w:top w:type="dxa" w:w="60"/>
              <w:left w:type="dxa" w:w="100"/>
              <w:bottom w:type="dxa" w:w="60"/>
              <w:right w:type="dxa" w:w="100"/>
            </w:tcMar>
          </w:tcPr>
          <w:p>
            <w:r>
              <w:rPr>
                <w:b/>
                <w:bCs/>
                <w:sz w:val="19"/>
                <w:szCs w:val="19"/>
              </w:rPr>
              <w:t xml:space="preserve">Meraki MX Security &amp; SD-WAN</w:t>
            </w:r>
          </w:p>
        </w:tc>
        <w:tc>
          <w:tcPr>
            <w:tcW w:type="dxa" w:w="2100"/>
            <w:tcMar>
              <w:top w:type="dxa" w:w="60"/>
              <w:left w:type="dxa" w:w="100"/>
              <w:bottom w:type="dxa" w:w="60"/>
              <w:right w:type="dxa" w:w="100"/>
            </w:tcMar>
          </w:tcPr>
          <w:p>
            <w:r>
              <w:rPr>
                <w:b w:val="false"/>
                <w:bCs w:val="false"/>
                <w:sz w:val="19"/>
                <w:szCs w:val="19"/>
              </w:rPr>
              <w:t xml:space="preserve">S3. Meraki Cloud Managed; S5. SD-WAN Seguro</w:t>
            </w:r>
          </w:p>
        </w:tc>
        <w:tc>
          <w:tcPr>
            <w:tcW w:type="dxa" w:w="2200"/>
            <w:tcMar>
              <w:top w:type="dxa" w:w="60"/>
              <w:left w:type="dxa" w:w="100"/>
              <w:bottom w:type="dxa" w:w="60"/>
              <w:right w:type="dxa" w:w="100"/>
            </w:tcMar>
          </w:tcPr>
          <w:p>
            <w:r>
              <w:rPr>
                <w:b w:val="false"/>
                <w:bCs w:val="false"/>
                <w:sz w:val="19"/>
                <w:szCs w:val="19"/>
              </w:rPr>
              <w:t xml:space="preserve">Seguridad perimetral y SD-WAN de sucursal</w:t>
            </w:r>
          </w:p>
        </w:tc>
        <w:tc>
          <w:tcPr>
            <w:tcW w:type="dxa" w:w="2400"/>
            <w:tcMar>
              <w:top w:type="dxa" w:w="60"/>
              <w:left w:type="dxa" w:w="100"/>
              <w:bottom w:type="dxa" w:w="60"/>
              <w:right w:type="dxa" w:w="100"/>
            </w:tcMar>
          </w:tcPr>
          <w:p>
            <w:r>
              <w:rPr>
                <w:b w:val="false"/>
                <w:bCs w:val="false"/>
                <w:sz w:val="19"/>
                <w:szCs w:val="19"/>
              </w:rPr>
              <w:t xml:space="preserve">Azure Virtual WAN / Microsoft 365</w:t>
            </w:r>
          </w:p>
        </w:tc>
        <w:tc>
          <w:tcPr>
            <w:tcW w:type="dxa" w:w="5200"/>
            <w:tcMar>
              <w:top w:type="dxa" w:w="60"/>
              <w:left w:type="dxa" w:w="100"/>
              <w:bottom w:type="dxa" w:w="60"/>
              <w:right w:type="dxa" w:w="100"/>
            </w:tcMar>
          </w:tcPr>
          <w:p>
            <w:r>
              <w:rPr>
                <w:b w:val="false"/>
                <w:bCs w:val="false"/>
                <w:sz w:val="19"/>
                <w:szCs w:val="19"/>
              </w:rPr>
              <w:t xml:space="preserve">Conecta sucursales a Azure Virtual WAN con gestión en la nube y prioriza el tráfico de Microsoft 365 y Teams. Microsoft no tiene un equipo de borde para sedes, así que no hay superposición.</w:t>
            </w:r>
          </w:p>
        </w:tc>
      </w:tr>
      <w:tr>
        <w:tc>
          <w:tcPr>
            <w:tcW w:type="dxa" w:w="2500"/>
            <w:shd w:fill="F2F5FA" w:color="auto" w:val="clear"/>
            <w:tcMar>
              <w:top w:type="dxa" w:w="60"/>
              <w:left w:type="dxa" w:w="100"/>
              <w:bottom w:type="dxa" w:w="60"/>
              <w:right w:type="dxa" w:w="100"/>
            </w:tcMar>
          </w:tcPr>
          <w:p>
            <w:r>
              <w:rPr>
                <w:b/>
                <w:bCs/>
                <w:sz w:val="19"/>
                <w:szCs w:val="19"/>
              </w:rPr>
              <w:t xml:space="preserve">Cisco SD-WAN (Catalyst) para DC/HQ e IaaS</w:t>
            </w:r>
          </w:p>
        </w:tc>
        <w:tc>
          <w:tcPr>
            <w:tcW w:type="dxa" w:w="2100"/>
            <w:shd w:fill="F2F5FA" w:color="auto" w:val="clear"/>
            <w:tcMar>
              <w:top w:type="dxa" w:w="60"/>
              <w:left w:type="dxa" w:w="100"/>
              <w:bottom w:type="dxa" w:w="60"/>
              <w:right w:type="dxa" w:w="100"/>
            </w:tcMar>
          </w:tcPr>
          <w:p>
            <w:r>
              <w:rPr>
                <w:b w:val="false"/>
                <w:bCs w:val="false"/>
                <w:sz w:val="19"/>
                <w:szCs w:val="19"/>
              </w:rPr>
              <w:t xml:space="preserve">S5. SD-WAN Seguro</w:t>
            </w:r>
          </w:p>
        </w:tc>
        <w:tc>
          <w:tcPr>
            <w:tcW w:type="dxa" w:w="2200"/>
            <w:shd w:fill="F2F5FA" w:color="auto" w:val="clear"/>
            <w:tcMar>
              <w:top w:type="dxa" w:w="60"/>
              <w:left w:type="dxa" w:w="100"/>
              <w:bottom w:type="dxa" w:w="60"/>
              <w:right w:type="dxa" w:w="100"/>
            </w:tcMar>
          </w:tcPr>
          <w:p>
            <w:r>
              <w:rPr>
                <w:b w:val="false"/>
                <w:bCs w:val="false"/>
                <w:sz w:val="19"/>
                <w:szCs w:val="19"/>
              </w:rPr>
              <w:t xml:space="preserve">Overlay WAN entre centro de datos, sedes y nube</w:t>
            </w:r>
          </w:p>
        </w:tc>
        <w:tc>
          <w:tcPr>
            <w:tcW w:type="dxa" w:w="2400"/>
            <w:shd w:fill="F2F5FA" w:color="auto" w:val="clear"/>
            <w:tcMar>
              <w:top w:type="dxa" w:w="60"/>
              <w:left w:type="dxa" w:w="100"/>
              <w:bottom w:type="dxa" w:w="60"/>
              <w:right w:type="dxa" w:w="100"/>
            </w:tcMar>
          </w:tcPr>
          <w:p>
            <w:r>
              <w:rPr>
                <w:b w:val="false"/>
                <w:bCs w:val="false"/>
                <w:sz w:val="19"/>
                <w:szCs w:val="19"/>
              </w:rPr>
              <w:t xml:space="preserve">Azure Virtual WAN / ExpressRoute</w:t>
            </w:r>
          </w:p>
        </w:tc>
        <w:tc>
          <w:tcPr>
            <w:tcW w:type="dxa" w:w="5200"/>
            <w:shd w:fill="F2F5FA" w:color="auto" w:val="clear"/>
            <w:tcMar>
              <w:top w:type="dxa" w:w="60"/>
              <w:left w:type="dxa" w:w="100"/>
              <w:bottom w:type="dxa" w:w="60"/>
              <w:right w:type="dxa" w:w="100"/>
            </w:tcMar>
          </w:tcPr>
          <w:p>
            <w:r>
              <w:rPr>
                <w:b w:val="false"/>
                <w:bCs w:val="false"/>
                <w:sz w:val="19"/>
                <w:szCs w:val="19"/>
              </w:rPr>
              <w:t xml:space="preserve">Extiende las políticas por aplicación hasta Azure IaaS, con failover y visibilidad del desempeño. Azure aporta el destino cloud y Cisco el transporte.</w:t>
            </w:r>
          </w:p>
        </w:tc>
      </w:tr>
      <w:tr>
        <w:tc>
          <w:tcPr>
            <w:tcW w:type="dxa" w:w="2500"/>
            <w:tcMar>
              <w:top w:type="dxa" w:w="60"/>
              <w:left w:type="dxa" w:w="100"/>
              <w:bottom w:type="dxa" w:w="60"/>
              <w:right w:type="dxa" w:w="100"/>
            </w:tcMar>
          </w:tcPr>
          <w:p>
            <w:r>
              <w:rPr>
                <w:b/>
                <w:bCs/>
                <w:sz w:val="19"/>
                <w:szCs w:val="19"/>
              </w:rPr>
              <w:t xml:space="preserve">Meraki MS (switching) y MR (wireless)</w:t>
            </w:r>
          </w:p>
        </w:tc>
        <w:tc>
          <w:tcPr>
            <w:tcW w:type="dxa" w:w="2100"/>
            <w:tcMar>
              <w:top w:type="dxa" w:w="60"/>
              <w:left w:type="dxa" w:w="100"/>
              <w:bottom w:type="dxa" w:w="60"/>
              <w:right w:type="dxa" w:w="100"/>
            </w:tcMar>
          </w:tcPr>
          <w:p>
            <w:r>
              <w:rPr>
                <w:b w:val="false"/>
                <w:bCs w:val="false"/>
                <w:sz w:val="19"/>
                <w:szCs w:val="19"/>
              </w:rPr>
              <w:t xml:space="preserve">S3. Meraki Cloud Managed</w:t>
            </w:r>
          </w:p>
        </w:tc>
        <w:tc>
          <w:tcPr>
            <w:tcW w:type="dxa" w:w="2200"/>
            <w:tcMar>
              <w:top w:type="dxa" w:w="60"/>
              <w:left w:type="dxa" w:w="100"/>
              <w:bottom w:type="dxa" w:w="60"/>
              <w:right w:type="dxa" w:w="100"/>
            </w:tcMar>
          </w:tcPr>
          <w:p>
            <w:r>
              <w:rPr>
                <w:b w:val="false"/>
                <w:bCs w:val="false"/>
                <w:sz w:val="19"/>
                <w:szCs w:val="19"/>
              </w:rPr>
              <w:t xml:space="preserve">Red LAN/WLAN gestionada en la nube</w:t>
            </w:r>
          </w:p>
        </w:tc>
        <w:tc>
          <w:tcPr>
            <w:tcW w:type="dxa" w:w="2400"/>
            <w:tcMar>
              <w:top w:type="dxa" w:w="60"/>
              <w:left w:type="dxa" w:w="100"/>
              <w:bottom w:type="dxa" w:w="60"/>
              <w:right w:type="dxa" w:w="100"/>
            </w:tcMar>
          </w:tcPr>
          <w:p>
            <w:r>
              <w:rPr>
                <w:b w:val="false"/>
                <w:bCs w:val="false"/>
                <w:sz w:val="19"/>
                <w:szCs w:val="19"/>
              </w:rPr>
              <w:t xml:space="preserve">Microsoft Teams / Microsoft 365</w:t>
            </w:r>
          </w:p>
        </w:tc>
        <w:tc>
          <w:tcPr>
            <w:tcW w:type="dxa" w:w="5200"/>
            <w:tcMar>
              <w:top w:type="dxa" w:w="60"/>
              <w:left w:type="dxa" w:w="100"/>
              <w:bottom w:type="dxa" w:w="60"/>
              <w:right w:type="dxa" w:w="100"/>
            </w:tcMar>
          </w:tcPr>
          <w:p>
            <w:r>
              <w:rPr>
                <w:b w:val="false"/>
                <w:bCs w:val="false"/>
                <w:sz w:val="19"/>
                <w:szCs w:val="19"/>
              </w:rPr>
              <w:t xml:space="preserve">Da la red física y Wi-Fi con QoS para voz y video de Teams. Es una capa que Microsoft no ofrece.</w:t>
            </w:r>
          </w:p>
        </w:tc>
      </w:tr>
      <w:tr>
        <w:tc>
          <w:tcPr>
            <w:tcW w:type="dxa" w:w="2500"/>
            <w:shd w:fill="F2F5FA" w:color="auto" w:val="clear"/>
            <w:tcMar>
              <w:top w:type="dxa" w:w="60"/>
              <w:left w:type="dxa" w:w="100"/>
              <w:bottom w:type="dxa" w:w="60"/>
              <w:right w:type="dxa" w:w="100"/>
            </w:tcMar>
          </w:tcPr>
          <w:p>
            <w:r>
              <w:rPr>
                <w:b/>
                <w:bCs/>
                <w:sz w:val="19"/>
                <w:szCs w:val="19"/>
              </w:rPr>
              <w:t xml:space="preserve">Meraki MG (cellular gateways)</w:t>
            </w:r>
          </w:p>
        </w:tc>
        <w:tc>
          <w:tcPr>
            <w:tcW w:type="dxa" w:w="2100"/>
            <w:shd w:fill="F2F5FA" w:color="auto" w:val="clear"/>
            <w:tcMar>
              <w:top w:type="dxa" w:w="60"/>
              <w:left w:type="dxa" w:w="100"/>
              <w:bottom w:type="dxa" w:w="60"/>
              <w:right w:type="dxa" w:w="100"/>
            </w:tcMar>
          </w:tcPr>
          <w:p>
            <w:r>
              <w:rPr>
                <w:b w:val="false"/>
                <w:bCs w:val="false"/>
                <w:sz w:val="19"/>
                <w:szCs w:val="19"/>
              </w:rPr>
              <w:t xml:space="preserve">S3. Meraki Cloud Managed</w:t>
            </w:r>
          </w:p>
        </w:tc>
        <w:tc>
          <w:tcPr>
            <w:tcW w:type="dxa" w:w="2200"/>
            <w:shd w:fill="F2F5FA" w:color="auto" w:val="clear"/>
            <w:tcMar>
              <w:top w:type="dxa" w:w="60"/>
              <w:left w:type="dxa" w:w="100"/>
              <w:bottom w:type="dxa" w:w="60"/>
              <w:right w:type="dxa" w:w="100"/>
            </w:tcMar>
          </w:tcPr>
          <w:p>
            <w:r>
              <w:rPr>
                <w:b w:val="false"/>
                <w:bCs w:val="false"/>
                <w:sz w:val="19"/>
                <w:szCs w:val="19"/>
              </w:rPr>
              <w:t xml:space="preserve">Enlace celular 4G/5G de respaldo</w:t>
            </w:r>
          </w:p>
        </w:tc>
        <w:tc>
          <w:tcPr>
            <w:tcW w:type="dxa" w:w="2400"/>
            <w:shd w:fill="F2F5FA" w:color="auto" w:val="clear"/>
            <w:tcMar>
              <w:top w:type="dxa" w:w="60"/>
              <w:left w:type="dxa" w:w="100"/>
              <w:bottom w:type="dxa" w:w="60"/>
              <w:right w:type="dxa" w:w="100"/>
            </w:tcMar>
          </w:tcPr>
          <w:p>
            <w:r>
              <w:rPr>
                <w:b w:val="false"/>
                <w:bCs w:val="false"/>
                <w:sz w:val="19"/>
                <w:szCs w:val="19"/>
              </w:rPr>
              <w:t xml:space="preserve">Microsoft 365 / Azure</w:t>
            </w:r>
          </w:p>
        </w:tc>
        <w:tc>
          <w:tcPr>
            <w:tcW w:type="dxa" w:w="5200"/>
            <w:shd w:fill="F2F5FA" w:color="auto" w:val="clear"/>
            <w:tcMar>
              <w:top w:type="dxa" w:w="60"/>
              <w:left w:type="dxa" w:w="100"/>
              <w:bottom w:type="dxa" w:w="60"/>
              <w:right w:type="dxa" w:w="100"/>
            </w:tcMar>
          </w:tcPr>
          <w:p>
            <w:r>
              <w:rPr>
                <w:b w:val="false"/>
                <w:bCs w:val="false"/>
                <w:sz w:val="19"/>
                <w:szCs w:val="19"/>
              </w:rPr>
              <w:t xml:space="preserve">Mantiene el acceso a Microsoft 365 y Azure cuando falla el enlace principal de la sede.</w:t>
            </w:r>
          </w:p>
        </w:tc>
      </w:tr>
    </w:tbl>
    <w:p>
      <w:pPr>
        <w:pStyle w:val="Heading2"/>
        <w:keepNext/>
        <w:spacing w:after="60" w:before="200"/>
      </w:pPr>
      <w:r>
        <w:t xml:space="preserve">2. Seguridad</w:t>
      </w:r>
    </w:p>
    <w:p>
      <w:pPr>
        <w:spacing w:after="120"/>
      </w:pPr>
      <w:r>
        <w:rPr>
          <w:i/>
          <w:iCs/>
          <w:color w:val="555555"/>
          <w:sz w:val="19"/>
          <w:szCs w:val="19"/>
        </w:rPr>
        <w:t xml:space="preserve">Controles de red y telemetría que refuerzan el stack de seguridad Microsoft sin duplicar consola.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00"/>
        <w:gridCol w:w="2400"/>
        <w:gridCol w:w="52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Producto Cisco</w:t>
            </w:r>
          </w:p>
        </w:tc>
        <w:tc>
          <w:tcPr>
            <w:tcW w:type="dxa" w:w="2100"/>
            <w:shd w:fill="1F3864" w:color="auto" w:val="clear"/>
            <w:tcMar>
              <w:top w:type="dxa" w:w="60"/>
              <w:left w:type="dxa" w:w="100"/>
              <w:bottom w:type="dxa" w:w="60"/>
              <w:right w:type="dxa" w:w="100"/>
            </w:tcMar>
          </w:tcPr>
          <w:p>
            <w:r>
              <w:rPr>
                <w:b/>
                <w:bCs/>
                <w:color w:val="FFFFFF"/>
                <w:sz w:val="19"/>
                <w:szCs w:val="19"/>
              </w:rPr>
              <w:t xml:space="preserve">Servicio de origen (Modelo)</w:t>
            </w:r>
          </w:p>
        </w:tc>
        <w:tc>
          <w:tcPr>
            <w:tcW w:type="dxa" w:w="2200"/>
            <w:shd w:fill="1F3864" w:color="auto" w:val="clear"/>
            <w:tcMar>
              <w:top w:type="dxa" w:w="60"/>
              <w:left w:type="dxa" w:w="100"/>
              <w:bottom w:type="dxa" w:w="60"/>
              <w:right w:type="dxa" w:w="100"/>
            </w:tcMar>
          </w:tcPr>
          <w:p>
            <w:r>
              <w:rPr>
                <w:b/>
                <w:bCs/>
                <w:color w:val="FFFFFF"/>
                <w:sz w:val="19"/>
                <w:szCs w:val="19"/>
              </w:rPr>
              <w:t xml:space="preserve">Capa / función</w:t>
            </w:r>
          </w:p>
        </w:tc>
        <w:tc>
          <w:tcPr>
            <w:tcW w:type="dxa" w:w="2400"/>
            <w:shd w:fill="1F3864" w:color="auto" w:val="clear"/>
            <w:tcMar>
              <w:top w:type="dxa" w:w="60"/>
              <w:left w:type="dxa" w:w="100"/>
              <w:bottom w:type="dxa" w:w="60"/>
              <w:right w:type="dxa" w:w="100"/>
            </w:tcMar>
          </w:tcPr>
          <w:p>
            <w:r>
              <w:rPr>
                <w:b/>
                <w:bCs/>
                <w:color w:val="FFFFFF"/>
                <w:sz w:val="19"/>
                <w:szCs w:val="19"/>
              </w:rPr>
              <w:t xml:space="preserve">Producto Microsoft asociado</w:t>
            </w:r>
          </w:p>
        </w:tc>
        <w:tc>
          <w:tcPr>
            <w:tcW w:type="dxa" w:w="5200"/>
            <w:shd w:fill="1F3864" w:color="auto" w:val="clear"/>
            <w:tcMar>
              <w:top w:type="dxa" w:w="60"/>
              <w:left w:type="dxa" w:w="100"/>
              <w:bottom w:type="dxa" w:w="60"/>
              <w:right w:type="dxa" w:w="100"/>
            </w:tcMar>
          </w:tcPr>
          <w:p>
            <w:r>
              <w:rPr>
                <w:b/>
                <w:bCs/>
                <w:color w:val="FFFFFF"/>
                <w:sz w:val="19"/>
                <w:szCs w:val="19"/>
              </w:rPr>
              <w:t xml:space="preserve">Cómo agrega valor</w:t>
            </w:r>
          </w:p>
        </w:tc>
      </w:tr>
      <w:tr>
        <w:tc>
          <w:tcPr>
            <w:tcW w:type="dxa" w:w="2500"/>
            <w:tcMar>
              <w:top w:type="dxa" w:w="60"/>
              <w:left w:type="dxa" w:w="100"/>
              <w:bottom w:type="dxa" w:w="60"/>
              <w:right w:type="dxa" w:w="100"/>
            </w:tcMar>
          </w:tcPr>
          <w:p>
            <w:r>
              <w:rPr>
                <w:b/>
                <w:bCs/>
                <w:sz w:val="19"/>
                <w:szCs w:val="19"/>
              </w:rPr>
              <w:t xml:space="preserve">Cisco Secure Firewall</w:t>
            </w:r>
          </w:p>
        </w:tc>
        <w:tc>
          <w:tcPr>
            <w:tcW w:type="dxa" w:w="2100"/>
            <w:tcMar>
              <w:top w:type="dxa" w:w="60"/>
              <w:left w:type="dxa" w:w="100"/>
              <w:bottom w:type="dxa" w:w="60"/>
              <w:right w:type="dxa" w:w="100"/>
            </w:tcMar>
          </w:tcPr>
          <w:p>
            <w:r>
              <w:rPr>
                <w:b w:val="false"/>
                <w:bCs w:val="false"/>
                <w:sz w:val="19"/>
                <w:szCs w:val="19"/>
              </w:rPr>
              <w:t xml:space="preserve">S6. Azure + Cisco Secure Firewall</w:t>
            </w:r>
          </w:p>
        </w:tc>
        <w:tc>
          <w:tcPr>
            <w:tcW w:type="dxa" w:w="2200"/>
            <w:tcMar>
              <w:top w:type="dxa" w:w="60"/>
              <w:left w:type="dxa" w:w="100"/>
              <w:bottom w:type="dxa" w:w="60"/>
              <w:right w:type="dxa" w:w="100"/>
            </w:tcMar>
          </w:tcPr>
          <w:p>
            <w:r>
              <w:rPr>
                <w:b w:val="false"/>
                <w:bCs w:val="false"/>
                <w:sz w:val="19"/>
                <w:szCs w:val="19"/>
              </w:rPr>
              <w:t xml:space="preserve">Firewall NGFW/IPS on-premise y virtual en Azure</w:t>
            </w:r>
          </w:p>
        </w:tc>
        <w:tc>
          <w:tcPr>
            <w:tcW w:type="dxa" w:w="2400"/>
            <w:tcMar>
              <w:top w:type="dxa" w:w="60"/>
              <w:left w:type="dxa" w:w="100"/>
              <w:bottom w:type="dxa" w:w="60"/>
              <w:right w:type="dxa" w:w="100"/>
            </w:tcMar>
          </w:tcPr>
          <w:p>
            <w:r>
              <w:rPr>
                <w:b w:val="false"/>
                <w:bCs w:val="false"/>
                <w:sz w:val="19"/>
                <w:szCs w:val="19"/>
              </w:rPr>
              <w:t xml:space="preserve">Azure Firewall / Microsoft Sentinel</w:t>
            </w:r>
          </w:p>
        </w:tc>
        <w:tc>
          <w:tcPr>
            <w:tcW w:type="dxa" w:w="5200"/>
            <w:tcMar>
              <w:top w:type="dxa" w:w="60"/>
              <w:left w:type="dxa" w:w="100"/>
              <w:bottom w:type="dxa" w:w="60"/>
              <w:right w:type="dxa" w:w="100"/>
            </w:tcMar>
          </w:tcPr>
          <w:p>
            <w:r>
              <w:rPr>
                <w:b w:val="false"/>
                <w:bCs w:val="false"/>
                <w:sz w:val="19"/>
                <w:szCs w:val="19"/>
              </w:rPr>
              <w:t xml:space="preserve">Protege el borde on-premise y la conectividad híbrida con Azure con un gobierno único de reglas. Envía sus registros a Sentinel.</w:t>
            </w:r>
          </w:p>
        </w:tc>
      </w:tr>
      <w:tr>
        <w:tc>
          <w:tcPr>
            <w:tcW w:type="dxa" w:w="2500"/>
            <w:shd w:fill="F2F5FA" w:color="auto" w:val="clear"/>
            <w:tcMar>
              <w:top w:type="dxa" w:w="60"/>
              <w:left w:type="dxa" w:w="100"/>
              <w:bottom w:type="dxa" w:w="60"/>
              <w:right w:type="dxa" w:w="100"/>
            </w:tcMar>
          </w:tcPr>
          <w:p>
            <w:r>
              <w:rPr>
                <w:b/>
                <w:bCs/>
                <w:sz w:val="19"/>
                <w:szCs w:val="19"/>
              </w:rPr>
              <w:t xml:space="preserve">Cisco ISE (Premier)</w:t>
            </w:r>
          </w:p>
        </w:tc>
        <w:tc>
          <w:tcPr>
            <w:tcW w:type="dxa" w:w="2100"/>
            <w:shd w:fill="F2F5FA" w:color="auto" w:val="clear"/>
            <w:tcMar>
              <w:top w:type="dxa" w:w="60"/>
              <w:left w:type="dxa" w:w="100"/>
              <w:bottom w:type="dxa" w:w="60"/>
              <w:right w:type="dxa" w:w="100"/>
            </w:tcMar>
          </w:tcPr>
          <w:p>
            <w:r>
              <w:rPr>
                <w:b w:val="false"/>
                <w:bCs w:val="false"/>
                <w:sz w:val="19"/>
                <w:szCs w:val="19"/>
              </w:rPr>
              <w:t xml:space="preserve">S1. Protección Avanzada M365 (suite User Protection Advantage)</w:t>
            </w:r>
          </w:p>
        </w:tc>
        <w:tc>
          <w:tcPr>
            <w:tcW w:type="dxa" w:w="2200"/>
            <w:shd w:fill="F2F5FA" w:color="auto" w:val="clear"/>
            <w:tcMar>
              <w:top w:type="dxa" w:w="60"/>
              <w:left w:type="dxa" w:w="100"/>
              <w:bottom w:type="dxa" w:w="60"/>
              <w:right w:type="dxa" w:w="100"/>
            </w:tcMar>
          </w:tcPr>
          <w:p>
            <w:r>
              <w:rPr>
                <w:b w:val="false"/>
                <w:bCs w:val="false"/>
                <w:sz w:val="19"/>
                <w:szCs w:val="19"/>
              </w:rPr>
              <w:t xml:space="preserve">Control de acceso a la red (NAC) y segmentación</w:t>
            </w:r>
          </w:p>
        </w:tc>
        <w:tc>
          <w:tcPr>
            <w:tcW w:type="dxa" w:w="2400"/>
            <w:shd w:fill="F2F5FA" w:color="auto" w:val="clear"/>
            <w:tcMar>
              <w:top w:type="dxa" w:w="60"/>
              <w:left w:type="dxa" w:w="100"/>
              <w:bottom w:type="dxa" w:w="60"/>
              <w:right w:type="dxa" w:w="100"/>
            </w:tcMar>
          </w:tcPr>
          <w:p>
            <w:r>
              <w:rPr>
                <w:b w:val="false"/>
                <w:bCs w:val="false"/>
                <w:sz w:val="19"/>
                <w:szCs w:val="19"/>
              </w:rPr>
              <w:t xml:space="preserve">Microsoft Intune (compliance) / Entra ID</w:t>
            </w:r>
          </w:p>
        </w:tc>
        <w:tc>
          <w:tcPr>
            <w:tcW w:type="dxa" w:w="5200"/>
            <w:shd w:fill="F2F5FA" w:color="auto" w:val="clear"/>
            <w:tcMar>
              <w:top w:type="dxa" w:w="60"/>
              <w:left w:type="dxa" w:w="100"/>
              <w:bottom w:type="dxa" w:w="60"/>
              <w:right w:type="dxa" w:w="100"/>
            </w:tcMar>
          </w:tcPr>
          <w:p>
            <w:r>
              <w:rPr>
                <w:b w:val="false"/>
                <w:bCs w:val="false"/>
                <w:sz w:val="19"/>
                <w:szCs w:val="19"/>
              </w:rPr>
              <w:t xml:space="preserve">Decide qué usuario y dispositivo entra a la LAN/WLAN, usando el estado de cumplimiento de Intune. Microsoft no ofrece NAC.</w:t>
            </w:r>
          </w:p>
        </w:tc>
      </w:tr>
      <w:tr>
        <w:tc>
          <w:tcPr>
            <w:tcW w:type="dxa" w:w="2500"/>
            <w:tcMar>
              <w:top w:type="dxa" w:w="60"/>
              <w:left w:type="dxa" w:w="100"/>
              <w:bottom w:type="dxa" w:w="60"/>
              <w:right w:type="dxa" w:w="100"/>
            </w:tcMar>
          </w:tcPr>
          <w:p>
            <w:r>
              <w:rPr>
                <w:b/>
                <w:bCs/>
                <w:sz w:val="19"/>
                <w:szCs w:val="19"/>
              </w:rPr>
              <w:t xml:space="preserve">Cisco Secure Network Analytics (NDR)</w:t>
            </w:r>
          </w:p>
        </w:tc>
        <w:tc>
          <w:tcPr>
            <w:tcW w:type="dxa" w:w="2100"/>
            <w:tcMar>
              <w:top w:type="dxa" w:w="60"/>
              <w:left w:type="dxa" w:w="100"/>
              <w:bottom w:type="dxa" w:w="60"/>
              <w:right w:type="dxa" w:w="100"/>
            </w:tcMar>
          </w:tcPr>
          <w:p>
            <w:r>
              <w:rPr>
                <w:b w:val="false"/>
                <w:bCs w:val="false"/>
                <w:sz w:val="19"/>
                <w:szCs w:val="19"/>
              </w:rPr>
              <w:t xml:space="preserve">S1. Protección Avanzada M365 (suite Breach Protection Advantage)</w:t>
            </w:r>
          </w:p>
        </w:tc>
        <w:tc>
          <w:tcPr>
            <w:tcW w:type="dxa" w:w="2200"/>
            <w:tcMar>
              <w:top w:type="dxa" w:w="60"/>
              <w:left w:type="dxa" w:w="100"/>
              <w:bottom w:type="dxa" w:w="60"/>
              <w:right w:type="dxa" w:w="100"/>
            </w:tcMar>
          </w:tcPr>
          <w:p>
            <w:r>
              <w:rPr>
                <w:b w:val="false"/>
                <w:bCs w:val="false"/>
                <w:sz w:val="19"/>
                <w:szCs w:val="19"/>
              </w:rPr>
              <w:t xml:space="preserve">Detección por comportamiento en flujos de red</w:t>
            </w:r>
          </w:p>
        </w:tc>
        <w:tc>
          <w:tcPr>
            <w:tcW w:type="dxa" w:w="2400"/>
            <w:tcMar>
              <w:top w:type="dxa" w:w="60"/>
              <w:left w:type="dxa" w:w="100"/>
              <w:bottom w:type="dxa" w:w="60"/>
              <w:right w:type="dxa" w:w="100"/>
            </w:tcMar>
          </w:tcPr>
          <w:p>
            <w:r>
              <w:rPr>
                <w:b w:val="false"/>
                <w:bCs w:val="false"/>
                <w:sz w:val="19"/>
                <w:szCs w:val="19"/>
              </w:rPr>
              <w:t xml:space="preserve">Microsoft Sentinel</w:t>
            </w:r>
          </w:p>
        </w:tc>
        <w:tc>
          <w:tcPr>
            <w:tcW w:type="dxa" w:w="5200"/>
            <w:tcMar>
              <w:top w:type="dxa" w:w="60"/>
              <w:left w:type="dxa" w:w="100"/>
              <w:bottom w:type="dxa" w:w="60"/>
              <w:right w:type="dxa" w:w="100"/>
            </w:tcMar>
          </w:tcPr>
          <w:p>
            <w:r>
              <w:rPr>
                <w:b w:val="false"/>
                <w:bCs w:val="false"/>
                <w:sz w:val="19"/>
                <w:szCs w:val="19"/>
              </w:rPr>
              <w:t xml:space="preserve">Envía a Sentinel telemetría de red (NetFlow y comportamiento) para mejorar las detecciones, sin sustituir el SIEM.</w:t>
            </w:r>
          </w:p>
        </w:tc>
      </w:tr>
      <w:tr>
        <w:tc>
          <w:tcPr>
            <w:tcW w:type="dxa" w:w="2500"/>
            <w:shd w:fill="F2F5FA" w:color="auto" w:val="clear"/>
            <w:tcMar>
              <w:top w:type="dxa" w:w="60"/>
              <w:left w:type="dxa" w:w="100"/>
              <w:bottom w:type="dxa" w:w="60"/>
              <w:right w:type="dxa" w:w="100"/>
            </w:tcMar>
          </w:tcPr>
          <w:p>
            <w:r>
              <w:rPr>
                <w:b/>
                <w:bCs/>
                <w:sz w:val="19"/>
                <w:szCs w:val="19"/>
              </w:rPr>
              <w:t xml:space="preserve">Cisco Telemetry Broker</w:t>
            </w:r>
          </w:p>
        </w:tc>
        <w:tc>
          <w:tcPr>
            <w:tcW w:type="dxa" w:w="2100"/>
            <w:shd w:fill="F2F5FA" w:color="auto" w:val="clear"/>
            <w:tcMar>
              <w:top w:type="dxa" w:w="60"/>
              <w:left w:type="dxa" w:w="100"/>
              <w:bottom w:type="dxa" w:w="60"/>
              <w:right w:type="dxa" w:w="100"/>
            </w:tcMar>
          </w:tcPr>
          <w:p>
            <w:r>
              <w:rPr>
                <w:b w:val="false"/>
                <w:bCs w:val="false"/>
                <w:sz w:val="19"/>
                <w:szCs w:val="19"/>
              </w:rPr>
              <w:t xml:space="preserve">S1. Protección Avanzada M365 (suite Breach Protection Advantage)</w:t>
            </w:r>
          </w:p>
        </w:tc>
        <w:tc>
          <w:tcPr>
            <w:tcW w:type="dxa" w:w="2200"/>
            <w:shd w:fill="F2F5FA" w:color="auto" w:val="clear"/>
            <w:tcMar>
              <w:top w:type="dxa" w:w="60"/>
              <w:left w:type="dxa" w:w="100"/>
              <w:bottom w:type="dxa" w:w="60"/>
              <w:right w:type="dxa" w:w="100"/>
            </w:tcMar>
          </w:tcPr>
          <w:p>
            <w:r>
              <w:rPr>
                <w:b w:val="false"/>
                <w:bCs w:val="false"/>
                <w:sz w:val="19"/>
                <w:szCs w:val="19"/>
              </w:rPr>
              <w:t xml:space="preserve">Filtrado y enrutamiento de pipelines de telemetría</w:t>
            </w:r>
          </w:p>
        </w:tc>
        <w:tc>
          <w:tcPr>
            <w:tcW w:type="dxa" w:w="2400"/>
            <w:shd w:fill="F2F5FA" w:color="auto" w:val="clear"/>
            <w:tcMar>
              <w:top w:type="dxa" w:w="60"/>
              <w:left w:type="dxa" w:w="100"/>
              <w:bottom w:type="dxa" w:w="60"/>
              <w:right w:type="dxa" w:w="100"/>
            </w:tcMar>
          </w:tcPr>
          <w:p>
            <w:r>
              <w:rPr>
                <w:b w:val="false"/>
                <w:bCs w:val="false"/>
                <w:sz w:val="19"/>
                <w:szCs w:val="19"/>
              </w:rPr>
              <w:t xml:space="preserve">Microsoft Sentinel / Azure Monitor</w:t>
            </w:r>
          </w:p>
        </w:tc>
        <w:tc>
          <w:tcPr>
            <w:tcW w:type="dxa" w:w="5200"/>
            <w:shd w:fill="F2F5FA" w:color="auto" w:val="clear"/>
            <w:tcMar>
              <w:top w:type="dxa" w:w="60"/>
              <w:left w:type="dxa" w:w="100"/>
              <w:bottom w:type="dxa" w:w="60"/>
              <w:right w:type="dxa" w:w="100"/>
            </w:tcMar>
          </w:tcPr>
          <w:p>
            <w:r>
              <w:rPr>
                <w:b w:val="false"/>
                <w:bCs w:val="false"/>
                <w:sz w:val="19"/>
                <w:szCs w:val="19"/>
              </w:rPr>
              <w:t xml:space="preserve">Filtra y enruta la telemetría antes de que llegue a Sentinel, lo que baja el costo de ingesta y mejora la calidad de los datos.</w:t>
            </w:r>
          </w:p>
        </w:tc>
      </w:tr>
      <w:tr>
        <w:tc>
          <w:tcPr>
            <w:tcW w:type="dxa" w:w="2500"/>
            <w:tcMar>
              <w:top w:type="dxa" w:w="60"/>
              <w:left w:type="dxa" w:w="100"/>
              <w:bottom w:type="dxa" w:w="60"/>
              <w:right w:type="dxa" w:w="100"/>
            </w:tcMar>
          </w:tcPr>
          <w:p>
            <w:r>
              <w:rPr>
                <w:b/>
                <w:bCs/>
                <w:sz w:val="19"/>
                <w:szCs w:val="19"/>
              </w:rPr>
              <w:t xml:space="preserve">Cisco Secure Access (SSE)</w:t>
            </w:r>
          </w:p>
        </w:tc>
        <w:tc>
          <w:tcPr>
            <w:tcW w:type="dxa" w:w="2100"/>
            <w:tcMar>
              <w:top w:type="dxa" w:w="60"/>
              <w:left w:type="dxa" w:w="100"/>
              <w:bottom w:type="dxa" w:w="60"/>
              <w:right w:type="dxa" w:w="100"/>
            </w:tcMar>
          </w:tcPr>
          <w:p>
            <w:r>
              <w:rPr>
                <w:b w:val="false"/>
                <w:bCs w:val="false"/>
                <w:sz w:val="19"/>
                <w:szCs w:val="19"/>
              </w:rPr>
              <w:t xml:space="preserve">S2. Secure Access como Servicio; S1</w:t>
            </w:r>
          </w:p>
        </w:tc>
        <w:tc>
          <w:tcPr>
            <w:tcW w:type="dxa" w:w="2200"/>
            <w:tcMar>
              <w:top w:type="dxa" w:w="60"/>
              <w:left w:type="dxa" w:w="100"/>
              <w:bottom w:type="dxa" w:w="60"/>
              <w:right w:type="dxa" w:w="100"/>
            </w:tcMar>
          </w:tcPr>
          <w:p>
            <w:r>
              <w:rPr>
                <w:b w:val="false"/>
                <w:bCs w:val="false"/>
                <w:sz w:val="19"/>
                <w:szCs w:val="19"/>
              </w:rPr>
              <w:t xml:space="preserve">Acceso seguro: ZTNA, SWG, DNS, VPNaaS</w:t>
            </w:r>
          </w:p>
        </w:tc>
        <w:tc>
          <w:tcPr>
            <w:tcW w:type="dxa" w:w="2400"/>
            <w:tcMar>
              <w:top w:type="dxa" w:w="60"/>
              <w:left w:type="dxa" w:w="100"/>
              <w:bottom w:type="dxa" w:w="60"/>
              <w:right w:type="dxa" w:w="100"/>
            </w:tcMar>
          </w:tcPr>
          <w:p>
            <w:r>
              <w:rPr>
                <w:b w:val="false"/>
                <w:bCs w:val="false"/>
                <w:sz w:val="19"/>
                <w:szCs w:val="19"/>
              </w:rPr>
              <w:t xml:space="preserve">Entra ID (proveedor de identidad)</w:t>
            </w:r>
          </w:p>
        </w:tc>
        <w:tc>
          <w:tcPr>
            <w:tcW w:type="dxa" w:w="5200"/>
            <w:tcMar>
              <w:top w:type="dxa" w:w="60"/>
              <w:left w:type="dxa" w:w="100"/>
              <w:bottom w:type="dxa" w:w="60"/>
              <w:right w:type="dxa" w:w="100"/>
            </w:tcMar>
          </w:tcPr>
          <w:p>
            <w:r>
              <w:rPr>
                <w:b w:val="false"/>
                <w:bCs w:val="false"/>
                <w:sz w:val="19"/>
                <w:szCs w:val="19"/>
              </w:rPr>
              <w:t xml:space="preserve">Ofrece acceso Zero Trust a aplicaciones privadas e Internet usando la identidad de Entra ID. Ver la nota de coexistencia en la sección D.</w:t>
            </w:r>
          </w:p>
        </w:tc>
      </w:tr>
    </w:tbl>
    <w:p>
      <w:pPr>
        <w:pStyle w:val="Heading2"/>
        <w:keepNext/>
        <w:spacing w:after="60" w:before="200"/>
      </w:pPr>
      <w:r>
        <w:t xml:space="preserve">3. Colaboración</w:t>
      </w:r>
    </w:p>
    <w:p>
      <w:pPr>
        <w:spacing w:after="120"/>
      </w:pPr>
      <w:r>
        <w:rPr>
          <w:i/>
          <w:iCs/>
          <w:color w:val="555555"/>
          <w:sz w:val="19"/>
          <w:szCs w:val="19"/>
        </w:rPr>
        <w:t xml:space="preserve">Hardware certificado para la experiencia Microsoft Teams Rooms.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00"/>
        <w:gridCol w:w="2400"/>
        <w:gridCol w:w="52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Producto Cisco</w:t>
            </w:r>
          </w:p>
        </w:tc>
        <w:tc>
          <w:tcPr>
            <w:tcW w:type="dxa" w:w="2100"/>
            <w:shd w:fill="1F3864" w:color="auto" w:val="clear"/>
            <w:tcMar>
              <w:top w:type="dxa" w:w="60"/>
              <w:left w:type="dxa" w:w="100"/>
              <w:bottom w:type="dxa" w:w="60"/>
              <w:right w:type="dxa" w:w="100"/>
            </w:tcMar>
          </w:tcPr>
          <w:p>
            <w:r>
              <w:rPr>
                <w:b/>
                <w:bCs/>
                <w:color w:val="FFFFFF"/>
                <w:sz w:val="19"/>
                <w:szCs w:val="19"/>
              </w:rPr>
              <w:t xml:space="preserve">Servicio de origen (Modelo)</w:t>
            </w:r>
          </w:p>
        </w:tc>
        <w:tc>
          <w:tcPr>
            <w:tcW w:type="dxa" w:w="2200"/>
            <w:shd w:fill="1F3864" w:color="auto" w:val="clear"/>
            <w:tcMar>
              <w:top w:type="dxa" w:w="60"/>
              <w:left w:type="dxa" w:w="100"/>
              <w:bottom w:type="dxa" w:w="60"/>
              <w:right w:type="dxa" w:w="100"/>
            </w:tcMar>
          </w:tcPr>
          <w:p>
            <w:r>
              <w:rPr>
                <w:b/>
                <w:bCs/>
                <w:color w:val="FFFFFF"/>
                <w:sz w:val="19"/>
                <w:szCs w:val="19"/>
              </w:rPr>
              <w:t xml:space="preserve">Capa / función</w:t>
            </w:r>
          </w:p>
        </w:tc>
        <w:tc>
          <w:tcPr>
            <w:tcW w:type="dxa" w:w="2400"/>
            <w:shd w:fill="1F3864" w:color="auto" w:val="clear"/>
            <w:tcMar>
              <w:top w:type="dxa" w:w="60"/>
              <w:left w:type="dxa" w:w="100"/>
              <w:bottom w:type="dxa" w:w="60"/>
              <w:right w:type="dxa" w:w="100"/>
            </w:tcMar>
          </w:tcPr>
          <w:p>
            <w:r>
              <w:rPr>
                <w:b/>
                <w:bCs/>
                <w:color w:val="FFFFFF"/>
                <w:sz w:val="19"/>
                <w:szCs w:val="19"/>
              </w:rPr>
              <w:t xml:space="preserve">Producto Microsoft asociado</w:t>
            </w:r>
          </w:p>
        </w:tc>
        <w:tc>
          <w:tcPr>
            <w:tcW w:type="dxa" w:w="5200"/>
            <w:shd w:fill="1F3864" w:color="auto" w:val="clear"/>
            <w:tcMar>
              <w:top w:type="dxa" w:w="60"/>
              <w:left w:type="dxa" w:w="100"/>
              <w:bottom w:type="dxa" w:w="60"/>
              <w:right w:type="dxa" w:w="100"/>
            </w:tcMar>
          </w:tcPr>
          <w:p>
            <w:r>
              <w:rPr>
                <w:b/>
                <w:bCs/>
                <w:color w:val="FFFFFF"/>
                <w:sz w:val="19"/>
                <w:szCs w:val="19"/>
              </w:rPr>
              <w:t xml:space="preserve">Cómo agrega valor</w:t>
            </w:r>
          </w:p>
        </w:tc>
      </w:tr>
      <w:tr>
        <w:tc>
          <w:tcPr>
            <w:tcW w:type="dxa" w:w="2500"/>
            <w:tcMar>
              <w:top w:type="dxa" w:w="60"/>
              <w:left w:type="dxa" w:w="100"/>
              <w:bottom w:type="dxa" w:w="60"/>
              <w:right w:type="dxa" w:w="100"/>
            </w:tcMar>
          </w:tcPr>
          <w:p>
            <w:r>
              <w:rPr>
                <w:b/>
                <w:bCs/>
                <w:sz w:val="19"/>
                <w:szCs w:val="19"/>
              </w:rPr>
              <w:t xml:space="preserve">Cisco Room Bar / Room Bar Pro</w:t>
            </w:r>
          </w:p>
        </w:tc>
        <w:tc>
          <w:tcPr>
            <w:tcW w:type="dxa" w:w="2100"/>
            <w:tcMar>
              <w:top w:type="dxa" w:w="60"/>
              <w:left w:type="dxa" w:w="100"/>
              <w:bottom w:type="dxa" w:w="60"/>
              <w:right w:type="dxa" w:w="100"/>
            </w:tcMar>
          </w:tcPr>
          <w:p>
            <w:r>
              <w:rPr>
                <w:b w:val="false"/>
                <w:bCs w:val="false"/>
                <w:sz w:val="19"/>
                <w:szCs w:val="19"/>
              </w:rPr>
              <w:t xml:space="preserve">S4. Espacios Cisco Rooms para Teams</w:t>
            </w:r>
          </w:p>
        </w:tc>
        <w:tc>
          <w:tcPr>
            <w:tcW w:type="dxa" w:w="2200"/>
            <w:tcMar>
              <w:top w:type="dxa" w:w="60"/>
              <w:left w:type="dxa" w:w="100"/>
              <w:bottom w:type="dxa" w:w="60"/>
              <w:right w:type="dxa" w:w="100"/>
            </w:tcMar>
          </w:tcPr>
          <w:p>
            <w:r>
              <w:rPr>
                <w:b w:val="false"/>
                <w:bCs w:val="false"/>
                <w:sz w:val="19"/>
                <w:szCs w:val="19"/>
              </w:rPr>
              <w:t xml:space="preserve">Dispositivo todo-en-uno para salas pequeñas y medianas</w:t>
            </w:r>
          </w:p>
        </w:tc>
        <w:tc>
          <w:tcPr>
            <w:tcW w:type="dxa" w:w="2400"/>
            <w:tcMar>
              <w:top w:type="dxa" w:w="60"/>
              <w:left w:type="dxa" w:w="100"/>
              <w:bottom w:type="dxa" w:w="60"/>
              <w:right w:type="dxa" w:w="100"/>
            </w:tcMar>
          </w:tcPr>
          <w:p>
            <w:r>
              <w:rPr>
                <w:b w:val="false"/>
                <w:bCs w:val="false"/>
                <w:sz w:val="19"/>
                <w:szCs w:val="19"/>
              </w:rPr>
              <w:t xml:space="preserve">Microsoft Teams Rooms</w:t>
            </w:r>
          </w:p>
        </w:tc>
        <w:tc>
          <w:tcPr>
            <w:tcW w:type="dxa" w:w="5200"/>
            <w:tcMar>
              <w:top w:type="dxa" w:w="60"/>
              <w:left w:type="dxa" w:w="100"/>
              <w:bottom w:type="dxa" w:w="60"/>
              <w:right w:type="dxa" w:w="100"/>
            </w:tcMar>
          </w:tcPr>
          <w:p>
            <w:r>
              <w:rPr>
                <w:b w:val="false"/>
                <w:bCs w:val="false"/>
                <w:sz w:val="19"/>
                <w:szCs w:val="19"/>
              </w:rPr>
              <w:t xml:space="preserve">Ejecuta Teams Rooms de forma nativa (dispositivo certificado). Consein suma el hardware de sala, la instalación y el soporte que Microsoft no vende.</w:t>
            </w:r>
          </w:p>
        </w:tc>
      </w:tr>
      <w:tr>
        <w:tc>
          <w:tcPr>
            <w:tcW w:type="dxa" w:w="2500"/>
            <w:shd w:fill="F2F5FA" w:color="auto" w:val="clear"/>
            <w:tcMar>
              <w:top w:type="dxa" w:w="60"/>
              <w:left w:type="dxa" w:w="100"/>
              <w:bottom w:type="dxa" w:w="60"/>
              <w:right w:type="dxa" w:w="100"/>
            </w:tcMar>
          </w:tcPr>
          <w:p>
            <w:r>
              <w:rPr>
                <w:b/>
                <w:bCs/>
                <w:sz w:val="19"/>
                <w:szCs w:val="19"/>
              </w:rPr>
              <w:t xml:space="preserve">Cisco Board Pro Series</w:t>
            </w:r>
          </w:p>
        </w:tc>
        <w:tc>
          <w:tcPr>
            <w:tcW w:type="dxa" w:w="2100"/>
            <w:shd w:fill="F2F5FA" w:color="auto" w:val="clear"/>
            <w:tcMar>
              <w:top w:type="dxa" w:w="60"/>
              <w:left w:type="dxa" w:w="100"/>
              <w:bottom w:type="dxa" w:w="60"/>
              <w:right w:type="dxa" w:w="100"/>
            </w:tcMar>
          </w:tcPr>
          <w:p>
            <w:r>
              <w:rPr>
                <w:b w:val="false"/>
                <w:bCs w:val="false"/>
                <w:sz w:val="19"/>
                <w:szCs w:val="19"/>
              </w:rPr>
              <w:t xml:space="preserve">S4. Espacios Cisco Rooms para Teams</w:t>
            </w:r>
          </w:p>
        </w:tc>
        <w:tc>
          <w:tcPr>
            <w:tcW w:type="dxa" w:w="2200"/>
            <w:shd w:fill="F2F5FA" w:color="auto" w:val="clear"/>
            <w:tcMar>
              <w:top w:type="dxa" w:w="60"/>
              <w:left w:type="dxa" w:w="100"/>
              <w:bottom w:type="dxa" w:w="60"/>
              <w:right w:type="dxa" w:w="100"/>
            </w:tcMar>
          </w:tcPr>
          <w:p>
            <w:r>
              <w:rPr>
                <w:b w:val="false"/>
                <w:bCs w:val="false"/>
                <w:sz w:val="19"/>
                <w:szCs w:val="19"/>
              </w:rPr>
              <w:t xml:space="preserve">Pantalla colaborativa y pizarra interactiva</w:t>
            </w:r>
          </w:p>
        </w:tc>
        <w:tc>
          <w:tcPr>
            <w:tcW w:type="dxa" w:w="2400"/>
            <w:shd w:fill="F2F5FA" w:color="auto" w:val="clear"/>
            <w:tcMar>
              <w:top w:type="dxa" w:w="60"/>
              <w:left w:type="dxa" w:w="100"/>
              <w:bottom w:type="dxa" w:w="60"/>
              <w:right w:type="dxa" w:w="100"/>
            </w:tcMar>
          </w:tcPr>
          <w:p>
            <w:r>
              <w:rPr>
                <w:b w:val="false"/>
                <w:bCs w:val="false"/>
                <w:sz w:val="19"/>
                <w:szCs w:val="19"/>
              </w:rPr>
              <w:t xml:space="preserve">Microsoft Teams Rooms / Whiteboard</w:t>
            </w:r>
          </w:p>
        </w:tc>
        <w:tc>
          <w:tcPr>
            <w:tcW w:type="dxa" w:w="5200"/>
            <w:shd w:fill="F2F5FA" w:color="auto" w:val="clear"/>
            <w:tcMar>
              <w:top w:type="dxa" w:w="60"/>
              <w:left w:type="dxa" w:w="100"/>
              <w:bottom w:type="dxa" w:w="60"/>
              <w:right w:type="dxa" w:w="100"/>
            </w:tcMar>
          </w:tcPr>
          <w:p>
            <w:r>
              <w:rPr>
                <w:b w:val="false"/>
                <w:bCs w:val="false"/>
                <w:sz w:val="19"/>
                <w:szCs w:val="19"/>
              </w:rPr>
              <w:t xml:space="preserve">Lleva la reunión híbrida y la pizarra de Teams a una pantalla táctil certificada para salas medianas.</w:t>
            </w:r>
          </w:p>
        </w:tc>
      </w:tr>
    </w:tbl>
    <w:p>
      <w:pPr>
        <w:pStyle w:val="Heading2"/>
        <w:keepNext/>
        <w:spacing w:after="60" w:before="200"/>
      </w:pPr>
      <w:r>
        <w:t xml:space="preserve">4. Data y Analítica</w:t>
      </w:r>
    </w:p>
    <w:p>
      <w:pPr>
        <w:spacing w:after="120"/>
      </w:pPr>
      <w:r>
        <w:rPr>
          <w:i/>
          <w:iCs/>
          <w:color w:val="555555"/>
          <w:sz w:val="19"/>
          <w:szCs w:val="19"/>
        </w:rPr>
        <w:t xml:space="preserve">Fuentes de datos físicos y operativos que enriquecen la analítica de Power BI y Fabric.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00"/>
        <w:gridCol w:w="2400"/>
        <w:gridCol w:w="52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Producto Cisco</w:t>
            </w:r>
          </w:p>
        </w:tc>
        <w:tc>
          <w:tcPr>
            <w:tcW w:type="dxa" w:w="2100"/>
            <w:shd w:fill="1F3864" w:color="auto" w:val="clear"/>
            <w:tcMar>
              <w:top w:type="dxa" w:w="60"/>
              <w:left w:type="dxa" w:w="100"/>
              <w:bottom w:type="dxa" w:w="60"/>
              <w:right w:type="dxa" w:w="100"/>
            </w:tcMar>
          </w:tcPr>
          <w:p>
            <w:r>
              <w:rPr>
                <w:b/>
                <w:bCs/>
                <w:color w:val="FFFFFF"/>
                <w:sz w:val="19"/>
                <w:szCs w:val="19"/>
              </w:rPr>
              <w:t xml:space="preserve">Servicio de origen (Modelo)</w:t>
            </w:r>
          </w:p>
        </w:tc>
        <w:tc>
          <w:tcPr>
            <w:tcW w:type="dxa" w:w="2200"/>
            <w:shd w:fill="1F3864" w:color="auto" w:val="clear"/>
            <w:tcMar>
              <w:top w:type="dxa" w:w="60"/>
              <w:left w:type="dxa" w:w="100"/>
              <w:bottom w:type="dxa" w:w="60"/>
              <w:right w:type="dxa" w:w="100"/>
            </w:tcMar>
          </w:tcPr>
          <w:p>
            <w:r>
              <w:rPr>
                <w:b/>
                <w:bCs/>
                <w:color w:val="FFFFFF"/>
                <w:sz w:val="19"/>
                <w:szCs w:val="19"/>
              </w:rPr>
              <w:t xml:space="preserve">Capa / función</w:t>
            </w:r>
          </w:p>
        </w:tc>
        <w:tc>
          <w:tcPr>
            <w:tcW w:type="dxa" w:w="2400"/>
            <w:shd w:fill="1F3864" w:color="auto" w:val="clear"/>
            <w:tcMar>
              <w:top w:type="dxa" w:w="60"/>
              <w:left w:type="dxa" w:w="100"/>
              <w:bottom w:type="dxa" w:w="60"/>
              <w:right w:type="dxa" w:w="100"/>
            </w:tcMar>
          </w:tcPr>
          <w:p>
            <w:r>
              <w:rPr>
                <w:b/>
                <w:bCs/>
                <w:color w:val="FFFFFF"/>
                <w:sz w:val="19"/>
                <w:szCs w:val="19"/>
              </w:rPr>
              <w:t xml:space="preserve">Producto Microsoft asociado</w:t>
            </w:r>
          </w:p>
        </w:tc>
        <w:tc>
          <w:tcPr>
            <w:tcW w:type="dxa" w:w="5200"/>
            <w:shd w:fill="1F3864" w:color="auto" w:val="clear"/>
            <w:tcMar>
              <w:top w:type="dxa" w:w="60"/>
              <w:left w:type="dxa" w:w="100"/>
              <w:bottom w:type="dxa" w:w="60"/>
              <w:right w:type="dxa" w:w="100"/>
            </w:tcMar>
          </w:tcPr>
          <w:p>
            <w:r>
              <w:rPr>
                <w:b/>
                <w:bCs/>
                <w:color w:val="FFFFFF"/>
                <w:sz w:val="19"/>
                <w:szCs w:val="19"/>
              </w:rPr>
              <w:t xml:space="preserve">Cómo agrega valor</w:t>
            </w:r>
          </w:p>
        </w:tc>
      </w:tr>
      <w:tr>
        <w:tc>
          <w:tcPr>
            <w:tcW w:type="dxa" w:w="2500"/>
            <w:tcMar>
              <w:top w:type="dxa" w:w="60"/>
              <w:left w:type="dxa" w:w="100"/>
              <w:bottom w:type="dxa" w:w="60"/>
              <w:right w:type="dxa" w:w="100"/>
            </w:tcMar>
          </w:tcPr>
          <w:p>
            <w:r>
              <w:rPr>
                <w:b/>
                <w:bCs/>
                <w:sz w:val="19"/>
                <w:szCs w:val="19"/>
              </w:rPr>
              <w:t xml:space="preserve">Meraki MV (cámaras inteligentes)</w:t>
            </w:r>
          </w:p>
        </w:tc>
        <w:tc>
          <w:tcPr>
            <w:tcW w:type="dxa" w:w="2100"/>
            <w:tcMar>
              <w:top w:type="dxa" w:w="60"/>
              <w:left w:type="dxa" w:w="100"/>
              <w:bottom w:type="dxa" w:w="60"/>
              <w:right w:type="dxa" w:w="100"/>
            </w:tcMar>
          </w:tcPr>
          <w:p>
            <w:r>
              <w:rPr>
                <w:b w:val="false"/>
                <w:bCs w:val="false"/>
                <w:sz w:val="19"/>
                <w:szCs w:val="19"/>
              </w:rPr>
              <w:t xml:space="preserve">S3. Meraki Cloud Managed</w:t>
            </w:r>
          </w:p>
        </w:tc>
        <w:tc>
          <w:tcPr>
            <w:tcW w:type="dxa" w:w="2200"/>
            <w:tcMar>
              <w:top w:type="dxa" w:w="60"/>
              <w:left w:type="dxa" w:w="100"/>
              <w:bottom w:type="dxa" w:w="60"/>
              <w:right w:type="dxa" w:w="100"/>
            </w:tcMar>
          </w:tcPr>
          <w:p>
            <w:r>
              <w:rPr>
                <w:b w:val="false"/>
                <w:bCs w:val="false"/>
                <w:sz w:val="19"/>
                <w:szCs w:val="19"/>
              </w:rPr>
              <w:t xml:space="preserve">Video y analítica de ocupación en el borde</w:t>
            </w:r>
          </w:p>
        </w:tc>
        <w:tc>
          <w:tcPr>
            <w:tcW w:type="dxa" w:w="2400"/>
            <w:tcMar>
              <w:top w:type="dxa" w:w="60"/>
              <w:left w:type="dxa" w:w="100"/>
              <w:bottom w:type="dxa" w:w="60"/>
              <w:right w:type="dxa" w:w="100"/>
            </w:tcMar>
          </w:tcPr>
          <w:p>
            <w:r>
              <w:rPr>
                <w:b w:val="false"/>
                <w:bCs w:val="false"/>
                <w:sz w:val="19"/>
                <w:szCs w:val="19"/>
              </w:rPr>
              <w:t xml:space="preserve">Power BI / Microsoft Fabric</w:t>
            </w:r>
          </w:p>
        </w:tc>
        <w:tc>
          <w:tcPr>
            <w:tcW w:type="dxa" w:w="5200"/>
            <w:tcMar>
              <w:top w:type="dxa" w:w="60"/>
              <w:left w:type="dxa" w:w="100"/>
              <w:bottom w:type="dxa" w:w="60"/>
              <w:right w:type="dxa" w:w="100"/>
            </w:tcMar>
          </w:tcPr>
          <w:p>
            <w:r>
              <w:rPr>
                <w:b w:val="false"/>
                <w:bCs w:val="false"/>
                <w:sz w:val="19"/>
                <w:szCs w:val="19"/>
              </w:rPr>
              <w:t xml:space="preserve">Envía conteo de personas y ocupación por API para tableros ejecutivos en Power BI. Microsoft no ofrece cámaras.</w:t>
            </w:r>
          </w:p>
        </w:tc>
      </w:tr>
      <w:tr>
        <w:tc>
          <w:tcPr>
            <w:tcW w:type="dxa" w:w="2500"/>
            <w:shd w:fill="F2F5FA" w:color="auto" w:val="clear"/>
            <w:tcMar>
              <w:top w:type="dxa" w:w="60"/>
              <w:left w:type="dxa" w:w="100"/>
              <w:bottom w:type="dxa" w:w="60"/>
              <w:right w:type="dxa" w:w="100"/>
            </w:tcMar>
          </w:tcPr>
          <w:p>
            <w:r>
              <w:rPr>
                <w:b/>
                <w:bCs/>
                <w:sz w:val="19"/>
                <w:szCs w:val="19"/>
              </w:rPr>
              <w:t xml:space="preserve">Meraki MT (sensores IoT)</w:t>
            </w:r>
          </w:p>
        </w:tc>
        <w:tc>
          <w:tcPr>
            <w:tcW w:type="dxa" w:w="2100"/>
            <w:shd w:fill="F2F5FA" w:color="auto" w:val="clear"/>
            <w:tcMar>
              <w:top w:type="dxa" w:w="60"/>
              <w:left w:type="dxa" w:w="100"/>
              <w:bottom w:type="dxa" w:w="60"/>
              <w:right w:type="dxa" w:w="100"/>
            </w:tcMar>
          </w:tcPr>
          <w:p>
            <w:r>
              <w:rPr>
                <w:b w:val="false"/>
                <w:bCs w:val="false"/>
                <w:sz w:val="19"/>
                <w:szCs w:val="19"/>
              </w:rPr>
              <w:t xml:space="preserve">S3. Meraki Cloud Managed</w:t>
            </w:r>
          </w:p>
        </w:tc>
        <w:tc>
          <w:tcPr>
            <w:tcW w:type="dxa" w:w="2200"/>
            <w:shd w:fill="F2F5FA" w:color="auto" w:val="clear"/>
            <w:tcMar>
              <w:top w:type="dxa" w:w="60"/>
              <w:left w:type="dxa" w:w="100"/>
              <w:bottom w:type="dxa" w:w="60"/>
              <w:right w:type="dxa" w:w="100"/>
            </w:tcMar>
          </w:tcPr>
          <w:p>
            <w:r>
              <w:rPr>
                <w:b w:val="false"/>
                <w:bCs w:val="false"/>
                <w:sz w:val="19"/>
                <w:szCs w:val="19"/>
              </w:rPr>
              <w:t xml:space="preserve">Sensores ambientales (temperatura, humedad, puertas, energía)</w:t>
            </w:r>
          </w:p>
        </w:tc>
        <w:tc>
          <w:tcPr>
            <w:tcW w:type="dxa" w:w="2400"/>
            <w:shd w:fill="F2F5FA" w:color="auto" w:val="clear"/>
            <w:tcMar>
              <w:top w:type="dxa" w:w="60"/>
              <w:left w:type="dxa" w:w="100"/>
              <w:bottom w:type="dxa" w:w="60"/>
              <w:right w:type="dxa" w:w="100"/>
            </w:tcMar>
          </w:tcPr>
          <w:p>
            <w:r>
              <w:rPr>
                <w:b w:val="false"/>
                <w:bCs w:val="false"/>
                <w:sz w:val="19"/>
                <w:szCs w:val="19"/>
              </w:rPr>
              <w:t xml:space="preserve">Microsoft Fabric / Power BI / Azure IoT</w:t>
            </w:r>
          </w:p>
        </w:tc>
        <w:tc>
          <w:tcPr>
            <w:tcW w:type="dxa" w:w="5200"/>
            <w:shd w:fill="F2F5FA" w:color="auto" w:val="clear"/>
            <w:tcMar>
              <w:top w:type="dxa" w:w="60"/>
              <w:left w:type="dxa" w:w="100"/>
              <w:bottom w:type="dxa" w:w="60"/>
              <w:right w:type="dxa" w:w="100"/>
            </w:tcMar>
          </w:tcPr>
          <w:p>
            <w:r>
              <w:rPr>
                <w:b w:val="false"/>
                <w:bCs w:val="false"/>
                <w:sz w:val="19"/>
                <w:szCs w:val="19"/>
              </w:rPr>
              <w:t xml:space="preserve">Aporta datos de condiciones físicas de sedes y centros de datos para análisis y alertas operativas.</w:t>
            </w:r>
          </w:p>
        </w:tc>
      </w:tr>
    </w:tbl>
    <w:p>
      <w:pPr>
        <w:pStyle w:val="Heading2"/>
        <w:keepNext/>
        <w:spacing w:after="60" w:before="200"/>
      </w:pPr>
      <w:r>
        <w:t xml:space="preserve">5. Servicios Empresariales</w:t>
      </w:r>
    </w:p>
    <w:p>
      <w:pPr>
        <w:spacing w:after="120"/>
      </w:pPr>
      <w:r>
        <w:rPr>
          <w:i/>
          <w:iCs/>
          <w:color w:val="555555"/>
          <w:sz w:val="19"/>
          <w:szCs w:val="19"/>
        </w:rPr>
        <w:t xml:space="preserve">Conectividad y acceso seguro para las aplicaciones de negocio en Dynamics 365.</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00"/>
        <w:gridCol w:w="2400"/>
        <w:gridCol w:w="52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Producto Cisco</w:t>
            </w:r>
          </w:p>
        </w:tc>
        <w:tc>
          <w:tcPr>
            <w:tcW w:type="dxa" w:w="2100"/>
            <w:shd w:fill="1F3864" w:color="auto" w:val="clear"/>
            <w:tcMar>
              <w:top w:type="dxa" w:w="60"/>
              <w:left w:type="dxa" w:w="100"/>
              <w:bottom w:type="dxa" w:w="60"/>
              <w:right w:type="dxa" w:w="100"/>
            </w:tcMar>
          </w:tcPr>
          <w:p>
            <w:r>
              <w:rPr>
                <w:b/>
                <w:bCs/>
                <w:color w:val="FFFFFF"/>
                <w:sz w:val="19"/>
                <w:szCs w:val="19"/>
              </w:rPr>
              <w:t xml:space="preserve">Servicio de origen (Modelo)</w:t>
            </w:r>
          </w:p>
        </w:tc>
        <w:tc>
          <w:tcPr>
            <w:tcW w:type="dxa" w:w="2200"/>
            <w:shd w:fill="1F3864" w:color="auto" w:val="clear"/>
            <w:tcMar>
              <w:top w:type="dxa" w:w="60"/>
              <w:left w:type="dxa" w:w="100"/>
              <w:bottom w:type="dxa" w:w="60"/>
              <w:right w:type="dxa" w:w="100"/>
            </w:tcMar>
          </w:tcPr>
          <w:p>
            <w:r>
              <w:rPr>
                <w:b/>
                <w:bCs/>
                <w:color w:val="FFFFFF"/>
                <w:sz w:val="19"/>
                <w:szCs w:val="19"/>
              </w:rPr>
              <w:t xml:space="preserve">Capa / función</w:t>
            </w:r>
          </w:p>
        </w:tc>
        <w:tc>
          <w:tcPr>
            <w:tcW w:type="dxa" w:w="2400"/>
            <w:shd w:fill="1F3864" w:color="auto" w:val="clear"/>
            <w:tcMar>
              <w:top w:type="dxa" w:w="60"/>
              <w:left w:type="dxa" w:w="100"/>
              <w:bottom w:type="dxa" w:w="60"/>
              <w:right w:type="dxa" w:w="100"/>
            </w:tcMar>
          </w:tcPr>
          <w:p>
            <w:r>
              <w:rPr>
                <w:b/>
                <w:bCs/>
                <w:color w:val="FFFFFF"/>
                <w:sz w:val="19"/>
                <w:szCs w:val="19"/>
              </w:rPr>
              <w:t xml:space="preserve">Producto Microsoft asociado</w:t>
            </w:r>
          </w:p>
        </w:tc>
        <w:tc>
          <w:tcPr>
            <w:tcW w:type="dxa" w:w="5200"/>
            <w:shd w:fill="1F3864" w:color="auto" w:val="clear"/>
            <w:tcMar>
              <w:top w:type="dxa" w:w="60"/>
              <w:left w:type="dxa" w:w="100"/>
              <w:bottom w:type="dxa" w:w="60"/>
              <w:right w:type="dxa" w:w="100"/>
            </w:tcMar>
          </w:tcPr>
          <w:p>
            <w:r>
              <w:rPr>
                <w:b/>
                <w:bCs/>
                <w:color w:val="FFFFFF"/>
                <w:sz w:val="19"/>
                <w:szCs w:val="19"/>
              </w:rPr>
              <w:t xml:space="preserve">Cómo agrega valor</w:t>
            </w:r>
          </w:p>
        </w:tc>
      </w:tr>
      <w:tr>
        <w:tc>
          <w:tcPr>
            <w:tcW w:type="dxa" w:w="2500"/>
            <w:tcMar>
              <w:top w:type="dxa" w:w="60"/>
              <w:left w:type="dxa" w:w="100"/>
              <w:bottom w:type="dxa" w:w="60"/>
              <w:right w:type="dxa" w:w="100"/>
            </w:tcMar>
          </w:tcPr>
          <w:p>
            <w:r>
              <w:rPr>
                <w:b/>
                <w:bCs/>
                <w:sz w:val="19"/>
                <w:szCs w:val="19"/>
              </w:rPr>
              <w:t xml:space="preserve">Cisco Secure Access (ZTNA)</w:t>
            </w:r>
          </w:p>
        </w:tc>
        <w:tc>
          <w:tcPr>
            <w:tcW w:type="dxa" w:w="2100"/>
            <w:tcMar>
              <w:top w:type="dxa" w:w="60"/>
              <w:left w:type="dxa" w:w="100"/>
              <w:bottom w:type="dxa" w:w="60"/>
              <w:right w:type="dxa" w:w="100"/>
            </w:tcMar>
          </w:tcPr>
          <w:p>
            <w:r>
              <w:rPr>
                <w:b w:val="false"/>
                <w:bCs w:val="false"/>
                <w:sz w:val="19"/>
                <w:szCs w:val="19"/>
              </w:rPr>
              <w:t xml:space="preserve">S2. Secure Access como Servicio</w:t>
            </w:r>
          </w:p>
        </w:tc>
        <w:tc>
          <w:tcPr>
            <w:tcW w:type="dxa" w:w="2200"/>
            <w:tcMar>
              <w:top w:type="dxa" w:w="60"/>
              <w:left w:type="dxa" w:w="100"/>
              <w:bottom w:type="dxa" w:w="60"/>
              <w:right w:type="dxa" w:w="100"/>
            </w:tcMar>
          </w:tcPr>
          <w:p>
            <w:r>
              <w:rPr>
                <w:b w:val="false"/>
                <w:bCs w:val="false"/>
                <w:sz w:val="19"/>
                <w:szCs w:val="19"/>
              </w:rPr>
              <w:t xml:space="preserve">Acceso seguro a aplicaciones privadas y de negocio</w:t>
            </w:r>
          </w:p>
        </w:tc>
        <w:tc>
          <w:tcPr>
            <w:tcW w:type="dxa" w:w="2400"/>
            <w:tcMar>
              <w:top w:type="dxa" w:w="60"/>
              <w:left w:type="dxa" w:w="100"/>
              <w:bottom w:type="dxa" w:w="60"/>
              <w:right w:type="dxa" w:w="100"/>
            </w:tcMar>
          </w:tcPr>
          <w:p>
            <w:r>
              <w:rPr>
                <w:b w:val="false"/>
                <w:bCs w:val="false"/>
                <w:sz w:val="19"/>
                <w:szCs w:val="19"/>
              </w:rPr>
              <w:t xml:space="preserve">Dynamics 365 / Business Central</w:t>
            </w:r>
          </w:p>
        </w:tc>
        <w:tc>
          <w:tcPr>
            <w:tcW w:type="dxa" w:w="5200"/>
            <w:tcMar>
              <w:top w:type="dxa" w:w="60"/>
              <w:left w:type="dxa" w:w="100"/>
              <w:bottom w:type="dxa" w:w="60"/>
              <w:right w:type="dxa" w:w="100"/>
            </w:tcMar>
          </w:tcPr>
          <w:p>
            <w:r>
              <w:rPr>
                <w:b w:val="false"/>
                <w:bCs w:val="false"/>
                <w:sz w:val="19"/>
                <w:szCs w:val="19"/>
              </w:rPr>
              <w:t xml:space="preserve">Da acceso basado en identidad y postura a usuarios remotos y terceros que operan Dynamics 365 y sistemas relacionados.</w:t>
            </w:r>
          </w:p>
        </w:tc>
      </w:tr>
      <w:tr>
        <w:tc>
          <w:tcPr>
            <w:tcW w:type="dxa" w:w="2500"/>
            <w:shd w:fill="F2F5FA" w:color="auto" w:val="clear"/>
            <w:tcMar>
              <w:top w:type="dxa" w:w="60"/>
              <w:left w:type="dxa" w:w="100"/>
              <w:bottom w:type="dxa" w:w="60"/>
              <w:right w:type="dxa" w:w="100"/>
            </w:tcMar>
          </w:tcPr>
          <w:p>
            <w:r>
              <w:rPr>
                <w:b/>
                <w:bCs/>
                <w:sz w:val="19"/>
                <w:szCs w:val="19"/>
              </w:rPr>
              <w:t xml:space="preserve">Meraki / Cisco SD-WAN multisede</w:t>
            </w:r>
          </w:p>
        </w:tc>
        <w:tc>
          <w:tcPr>
            <w:tcW w:type="dxa" w:w="2100"/>
            <w:shd w:fill="F2F5FA" w:color="auto" w:val="clear"/>
            <w:tcMar>
              <w:top w:type="dxa" w:w="60"/>
              <w:left w:type="dxa" w:w="100"/>
              <w:bottom w:type="dxa" w:w="60"/>
              <w:right w:type="dxa" w:w="100"/>
            </w:tcMar>
          </w:tcPr>
          <w:p>
            <w:r>
              <w:rPr>
                <w:b w:val="false"/>
                <w:bCs w:val="false"/>
                <w:sz w:val="19"/>
                <w:szCs w:val="19"/>
              </w:rPr>
              <w:t xml:space="preserve">S3. Meraki Cloud Managed; S5. SD-WAN Seguro</w:t>
            </w:r>
          </w:p>
        </w:tc>
        <w:tc>
          <w:tcPr>
            <w:tcW w:type="dxa" w:w="2200"/>
            <w:shd w:fill="F2F5FA" w:color="auto" w:val="clear"/>
            <w:tcMar>
              <w:top w:type="dxa" w:w="60"/>
              <w:left w:type="dxa" w:w="100"/>
              <w:bottom w:type="dxa" w:w="60"/>
              <w:right w:type="dxa" w:w="100"/>
            </w:tcMar>
          </w:tcPr>
          <w:p>
            <w:r>
              <w:rPr>
                <w:b w:val="false"/>
                <w:bCs w:val="false"/>
                <w:sz w:val="19"/>
                <w:szCs w:val="19"/>
              </w:rPr>
              <w:t xml:space="preserve">Conectividad de sucursales y última milla</w:t>
            </w:r>
          </w:p>
        </w:tc>
        <w:tc>
          <w:tcPr>
            <w:tcW w:type="dxa" w:w="2400"/>
            <w:shd w:fill="F2F5FA" w:color="auto" w:val="clear"/>
            <w:tcMar>
              <w:top w:type="dxa" w:w="60"/>
              <w:left w:type="dxa" w:w="100"/>
              <w:bottom w:type="dxa" w:w="60"/>
              <w:right w:type="dxa" w:w="100"/>
            </w:tcMar>
          </w:tcPr>
          <w:p>
            <w:r>
              <w:rPr>
                <w:b w:val="false"/>
                <w:bCs w:val="false"/>
                <w:sz w:val="19"/>
                <w:szCs w:val="19"/>
              </w:rPr>
              <w:t xml:space="preserve">Dynamics 365 / Azure ExpressRoute</w:t>
            </w:r>
          </w:p>
        </w:tc>
        <w:tc>
          <w:tcPr>
            <w:tcW w:type="dxa" w:w="5200"/>
            <w:shd w:fill="F2F5FA" w:color="auto" w:val="clear"/>
            <w:tcMar>
              <w:top w:type="dxa" w:w="60"/>
              <w:left w:type="dxa" w:w="100"/>
              <w:bottom w:type="dxa" w:w="60"/>
              <w:right w:type="dxa" w:w="100"/>
            </w:tcMar>
          </w:tcPr>
          <w:p>
            <w:r>
              <w:rPr>
                <w:b w:val="false"/>
                <w:bCs w:val="false"/>
                <w:sz w:val="19"/>
                <w:szCs w:val="19"/>
              </w:rPr>
              <w:t xml:space="preserve">Asegura un desempeño estable de Dynamics 365 en todas las sedes. Microsoft aloja la aplicación y Cisco transporta el tráfico.</w:t>
            </w:r>
          </w:p>
        </w:tc>
      </w:tr>
    </w:tbl>
    <w:p>
      <w:pPr>
        <w:pStyle w:val="Heading2"/>
        <w:keepNext/>
        <w:spacing w:after="60" w:before="200"/>
      </w:pPr>
      <w:r>
        <w:t xml:space="preserve">6. Automatización</w:t>
      </w:r>
    </w:p>
    <w:p>
      <w:pPr>
        <w:spacing w:after="120"/>
      </w:pPr>
      <w:r>
        <w:rPr>
          <w:i/>
          <w:iCs/>
          <w:color w:val="555555"/>
          <w:sz w:val="19"/>
          <w:szCs w:val="19"/>
        </w:rPr>
        <w:t xml:space="preserve">Eventos y acciones de red que se orquestan desde Power Platform.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00"/>
        <w:gridCol w:w="2400"/>
        <w:gridCol w:w="52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Producto Cisco</w:t>
            </w:r>
          </w:p>
        </w:tc>
        <w:tc>
          <w:tcPr>
            <w:tcW w:type="dxa" w:w="2100"/>
            <w:shd w:fill="1F3864" w:color="auto" w:val="clear"/>
            <w:tcMar>
              <w:top w:type="dxa" w:w="60"/>
              <w:left w:type="dxa" w:w="100"/>
              <w:bottom w:type="dxa" w:w="60"/>
              <w:right w:type="dxa" w:w="100"/>
            </w:tcMar>
          </w:tcPr>
          <w:p>
            <w:r>
              <w:rPr>
                <w:b/>
                <w:bCs/>
                <w:color w:val="FFFFFF"/>
                <w:sz w:val="19"/>
                <w:szCs w:val="19"/>
              </w:rPr>
              <w:t xml:space="preserve">Servicio de origen (Modelo)</w:t>
            </w:r>
          </w:p>
        </w:tc>
        <w:tc>
          <w:tcPr>
            <w:tcW w:type="dxa" w:w="2200"/>
            <w:shd w:fill="1F3864" w:color="auto" w:val="clear"/>
            <w:tcMar>
              <w:top w:type="dxa" w:w="60"/>
              <w:left w:type="dxa" w:w="100"/>
              <w:bottom w:type="dxa" w:w="60"/>
              <w:right w:type="dxa" w:w="100"/>
            </w:tcMar>
          </w:tcPr>
          <w:p>
            <w:r>
              <w:rPr>
                <w:b/>
                <w:bCs/>
                <w:color w:val="FFFFFF"/>
                <w:sz w:val="19"/>
                <w:szCs w:val="19"/>
              </w:rPr>
              <w:t xml:space="preserve">Capa / función</w:t>
            </w:r>
          </w:p>
        </w:tc>
        <w:tc>
          <w:tcPr>
            <w:tcW w:type="dxa" w:w="2400"/>
            <w:shd w:fill="1F3864" w:color="auto" w:val="clear"/>
            <w:tcMar>
              <w:top w:type="dxa" w:w="60"/>
              <w:left w:type="dxa" w:w="100"/>
              <w:bottom w:type="dxa" w:w="60"/>
              <w:right w:type="dxa" w:w="100"/>
            </w:tcMar>
          </w:tcPr>
          <w:p>
            <w:r>
              <w:rPr>
                <w:b/>
                <w:bCs/>
                <w:color w:val="FFFFFF"/>
                <w:sz w:val="19"/>
                <w:szCs w:val="19"/>
              </w:rPr>
              <w:t xml:space="preserve">Producto Microsoft asociado</w:t>
            </w:r>
          </w:p>
        </w:tc>
        <w:tc>
          <w:tcPr>
            <w:tcW w:type="dxa" w:w="5200"/>
            <w:shd w:fill="1F3864" w:color="auto" w:val="clear"/>
            <w:tcMar>
              <w:top w:type="dxa" w:w="60"/>
              <w:left w:type="dxa" w:w="100"/>
              <w:bottom w:type="dxa" w:w="60"/>
              <w:right w:type="dxa" w:w="100"/>
            </w:tcMar>
          </w:tcPr>
          <w:p>
            <w:r>
              <w:rPr>
                <w:b/>
                <w:bCs/>
                <w:color w:val="FFFFFF"/>
                <w:sz w:val="19"/>
                <w:szCs w:val="19"/>
              </w:rPr>
              <w:t xml:space="preserve">Cómo agrega valor</w:t>
            </w:r>
          </w:p>
        </w:tc>
      </w:tr>
      <w:tr>
        <w:tc>
          <w:tcPr>
            <w:tcW w:type="dxa" w:w="2500"/>
            <w:tcMar>
              <w:top w:type="dxa" w:w="60"/>
              <w:left w:type="dxa" w:w="100"/>
              <w:bottom w:type="dxa" w:w="60"/>
              <w:right w:type="dxa" w:w="100"/>
            </w:tcMar>
          </w:tcPr>
          <w:p>
            <w:r>
              <w:rPr>
                <w:b/>
                <w:bCs/>
                <w:sz w:val="19"/>
                <w:szCs w:val="19"/>
              </w:rPr>
              <w:t xml:space="preserve">Meraki Dashboard API y webhooks</w:t>
            </w:r>
          </w:p>
        </w:tc>
        <w:tc>
          <w:tcPr>
            <w:tcW w:type="dxa" w:w="2100"/>
            <w:tcMar>
              <w:top w:type="dxa" w:w="60"/>
              <w:left w:type="dxa" w:w="100"/>
              <w:bottom w:type="dxa" w:w="60"/>
              <w:right w:type="dxa" w:w="100"/>
            </w:tcMar>
          </w:tcPr>
          <w:p>
            <w:r>
              <w:rPr>
                <w:b w:val="false"/>
                <w:bCs w:val="false"/>
                <w:sz w:val="19"/>
                <w:szCs w:val="19"/>
              </w:rPr>
              <w:t xml:space="preserve">S3. Meraki Cloud Managed</w:t>
            </w:r>
          </w:p>
        </w:tc>
        <w:tc>
          <w:tcPr>
            <w:tcW w:type="dxa" w:w="2200"/>
            <w:tcMar>
              <w:top w:type="dxa" w:w="60"/>
              <w:left w:type="dxa" w:w="100"/>
              <w:bottom w:type="dxa" w:w="60"/>
              <w:right w:type="dxa" w:w="100"/>
            </w:tcMar>
          </w:tcPr>
          <w:p>
            <w:r>
              <w:rPr>
                <w:b w:val="false"/>
                <w:bCs w:val="false"/>
                <w:sz w:val="19"/>
                <w:szCs w:val="19"/>
              </w:rPr>
              <w:t xml:space="preserve">Automatización de red, alertas y configuración</w:t>
            </w:r>
          </w:p>
        </w:tc>
        <w:tc>
          <w:tcPr>
            <w:tcW w:type="dxa" w:w="2400"/>
            <w:tcMar>
              <w:top w:type="dxa" w:w="60"/>
              <w:left w:type="dxa" w:w="100"/>
              <w:bottom w:type="dxa" w:w="60"/>
              <w:right w:type="dxa" w:w="100"/>
            </w:tcMar>
          </w:tcPr>
          <w:p>
            <w:r>
              <w:rPr>
                <w:b w:val="false"/>
                <w:bCs w:val="false"/>
                <w:sz w:val="19"/>
                <w:szCs w:val="19"/>
              </w:rPr>
              <w:t xml:space="preserve">Power Automate / Logic Apps</w:t>
            </w:r>
          </w:p>
        </w:tc>
        <w:tc>
          <w:tcPr>
            <w:tcW w:type="dxa" w:w="5200"/>
            <w:tcMar>
              <w:top w:type="dxa" w:w="60"/>
              <w:left w:type="dxa" w:w="100"/>
              <w:bottom w:type="dxa" w:w="60"/>
              <w:right w:type="dxa" w:w="100"/>
            </w:tcMar>
          </w:tcPr>
          <w:p>
            <w:r>
              <w:rPr>
                <w:b w:val="false"/>
                <w:bCs w:val="false"/>
                <w:sz w:val="19"/>
                <w:szCs w:val="19"/>
              </w:rPr>
              <w:t xml:space="preserve">Expone alertas y acciones de red (altas, cambios, incidentes de sede) que se orquestan con flujos de Power Automate y Logic Apps.</w:t>
            </w:r>
          </w:p>
        </w:tc>
      </w:tr>
    </w:tbl>
    <w:p>
      <w:pPr>
        <w:pStyle w:val="Heading2"/>
        <w:keepNext/>
        <w:spacing w:after="60" w:before="200"/>
      </w:pPr>
      <w:r>
        <w:t xml:space="preserve">7. Inteligencia Artificial</w:t>
      </w:r>
    </w:p>
    <w:p>
      <w:pPr>
        <w:spacing w:after="120"/>
      </w:pPr>
      <w:r>
        <w:rPr>
          <w:i/>
          <w:iCs/>
          <w:color w:val="555555"/>
          <w:sz w:val="19"/>
          <w:szCs w:val="19"/>
        </w:rPr>
        <w:t xml:space="preserve">Seguridad especializada del ciclo de vida de modelos y agentes de IA.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00"/>
        <w:gridCol w:w="2400"/>
        <w:gridCol w:w="52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Producto Cisco</w:t>
            </w:r>
          </w:p>
        </w:tc>
        <w:tc>
          <w:tcPr>
            <w:tcW w:type="dxa" w:w="2100"/>
            <w:shd w:fill="1F3864" w:color="auto" w:val="clear"/>
            <w:tcMar>
              <w:top w:type="dxa" w:w="60"/>
              <w:left w:type="dxa" w:w="100"/>
              <w:bottom w:type="dxa" w:w="60"/>
              <w:right w:type="dxa" w:w="100"/>
            </w:tcMar>
          </w:tcPr>
          <w:p>
            <w:r>
              <w:rPr>
                <w:b/>
                <w:bCs/>
                <w:color w:val="FFFFFF"/>
                <w:sz w:val="19"/>
                <w:szCs w:val="19"/>
              </w:rPr>
              <w:t xml:space="preserve">Servicio de origen (Modelo)</w:t>
            </w:r>
          </w:p>
        </w:tc>
        <w:tc>
          <w:tcPr>
            <w:tcW w:type="dxa" w:w="2200"/>
            <w:shd w:fill="1F3864" w:color="auto" w:val="clear"/>
            <w:tcMar>
              <w:top w:type="dxa" w:w="60"/>
              <w:left w:type="dxa" w:w="100"/>
              <w:bottom w:type="dxa" w:w="60"/>
              <w:right w:type="dxa" w:w="100"/>
            </w:tcMar>
          </w:tcPr>
          <w:p>
            <w:r>
              <w:rPr>
                <w:b/>
                <w:bCs/>
                <w:color w:val="FFFFFF"/>
                <w:sz w:val="19"/>
                <w:szCs w:val="19"/>
              </w:rPr>
              <w:t xml:space="preserve">Capa / función</w:t>
            </w:r>
          </w:p>
        </w:tc>
        <w:tc>
          <w:tcPr>
            <w:tcW w:type="dxa" w:w="2400"/>
            <w:shd w:fill="1F3864" w:color="auto" w:val="clear"/>
            <w:tcMar>
              <w:top w:type="dxa" w:w="60"/>
              <w:left w:type="dxa" w:w="100"/>
              <w:bottom w:type="dxa" w:w="60"/>
              <w:right w:type="dxa" w:w="100"/>
            </w:tcMar>
          </w:tcPr>
          <w:p>
            <w:r>
              <w:rPr>
                <w:b/>
                <w:bCs/>
                <w:color w:val="FFFFFF"/>
                <w:sz w:val="19"/>
                <w:szCs w:val="19"/>
              </w:rPr>
              <w:t xml:space="preserve">Producto Microsoft asociado</w:t>
            </w:r>
          </w:p>
        </w:tc>
        <w:tc>
          <w:tcPr>
            <w:tcW w:type="dxa" w:w="5200"/>
            <w:shd w:fill="1F3864" w:color="auto" w:val="clear"/>
            <w:tcMar>
              <w:top w:type="dxa" w:w="60"/>
              <w:left w:type="dxa" w:w="100"/>
              <w:bottom w:type="dxa" w:w="60"/>
              <w:right w:type="dxa" w:w="100"/>
            </w:tcMar>
          </w:tcPr>
          <w:p>
            <w:r>
              <w:rPr>
                <w:b/>
                <w:bCs/>
                <w:color w:val="FFFFFF"/>
                <w:sz w:val="19"/>
                <w:szCs w:val="19"/>
              </w:rPr>
              <w:t xml:space="preserve">Cómo agrega valor</w:t>
            </w:r>
          </w:p>
        </w:tc>
      </w:tr>
      <w:tr>
        <w:tc>
          <w:tcPr>
            <w:tcW w:type="dxa" w:w="2500"/>
            <w:tcMar>
              <w:top w:type="dxa" w:w="60"/>
              <w:left w:type="dxa" w:w="100"/>
              <w:bottom w:type="dxa" w:w="60"/>
              <w:right w:type="dxa" w:w="100"/>
            </w:tcMar>
          </w:tcPr>
          <w:p>
            <w:r>
              <w:rPr>
                <w:b/>
                <w:bCs/>
                <w:sz w:val="19"/>
                <w:szCs w:val="19"/>
              </w:rPr>
              <w:t xml:space="preserve">Cisco AI Defense – AI Inventory y AI Supply Chain Risk Mgmt.</w:t>
            </w:r>
          </w:p>
        </w:tc>
        <w:tc>
          <w:tcPr>
            <w:tcW w:type="dxa" w:w="2100"/>
            <w:tcMar>
              <w:top w:type="dxa" w:w="60"/>
              <w:left w:type="dxa" w:w="100"/>
              <w:bottom w:type="dxa" w:w="60"/>
              <w:right w:type="dxa" w:w="100"/>
            </w:tcMar>
          </w:tcPr>
          <w:p>
            <w:r>
              <w:rPr>
                <w:b w:val="false"/>
                <w:bCs w:val="false"/>
                <w:sz w:val="19"/>
                <w:szCs w:val="19"/>
              </w:rPr>
              <w:t xml:space="preserve">S7. Cisco AI Defense</w:t>
            </w:r>
          </w:p>
        </w:tc>
        <w:tc>
          <w:tcPr>
            <w:tcW w:type="dxa" w:w="2200"/>
            <w:tcMar>
              <w:top w:type="dxa" w:w="60"/>
              <w:left w:type="dxa" w:w="100"/>
              <w:bottom w:type="dxa" w:w="60"/>
              <w:right w:type="dxa" w:w="100"/>
            </w:tcMar>
          </w:tcPr>
          <w:p>
            <w:r>
              <w:rPr>
                <w:b w:val="false"/>
                <w:bCs w:val="false"/>
                <w:sz w:val="19"/>
                <w:szCs w:val="19"/>
              </w:rPr>
              <w:t xml:space="preserve">Inventario de modelos, agentes, servidores MCP y cadena de suministro</w:t>
            </w:r>
          </w:p>
        </w:tc>
        <w:tc>
          <w:tcPr>
            <w:tcW w:type="dxa" w:w="2400"/>
            <w:tcMar>
              <w:top w:type="dxa" w:w="60"/>
              <w:left w:type="dxa" w:w="100"/>
              <w:bottom w:type="dxa" w:w="60"/>
              <w:right w:type="dxa" w:w="100"/>
            </w:tcMar>
          </w:tcPr>
          <w:p>
            <w:r>
              <w:rPr>
                <w:b w:val="false"/>
                <w:bCs w:val="false"/>
                <w:sz w:val="19"/>
                <w:szCs w:val="19"/>
              </w:rPr>
              <w:t xml:space="preserve">Azure AI Foundry / Copilot Studio</w:t>
            </w:r>
          </w:p>
        </w:tc>
        <w:tc>
          <w:tcPr>
            <w:tcW w:type="dxa" w:w="5200"/>
            <w:tcMar>
              <w:top w:type="dxa" w:w="60"/>
              <w:left w:type="dxa" w:w="100"/>
              <w:bottom w:type="dxa" w:w="60"/>
              <w:right w:type="dxa" w:w="100"/>
            </w:tcMar>
          </w:tcPr>
          <w:p>
            <w:r>
              <w:rPr>
                <w:b w:val="false"/>
                <w:bCs w:val="false"/>
                <w:sz w:val="19"/>
                <w:szCs w:val="19"/>
              </w:rPr>
              <w:t xml:space="preserve">Inventaría los activos de IA y evalúa el riesgo de modelos y componentes de terceros antes de desplegarlos en Azure AI Foundry.</w:t>
            </w:r>
          </w:p>
        </w:tc>
      </w:tr>
      <w:tr>
        <w:tc>
          <w:tcPr>
            <w:tcW w:type="dxa" w:w="2500"/>
            <w:shd w:fill="F2F5FA" w:color="auto" w:val="clear"/>
            <w:tcMar>
              <w:top w:type="dxa" w:w="60"/>
              <w:left w:type="dxa" w:w="100"/>
              <w:bottom w:type="dxa" w:w="60"/>
              <w:right w:type="dxa" w:w="100"/>
            </w:tcMar>
          </w:tcPr>
          <w:p>
            <w:r>
              <w:rPr>
                <w:b/>
                <w:bCs/>
                <w:sz w:val="19"/>
                <w:szCs w:val="19"/>
              </w:rPr>
              <w:t xml:space="preserve">Cisco AI Defense – AI Model &amp; App Validation</w:t>
            </w:r>
          </w:p>
        </w:tc>
        <w:tc>
          <w:tcPr>
            <w:tcW w:type="dxa" w:w="2100"/>
            <w:shd w:fill="F2F5FA" w:color="auto" w:val="clear"/>
            <w:tcMar>
              <w:top w:type="dxa" w:w="60"/>
              <w:left w:type="dxa" w:w="100"/>
              <w:bottom w:type="dxa" w:w="60"/>
              <w:right w:type="dxa" w:w="100"/>
            </w:tcMar>
          </w:tcPr>
          <w:p>
            <w:r>
              <w:rPr>
                <w:b w:val="false"/>
                <w:bCs w:val="false"/>
                <w:sz w:val="19"/>
                <w:szCs w:val="19"/>
              </w:rPr>
              <w:t xml:space="preserve">S7. Cisco AI Defense</w:t>
            </w:r>
          </w:p>
        </w:tc>
        <w:tc>
          <w:tcPr>
            <w:tcW w:type="dxa" w:w="2200"/>
            <w:shd w:fill="F2F5FA" w:color="auto" w:val="clear"/>
            <w:tcMar>
              <w:top w:type="dxa" w:w="60"/>
              <w:left w:type="dxa" w:w="100"/>
              <w:bottom w:type="dxa" w:w="60"/>
              <w:right w:type="dxa" w:w="100"/>
            </w:tcMar>
          </w:tcPr>
          <w:p>
            <w:r>
              <w:rPr>
                <w:b w:val="false"/>
                <w:bCs w:val="false"/>
                <w:sz w:val="19"/>
                <w:szCs w:val="19"/>
              </w:rPr>
              <w:t xml:space="preserve">Pruebas algorítmicas de seguridad de modelos y aplicaciones</w:t>
            </w:r>
          </w:p>
        </w:tc>
        <w:tc>
          <w:tcPr>
            <w:tcW w:type="dxa" w:w="2400"/>
            <w:shd w:fill="F2F5FA" w:color="auto" w:val="clear"/>
            <w:tcMar>
              <w:top w:type="dxa" w:w="60"/>
              <w:left w:type="dxa" w:w="100"/>
              <w:bottom w:type="dxa" w:w="60"/>
              <w:right w:type="dxa" w:w="100"/>
            </w:tcMar>
          </w:tcPr>
          <w:p>
            <w:r>
              <w:rPr>
                <w:b w:val="false"/>
                <w:bCs w:val="false"/>
                <w:sz w:val="19"/>
                <w:szCs w:val="19"/>
              </w:rPr>
              <w:t xml:space="preserve">Azure AI Foundry / Azure OpenAI</w:t>
            </w:r>
          </w:p>
        </w:tc>
        <w:tc>
          <w:tcPr>
            <w:tcW w:type="dxa" w:w="5200"/>
            <w:shd w:fill="F2F5FA" w:color="auto" w:val="clear"/>
            <w:tcMar>
              <w:top w:type="dxa" w:w="60"/>
              <w:left w:type="dxa" w:w="100"/>
              <w:bottom w:type="dxa" w:w="60"/>
              <w:right w:type="dxa" w:w="100"/>
            </w:tcMar>
          </w:tcPr>
          <w:p>
            <w:r>
              <w:rPr>
                <w:b w:val="false"/>
                <w:bCs w:val="false"/>
                <w:sz w:val="19"/>
                <w:szCs w:val="19"/>
              </w:rPr>
              <w:t xml:space="preserve">Valida modelos y aplicaciones contra prompt injection, jailbreak y fuga de datos antes de pasarlos a producción.</w:t>
            </w:r>
          </w:p>
        </w:tc>
      </w:tr>
      <w:tr>
        <w:tc>
          <w:tcPr>
            <w:tcW w:type="dxa" w:w="2500"/>
            <w:tcMar>
              <w:top w:type="dxa" w:w="60"/>
              <w:left w:type="dxa" w:w="100"/>
              <w:bottom w:type="dxa" w:w="60"/>
              <w:right w:type="dxa" w:w="100"/>
            </w:tcMar>
          </w:tcPr>
          <w:p>
            <w:r>
              <w:rPr>
                <w:b/>
                <w:bCs/>
                <w:sz w:val="19"/>
                <w:szCs w:val="19"/>
              </w:rPr>
              <w:t xml:space="preserve">Cisco AI Defense – AI Runtime Protection (alcance definido)</w:t>
            </w:r>
          </w:p>
        </w:tc>
        <w:tc>
          <w:tcPr>
            <w:tcW w:type="dxa" w:w="2100"/>
            <w:tcMar>
              <w:top w:type="dxa" w:w="60"/>
              <w:left w:type="dxa" w:w="100"/>
              <w:bottom w:type="dxa" w:w="60"/>
              <w:right w:type="dxa" w:w="100"/>
            </w:tcMar>
          </w:tcPr>
          <w:p>
            <w:r>
              <w:rPr>
                <w:b w:val="false"/>
                <w:bCs w:val="false"/>
                <w:sz w:val="19"/>
                <w:szCs w:val="19"/>
              </w:rPr>
              <w:t xml:space="preserve">S7. Cisco AI Defense</w:t>
            </w:r>
          </w:p>
        </w:tc>
        <w:tc>
          <w:tcPr>
            <w:tcW w:type="dxa" w:w="2200"/>
            <w:tcMar>
              <w:top w:type="dxa" w:w="60"/>
              <w:left w:type="dxa" w:w="100"/>
              <w:bottom w:type="dxa" w:w="60"/>
              <w:right w:type="dxa" w:w="100"/>
            </w:tcMar>
          </w:tcPr>
          <w:p>
            <w:r>
              <w:rPr>
                <w:b w:val="false"/>
                <w:bCs w:val="false"/>
                <w:sz w:val="19"/>
                <w:szCs w:val="19"/>
              </w:rPr>
              <w:t xml:space="preserve">Protección en tiempo real de agentes y respuestas</w:t>
            </w:r>
          </w:p>
        </w:tc>
        <w:tc>
          <w:tcPr>
            <w:tcW w:type="dxa" w:w="2400"/>
            <w:tcMar>
              <w:top w:type="dxa" w:w="60"/>
              <w:left w:type="dxa" w:w="100"/>
              <w:bottom w:type="dxa" w:w="60"/>
              <w:right w:type="dxa" w:w="100"/>
            </w:tcMar>
          </w:tcPr>
          <w:p>
            <w:r>
              <w:rPr>
                <w:b w:val="false"/>
                <w:bCs w:val="false"/>
                <w:sz w:val="19"/>
                <w:szCs w:val="19"/>
              </w:rPr>
              <w:t xml:space="preserve">Copilot Studio / Azure OpenAI</w:t>
            </w:r>
          </w:p>
        </w:tc>
        <w:tc>
          <w:tcPr>
            <w:tcW w:type="dxa" w:w="5200"/>
            <w:tcMar>
              <w:top w:type="dxa" w:w="60"/>
              <w:left w:type="dxa" w:w="100"/>
              <w:bottom w:type="dxa" w:w="60"/>
              <w:right w:type="dxa" w:w="100"/>
            </w:tcMar>
          </w:tcPr>
          <w:p>
            <w:r>
              <w:rPr>
                <w:b w:val="false"/>
                <w:bCs w:val="false"/>
                <w:sz w:val="19"/>
                <w:szCs w:val="19"/>
              </w:rPr>
              <w:t xml:space="preserve">Agrega una capa de protección de red sobre el tráfico de inferencia. Debe delimitarse frente a Prompt Shields y Defender for AI.</w:t>
            </w:r>
          </w:p>
        </w:tc>
      </w:tr>
    </w:tbl>
    <w:p>
      <w:pPr>
        <w:pStyle w:val="Heading1"/>
        <w:pageBreakBefore/>
        <w:spacing w:after="80" w:before="240"/>
      </w:pPr>
      <w:r>
        <w:t xml:space="preserve">C. Productos del Modelo excluidos por colisión con Microsoft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5600"/>
        <w:gridCol w:w="1800"/>
      </w:tblGrid>
      <w:tr>
        <w:trPr>
          <w:tblHeader/>
        </w:trPr>
        <w:tc>
          <w:tcPr>
            <w:tcW w:type="dxa" w:w="3600"/>
            <w:shd w:fill="1F3864" w:color="auto" w:val="clear"/>
            <w:tcMar>
              <w:top w:type="dxa" w:w="60"/>
              <w:left w:type="dxa" w:w="100"/>
              <w:bottom w:type="dxa" w:w="60"/>
              <w:right w:type="dxa" w:w="100"/>
            </w:tcMar>
          </w:tcPr>
          <w:p>
            <w:r>
              <w:rPr>
                <w:b/>
                <w:bCs/>
                <w:color w:val="FFFFFF"/>
                <w:sz w:val="19"/>
                <w:szCs w:val="19"/>
              </w:rPr>
              <w:t xml:space="preserve">Producto Cisco</w:t>
            </w:r>
          </w:p>
        </w:tc>
        <w:tc>
          <w:tcPr>
            <w:tcW w:type="dxa" w:w="3400"/>
            <w:shd w:fill="1F3864" w:color="auto" w:val="clear"/>
            <w:tcMar>
              <w:top w:type="dxa" w:w="60"/>
              <w:left w:type="dxa" w:w="100"/>
              <w:bottom w:type="dxa" w:w="60"/>
              <w:right w:type="dxa" w:w="100"/>
            </w:tcMar>
          </w:tcPr>
          <w:p>
            <w:r>
              <w:rPr>
                <w:b/>
                <w:bCs/>
                <w:color w:val="FFFFFF"/>
                <w:sz w:val="19"/>
                <w:szCs w:val="19"/>
              </w:rPr>
              <w:t xml:space="preserve">Origen en el Modelo</w:t>
            </w:r>
          </w:p>
        </w:tc>
        <w:tc>
          <w:tcPr>
            <w:tcW w:type="dxa" w:w="5600"/>
            <w:shd w:fill="1F3864" w:color="auto" w:val="clear"/>
            <w:tcMar>
              <w:top w:type="dxa" w:w="60"/>
              <w:left w:type="dxa" w:w="100"/>
              <w:bottom w:type="dxa" w:w="60"/>
              <w:right w:type="dxa" w:w="100"/>
            </w:tcMar>
          </w:tcPr>
          <w:p>
            <w:r>
              <w:rPr>
                <w:b/>
                <w:bCs/>
                <w:color w:val="FFFFFF"/>
                <w:sz w:val="19"/>
                <w:szCs w:val="19"/>
              </w:rPr>
              <w:t xml:space="preserve">Producto Microsoft con el que colisiona</w:t>
            </w:r>
          </w:p>
        </w:tc>
        <w:tc>
          <w:tcPr>
            <w:tcW w:type="dxa" w:w="1800"/>
            <w:shd w:fill="1F3864" w:color="auto" w:val="clear"/>
            <w:tcMar>
              <w:top w:type="dxa" w:w="60"/>
              <w:left w:type="dxa" w:w="100"/>
              <w:bottom w:type="dxa" w:w="60"/>
              <w:right w:type="dxa" w:w="100"/>
            </w:tcMar>
          </w:tcPr>
          <w:p>
            <w:r>
              <w:rPr>
                <w:b/>
                <w:bCs/>
                <w:color w:val="FFFFFF"/>
                <w:sz w:val="19"/>
                <w:szCs w:val="19"/>
              </w:rPr>
              <w:t xml:space="preserve">Colisión</w:t>
            </w:r>
          </w:p>
        </w:tc>
      </w:tr>
      <w:tr>
        <w:tc>
          <w:tcPr>
            <w:tcW w:type="dxa" w:w="3600"/>
            <w:tcMar>
              <w:top w:type="dxa" w:w="60"/>
              <w:left w:type="dxa" w:w="100"/>
              <w:bottom w:type="dxa" w:w="60"/>
              <w:right w:type="dxa" w:w="100"/>
            </w:tcMar>
          </w:tcPr>
          <w:p>
            <w:r>
              <w:rPr>
                <w:b/>
                <w:bCs/>
                <w:sz w:val="19"/>
                <w:szCs w:val="19"/>
              </w:rPr>
              <w:t xml:space="preserve">Cisco Duo (MFA)</w:t>
            </w:r>
          </w:p>
        </w:tc>
        <w:tc>
          <w:tcPr>
            <w:tcW w:type="dxa" w:w="3400"/>
            <w:tcMar>
              <w:top w:type="dxa" w:w="60"/>
              <w:left w:type="dxa" w:w="100"/>
              <w:bottom w:type="dxa" w:w="60"/>
              <w:right w:type="dxa" w:w="100"/>
            </w:tcMar>
          </w:tcPr>
          <w:p>
            <w:r>
              <w:rPr>
                <w:b w:val="false"/>
                <w:bCs w:val="false"/>
                <w:sz w:val="19"/>
                <w:szCs w:val="19"/>
              </w:rPr>
              <w:t xml:space="preserve">S1 / User Protection</w:t>
            </w:r>
          </w:p>
        </w:tc>
        <w:tc>
          <w:tcPr>
            <w:tcW w:type="dxa" w:w="5600"/>
            <w:tcMar>
              <w:top w:type="dxa" w:w="60"/>
              <w:left w:type="dxa" w:w="100"/>
              <w:bottom w:type="dxa" w:w="60"/>
              <w:right w:type="dxa" w:w="100"/>
            </w:tcMar>
          </w:tcPr>
          <w:p>
            <w:r>
              <w:rPr>
                <w:b w:val="false"/>
                <w:bCs w:val="false"/>
                <w:sz w:val="19"/>
                <w:szCs w:val="19"/>
              </w:rPr>
              <w:t xml:space="preserve">Microsoft Entra ID (MFA, Acceso Condicional)</w:t>
            </w:r>
          </w:p>
        </w:tc>
        <w:tc>
          <w:tcPr>
            <w:tcW w:type="dxa" w:w="1800"/>
            <w:tcMar>
              <w:top w:type="dxa" w:w="60"/>
              <w:left w:type="dxa" w:w="100"/>
              <w:bottom w:type="dxa" w:w="60"/>
              <w:right w:type="dxa" w:w="100"/>
            </w:tcMar>
          </w:tcPr>
          <w:p>
            <w:r>
              <w:rPr>
                <w:b w:val="false"/>
                <w:bCs w:val="false"/>
                <w:sz w:val="19"/>
                <w:szCs w:val="19"/>
              </w:rPr>
              <w:t xml:space="preserve">Alta</w:t>
            </w:r>
          </w:p>
        </w:tc>
      </w:tr>
      <w:tr>
        <w:tc>
          <w:tcPr>
            <w:tcW w:type="dxa" w:w="3600"/>
            <w:shd w:fill="F2F5FA" w:color="auto" w:val="clear"/>
            <w:tcMar>
              <w:top w:type="dxa" w:w="60"/>
              <w:left w:type="dxa" w:w="100"/>
              <w:bottom w:type="dxa" w:w="60"/>
              <w:right w:type="dxa" w:w="100"/>
            </w:tcMar>
          </w:tcPr>
          <w:p>
            <w:r>
              <w:rPr>
                <w:b/>
                <w:bCs/>
                <w:sz w:val="19"/>
                <w:szCs w:val="19"/>
              </w:rPr>
              <w:t xml:space="preserve">Cisco Identity Intelligence (ISPM / ITDR)</w:t>
            </w:r>
          </w:p>
        </w:tc>
        <w:tc>
          <w:tcPr>
            <w:tcW w:type="dxa" w:w="3400"/>
            <w:shd w:fill="F2F5FA" w:color="auto" w:val="clear"/>
            <w:tcMar>
              <w:top w:type="dxa" w:w="60"/>
              <w:left w:type="dxa" w:w="100"/>
              <w:bottom w:type="dxa" w:w="60"/>
              <w:right w:type="dxa" w:w="100"/>
            </w:tcMar>
          </w:tcPr>
          <w:p>
            <w:r>
              <w:rPr>
                <w:b w:val="false"/>
                <w:bCs w:val="false"/>
                <w:sz w:val="19"/>
                <w:szCs w:val="19"/>
              </w:rPr>
              <w:t xml:space="preserve">S1 / User Protection</w:t>
            </w:r>
          </w:p>
        </w:tc>
        <w:tc>
          <w:tcPr>
            <w:tcW w:type="dxa" w:w="5600"/>
            <w:shd w:fill="F2F5FA" w:color="auto" w:val="clear"/>
            <w:tcMar>
              <w:top w:type="dxa" w:w="60"/>
              <w:left w:type="dxa" w:w="100"/>
              <w:bottom w:type="dxa" w:w="60"/>
              <w:right w:type="dxa" w:w="100"/>
            </w:tcMar>
          </w:tcPr>
          <w:p>
            <w:r>
              <w:rPr>
                <w:b w:val="false"/>
                <w:bCs w:val="false"/>
                <w:sz w:val="19"/>
                <w:szCs w:val="19"/>
              </w:rPr>
              <w:t xml:space="preserve">Entra ID Protection / Defender for Identity</w:t>
            </w:r>
          </w:p>
        </w:tc>
        <w:tc>
          <w:tcPr>
            <w:tcW w:type="dxa" w:w="1800"/>
            <w:shd w:fill="F2F5FA" w:color="auto" w:val="clear"/>
            <w:tcMar>
              <w:top w:type="dxa" w:w="60"/>
              <w:left w:type="dxa" w:w="100"/>
              <w:bottom w:type="dxa" w:w="60"/>
              <w:right w:type="dxa" w:w="100"/>
            </w:tcMar>
          </w:tcPr>
          <w:p>
            <w:r>
              <w:rPr>
                <w:b w:val="false"/>
                <w:bCs w:val="false"/>
                <w:sz w:val="19"/>
                <w:szCs w:val="19"/>
              </w:rPr>
              <w:t xml:space="preserve">Alta</w:t>
            </w:r>
          </w:p>
        </w:tc>
      </w:tr>
      <w:tr>
        <w:tc>
          <w:tcPr>
            <w:tcW w:type="dxa" w:w="3600"/>
            <w:tcMar>
              <w:top w:type="dxa" w:w="60"/>
              <w:left w:type="dxa" w:w="100"/>
              <w:bottom w:type="dxa" w:w="60"/>
              <w:right w:type="dxa" w:w="100"/>
            </w:tcMar>
          </w:tcPr>
          <w:p>
            <w:r>
              <w:rPr>
                <w:b/>
                <w:bCs/>
                <w:sz w:val="19"/>
                <w:szCs w:val="19"/>
              </w:rPr>
              <w:t xml:space="preserve">Cisco Secure Email Threat Defense</w:t>
            </w:r>
          </w:p>
        </w:tc>
        <w:tc>
          <w:tcPr>
            <w:tcW w:type="dxa" w:w="3400"/>
            <w:tcMar>
              <w:top w:type="dxa" w:w="60"/>
              <w:left w:type="dxa" w:w="100"/>
              <w:bottom w:type="dxa" w:w="60"/>
              <w:right w:type="dxa" w:w="100"/>
            </w:tcMar>
          </w:tcPr>
          <w:p>
            <w:r>
              <w:rPr>
                <w:b w:val="false"/>
                <w:bCs w:val="false"/>
                <w:sz w:val="19"/>
                <w:szCs w:val="19"/>
              </w:rPr>
              <w:t xml:space="preserve">S1 / User Protection y Breach Protection</w:t>
            </w:r>
          </w:p>
        </w:tc>
        <w:tc>
          <w:tcPr>
            <w:tcW w:type="dxa" w:w="5600"/>
            <w:tcMar>
              <w:top w:type="dxa" w:w="60"/>
              <w:left w:type="dxa" w:w="100"/>
              <w:bottom w:type="dxa" w:w="60"/>
              <w:right w:type="dxa" w:w="100"/>
            </w:tcMar>
          </w:tcPr>
          <w:p>
            <w:r>
              <w:rPr>
                <w:b w:val="false"/>
                <w:bCs w:val="false"/>
                <w:sz w:val="19"/>
                <w:szCs w:val="19"/>
              </w:rPr>
              <w:t xml:space="preserve">Microsoft Defender for Office 365</w:t>
            </w:r>
          </w:p>
        </w:tc>
        <w:tc>
          <w:tcPr>
            <w:tcW w:type="dxa" w:w="1800"/>
            <w:tcMar>
              <w:top w:type="dxa" w:w="60"/>
              <w:left w:type="dxa" w:w="100"/>
              <w:bottom w:type="dxa" w:w="60"/>
              <w:right w:type="dxa" w:w="100"/>
            </w:tcMar>
          </w:tcPr>
          <w:p>
            <w:r>
              <w:rPr>
                <w:b w:val="false"/>
                <w:bCs w:val="false"/>
                <w:sz w:val="19"/>
                <w:szCs w:val="19"/>
              </w:rPr>
              <w:t xml:space="preserve">Alta</w:t>
            </w:r>
          </w:p>
        </w:tc>
      </w:tr>
      <w:tr>
        <w:tc>
          <w:tcPr>
            <w:tcW w:type="dxa" w:w="3600"/>
            <w:shd w:fill="F2F5FA" w:color="auto" w:val="clear"/>
            <w:tcMar>
              <w:top w:type="dxa" w:w="60"/>
              <w:left w:type="dxa" w:w="100"/>
              <w:bottom w:type="dxa" w:w="60"/>
              <w:right w:type="dxa" w:w="100"/>
            </w:tcMar>
          </w:tcPr>
          <w:p>
            <w:r>
              <w:rPr>
                <w:b/>
                <w:bCs/>
                <w:sz w:val="19"/>
                <w:szCs w:val="19"/>
              </w:rPr>
              <w:t xml:space="preserve">Cisco Secure Endpoint (EDR)</w:t>
            </w:r>
          </w:p>
        </w:tc>
        <w:tc>
          <w:tcPr>
            <w:tcW w:type="dxa" w:w="3400"/>
            <w:shd w:fill="F2F5FA" w:color="auto" w:val="clear"/>
            <w:tcMar>
              <w:top w:type="dxa" w:w="60"/>
              <w:left w:type="dxa" w:w="100"/>
              <w:bottom w:type="dxa" w:w="60"/>
              <w:right w:type="dxa" w:w="100"/>
            </w:tcMar>
          </w:tcPr>
          <w:p>
            <w:r>
              <w:rPr>
                <w:b w:val="false"/>
                <w:bCs w:val="false"/>
                <w:sz w:val="19"/>
                <w:szCs w:val="19"/>
              </w:rPr>
              <w:t xml:space="preserve">S1 / User Protection y Breach Protection</w:t>
            </w:r>
          </w:p>
        </w:tc>
        <w:tc>
          <w:tcPr>
            <w:tcW w:type="dxa" w:w="5600"/>
            <w:shd w:fill="F2F5FA" w:color="auto" w:val="clear"/>
            <w:tcMar>
              <w:top w:type="dxa" w:w="60"/>
              <w:left w:type="dxa" w:w="100"/>
              <w:bottom w:type="dxa" w:w="60"/>
              <w:right w:type="dxa" w:w="100"/>
            </w:tcMar>
          </w:tcPr>
          <w:p>
            <w:r>
              <w:rPr>
                <w:b w:val="false"/>
                <w:bCs w:val="false"/>
                <w:sz w:val="19"/>
                <w:szCs w:val="19"/>
              </w:rPr>
              <w:t xml:space="preserve">Microsoft Defender for Endpoint</w:t>
            </w:r>
          </w:p>
        </w:tc>
        <w:tc>
          <w:tcPr>
            <w:tcW w:type="dxa" w:w="1800"/>
            <w:shd w:fill="F2F5FA" w:color="auto" w:val="clear"/>
            <w:tcMar>
              <w:top w:type="dxa" w:w="60"/>
              <w:left w:type="dxa" w:w="100"/>
              <w:bottom w:type="dxa" w:w="60"/>
              <w:right w:type="dxa" w:w="100"/>
            </w:tcMar>
          </w:tcPr>
          <w:p>
            <w:r>
              <w:rPr>
                <w:b w:val="false"/>
                <w:bCs w:val="false"/>
                <w:sz w:val="19"/>
                <w:szCs w:val="19"/>
              </w:rPr>
              <w:t xml:space="preserve">Alta</w:t>
            </w:r>
          </w:p>
        </w:tc>
      </w:tr>
      <w:tr>
        <w:tc>
          <w:tcPr>
            <w:tcW w:type="dxa" w:w="3600"/>
            <w:tcMar>
              <w:top w:type="dxa" w:w="60"/>
              <w:left w:type="dxa" w:w="100"/>
              <w:bottom w:type="dxa" w:w="60"/>
              <w:right w:type="dxa" w:w="100"/>
            </w:tcMar>
          </w:tcPr>
          <w:p>
            <w:r>
              <w:rPr>
                <w:b/>
                <w:bCs/>
                <w:sz w:val="19"/>
                <w:szCs w:val="19"/>
              </w:rPr>
              <w:t xml:space="preserve">Cisco XDR</w:t>
            </w:r>
          </w:p>
        </w:tc>
        <w:tc>
          <w:tcPr>
            <w:tcW w:type="dxa" w:w="3400"/>
            <w:tcMar>
              <w:top w:type="dxa" w:w="60"/>
              <w:left w:type="dxa" w:w="100"/>
              <w:bottom w:type="dxa" w:w="60"/>
              <w:right w:type="dxa" w:w="100"/>
            </w:tcMar>
          </w:tcPr>
          <w:p>
            <w:r>
              <w:rPr>
                <w:b w:val="false"/>
                <w:bCs w:val="false"/>
                <w:sz w:val="19"/>
                <w:szCs w:val="19"/>
              </w:rPr>
              <w:t xml:space="preserve">S1 / Breach Protection</w:t>
            </w:r>
          </w:p>
        </w:tc>
        <w:tc>
          <w:tcPr>
            <w:tcW w:type="dxa" w:w="5600"/>
            <w:tcMar>
              <w:top w:type="dxa" w:w="60"/>
              <w:left w:type="dxa" w:w="100"/>
              <w:bottom w:type="dxa" w:w="60"/>
              <w:right w:type="dxa" w:w="100"/>
            </w:tcMar>
          </w:tcPr>
          <w:p>
            <w:r>
              <w:rPr>
                <w:b w:val="false"/>
                <w:bCs w:val="false"/>
                <w:sz w:val="19"/>
                <w:szCs w:val="19"/>
              </w:rPr>
              <w:t xml:space="preserve">Microsoft Defender XDR / Sentinel</w:t>
            </w:r>
          </w:p>
        </w:tc>
        <w:tc>
          <w:tcPr>
            <w:tcW w:type="dxa" w:w="1800"/>
            <w:tcMar>
              <w:top w:type="dxa" w:w="60"/>
              <w:left w:type="dxa" w:w="100"/>
              <w:bottom w:type="dxa" w:w="60"/>
              <w:right w:type="dxa" w:w="100"/>
            </w:tcMar>
          </w:tcPr>
          <w:p>
            <w:r>
              <w:rPr>
                <w:b w:val="false"/>
                <w:bCs w:val="false"/>
                <w:sz w:val="19"/>
                <w:szCs w:val="19"/>
              </w:rPr>
              <w:t xml:space="preserve">Alta</w:t>
            </w:r>
          </w:p>
        </w:tc>
      </w:tr>
      <w:tr>
        <w:tc>
          <w:tcPr>
            <w:tcW w:type="dxa" w:w="3600"/>
            <w:shd w:fill="F2F5FA" w:color="auto" w:val="clear"/>
            <w:tcMar>
              <w:top w:type="dxa" w:w="60"/>
              <w:left w:type="dxa" w:w="100"/>
              <w:bottom w:type="dxa" w:w="60"/>
              <w:right w:type="dxa" w:w="100"/>
            </w:tcMar>
          </w:tcPr>
          <w:p>
            <w:r>
              <w:rPr>
                <w:b/>
                <w:bCs/>
                <w:sz w:val="19"/>
                <w:szCs w:val="19"/>
              </w:rPr>
              <w:t xml:space="preserve">Meraki Systems Manager (endpoint security)</w:t>
            </w:r>
          </w:p>
        </w:tc>
        <w:tc>
          <w:tcPr>
            <w:tcW w:type="dxa" w:w="3400"/>
            <w:shd w:fill="F2F5FA" w:color="auto" w:val="clear"/>
            <w:tcMar>
              <w:top w:type="dxa" w:w="60"/>
              <w:left w:type="dxa" w:w="100"/>
              <w:bottom w:type="dxa" w:w="60"/>
              <w:right w:type="dxa" w:w="100"/>
            </w:tcMar>
          </w:tcPr>
          <w:p>
            <w:r>
              <w:rPr>
                <w:b w:val="false"/>
                <w:bCs w:val="false"/>
                <w:sz w:val="19"/>
                <w:szCs w:val="19"/>
              </w:rPr>
              <w:t xml:space="preserve">S3. Meraki Cloud Managed</w:t>
            </w:r>
          </w:p>
        </w:tc>
        <w:tc>
          <w:tcPr>
            <w:tcW w:type="dxa" w:w="5600"/>
            <w:shd w:fill="F2F5FA" w:color="auto" w:val="clear"/>
            <w:tcMar>
              <w:top w:type="dxa" w:w="60"/>
              <w:left w:type="dxa" w:w="100"/>
              <w:bottom w:type="dxa" w:w="60"/>
              <w:right w:type="dxa" w:w="100"/>
            </w:tcMar>
          </w:tcPr>
          <w:p>
            <w:r>
              <w:rPr>
                <w:b w:val="false"/>
                <w:bCs w:val="false"/>
                <w:sz w:val="19"/>
                <w:szCs w:val="19"/>
              </w:rPr>
              <w:t xml:space="preserve">Microsoft Intune</w:t>
            </w:r>
          </w:p>
        </w:tc>
        <w:tc>
          <w:tcPr>
            <w:tcW w:type="dxa" w:w="1800"/>
            <w:shd w:fill="F2F5FA" w:color="auto" w:val="clear"/>
            <w:tcMar>
              <w:top w:type="dxa" w:w="60"/>
              <w:left w:type="dxa" w:w="100"/>
              <w:bottom w:type="dxa" w:w="60"/>
              <w:right w:type="dxa" w:w="100"/>
            </w:tcMar>
          </w:tcPr>
          <w:p>
            <w:r>
              <w:rPr>
                <w:b w:val="false"/>
                <w:bCs w:val="false"/>
                <w:sz w:val="19"/>
                <w:szCs w:val="19"/>
              </w:rPr>
              <w:t xml:space="preserve">Alta</w:t>
            </w:r>
          </w:p>
        </w:tc>
      </w:tr>
    </w:tbl>
    <w:p>
      <w:pPr>
        <w:pStyle w:val="Heading1"/>
        <w:spacing w:after="80" w:before="240"/>
      </w:pPr>
      <w:r>
        <w:t xml:space="preserve">D. Notas para la comercialización</w:t>
      </w:r>
    </w:p>
    <w:p>
      <w:pPr>
        <w:pStyle w:val="ListParagraph"/>
        <w:numPr>
          <w:ilvl w:val="0"/>
          <w:numId w:val="2"/>
        </w:numPr>
        <w:spacing w:after="60"/>
      </w:pPr>
      <w:r>
        <w:rPr>
          <w:sz w:val="21"/>
          <w:szCs w:val="21"/>
        </w:rPr>
        <w:t xml:space="preserve">Licenciamiento por suites: las suites Cisco User Protection y Breach Protection del Servicio 1 traen incluidos componentes excluidos (Duo, Email Threat Defense, Secure Endpoint, XDR). Si se vende la suite completa, el cliente paga funciones que ya tiene en Microsoft 365 E3/E5. Conviene cotizar por separado los productos de esta matriz (Secure Access, ISE, Secure Network Analytics, Telemetry Broker) o justificar la suite con un caso concreto.</w:t>
      </w:r>
    </w:p>
    <w:p>
      <w:pPr>
        <w:pStyle w:val="ListParagraph"/>
        <w:numPr>
          <w:ilvl w:val="0"/>
          <w:numId w:val="2"/>
        </w:numPr>
        <w:spacing w:after="60"/>
      </w:pPr>
      <w:r>
        <w:rPr>
          <w:sz w:val="21"/>
          <w:szCs w:val="21"/>
        </w:rPr>
        <w:t xml:space="preserve">Cisco Secure Access: coexiste con Microsoft Entra Internet Access y Private Access (Global Secure Access). Se mantiene en la matriz porque ya figuraba como producto de valor, pero en clientes que usan o evalúan Global Secure Access hay que revisar la colisión caso por caso. Lo mismo aplica a sus módulos CASB y DLP frente a Defender for Cloud Apps y Purview.</w:t>
      </w:r>
    </w:p>
    <w:p>
      <w:pPr>
        <w:pStyle w:val="ListParagraph"/>
        <w:numPr>
          <w:ilvl w:val="0"/>
          <w:numId w:val="2"/>
        </w:numPr>
        <w:spacing w:after="60"/>
      </w:pPr>
      <w:r>
        <w:rPr>
          <w:sz w:val="21"/>
          <w:szCs w:val="21"/>
        </w:rPr>
        <w:t xml:space="preserve">Cisco AI Defense: se recomienda empezar por inventario y validación, que no tienen equivalente directo, y delimitar la protección runtime frente a Azure AI Content Safety (Prompt Shields) y Defender for AI.</w:t>
      </w:r>
    </w:p>
    <w:p>
      <w:pPr>
        <w:pStyle w:val="ListParagraph"/>
        <w:numPr>
          <w:ilvl w:val="0"/>
          <w:numId w:val="2"/>
        </w:numPr>
        <w:spacing w:after="60"/>
      </w:pPr>
      <w:r>
        <w:rPr>
          <w:sz w:val="21"/>
          <w:szCs w:val="21"/>
        </w:rPr>
        <w:t xml:space="preserve">Data y Analítica y Automatización tienen poca cobertura porque el Modelo de Servicios no incluye productos Cisco de observabilidad ni de orquestación. Si se quiere fortalecer esas áreas, primero hay que agregar los servicios correspondientes al Modelo.</w:t>
      </w:r>
    </w:p>
    <w:p>
      <w:pPr>
        <w:pStyle w:val="Heading1"/>
        <w:spacing w:after="80" w:before="240"/>
      </w:pPr>
      <w:r>
        <w:t xml:space="preserve">E. Cómo comercializar el valor agregado</w:t>
      </w:r>
    </w:p>
    <w:p>
      <w:pPr>
        <w:pStyle w:val="ListParagraph"/>
        <w:numPr>
          <w:ilvl w:val="0"/>
          <w:numId w:val="2"/>
        </w:numPr>
        <w:spacing w:after="60"/>
      </w:pPr>
      <w:r>
        <w:rPr>
          <w:sz w:val="21"/>
          <w:szCs w:val="21"/>
        </w:rPr>
        <w:t xml:space="preserve">Microsoft como núcleo: identidad, productividad, datos, ERP/CRM, automatización e IA se posicionan sobre la plataforma Microsoft.</w:t>
      </w:r>
    </w:p>
    <w:p>
      <w:pPr>
        <w:pStyle w:val="ListParagraph"/>
        <w:numPr>
          <w:ilvl w:val="0"/>
          <w:numId w:val="2"/>
        </w:numPr>
        <w:spacing w:after="60"/>
      </w:pPr>
      <w:r>
        <w:rPr>
          <w:sz w:val="21"/>
          <w:szCs w:val="21"/>
        </w:rPr>
        <w:t xml:space="preserve">Cisco como acelerador: cada producto de esta matriz resuelve un problema concreto (red, sala física, telemetría, seguridad de red o de IA) sin sustituir a Microsoft.</w:t>
      </w:r>
    </w:p>
    <w:p>
      <w:pPr>
        <w:pStyle w:val="ListParagraph"/>
        <w:numPr>
          <w:ilvl w:val="0"/>
          <w:numId w:val="2"/>
        </w:numPr>
        <w:spacing w:after="60"/>
      </w:pPr>
      <w:r>
        <w:rPr>
          <w:sz w:val="21"/>
          <w:szCs w:val="21"/>
        </w:rPr>
        <w:t xml:space="preserve">Trazabilidad: cada producto ofrecido tiene una ficha de servicio en el Modelo (Evaluamos a Aseguramos), con entregables, indicadores y modalidad comercial.</w:t>
      </w:r>
    </w:p>
    <w:p>
      <w:pPr>
        <w:pStyle w:val="ListParagraph"/>
        <w:numPr>
          <w:ilvl w:val="0"/>
          <w:numId w:val="2"/>
        </w:numPr>
        <w:spacing w:after="60"/>
      </w:pPr>
      <w:r>
        <w:rPr>
          <w:sz w:val="21"/>
          <w:szCs w:val="21"/>
        </w:rPr>
        <w:t xml:space="preserve">Paquete conjunto: presentar Cisco + Microsoft + Servicios Consein como una sola oferta gestionada, nunca como portafolios que compiten entre sí.</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3864"/>
      <w:sz w:val="36"/>
      <w:szCs w:val="36"/>
    </w:rPr>
  </w:style>
  <w:style w:type="paragraph" w:styleId="Heading1">
    <w:name w:val="Heading 1"/>
    <w:basedOn w:val="Normal"/>
    <w:next w:val="Normal"/>
    <w:qFormat/>
    <w:pPr>
      <w:outlineLvl w:val="0"/>
    </w:pPr>
    <w:rPr>
      <w:b/>
      <w:bCs/>
      <w:color w:val="1F3864"/>
      <w:sz w:val="26"/>
      <w:szCs w:val="26"/>
    </w:rPr>
  </w:style>
  <w:style w:type="paragraph" w:styleId="Heading2">
    <w:name w:val="Heading 2"/>
    <w:basedOn w:val="Normal"/>
    <w:next w:val="Normal"/>
    <w:qFormat/>
    <w:pPr>
      <w:outlineLvl w:val="1"/>
    </w:pPr>
    <w:rPr>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2026-10-03T16:19:00.665Z</dcterms:created>
  <dcterms:modified xsi:type="dcterms:W3CDTF">2026-10-03T16:19:00.666Z</dcterms:modified>
</cp:coreProperties>
</file>

<file path=docProps/custom.xml><?xml version="1.0" encoding="utf-8"?>
<Properties xmlns="http://schemas.openxmlformats.org/officeDocument/2006/custom-properties" xmlns:vt="http://schemas.openxmlformats.org/officeDocument/2006/docPropsVTypes"/>
</file>