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Nueva Matriz de Valor v2: Cisco + Microsoft Better Together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Productos Cisco tomados del Modelo de Servicios Cisco de Consein y posicionados según la licencia Microsoft del cliente. Versión 2, con las observaciones de la revisión comercial.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Acelerador Cisco: Red · Seguridad · Salas</w:t>
      </w:r>
    </w:p>
    <w:p>
      <w:pPr>
        <w:pStyle w:val="Heading1"/>
        <w:keepNext/>
        <w:spacing w:after="80" w:before="240"/>
      </w:pPr>
      <w:r>
        <w:t xml:space="preserve">Criterio de la matriz</w:t>
      </w:r>
    </w:p>
    <w:p>
      <w:pPr>
        <w:pBdr>
          <w:left w:val="single" w:color="1F3864" w:sz="24" w:space="8"/>
        </w:pBdr>
        <w:spacing w:after="120"/>
      </w:pPr>
      <w:r>
        <w:rPr>
          <w:sz w:val="21"/>
          <w:szCs w:val="21"/>
        </w:rPr>
        <w:t xml:space="preserve">Cisco no reemplaza a Microsoft: se integra con él para cubrir brechas según la licencia del cliente. Un producto no se excluye por existir una capacidad parecida en Microsoft; se posiciona donde aporta valor real y se evita donde duplica lo que el cliente ya paga.</w:t>
      </w:r>
    </w:p>
    <w:p>
      <w:pPr>
        <w:pStyle w:val="Heading2"/>
        <w:keepNext/>
        <w:spacing w:after="60" w:before="200"/>
      </w:pPr>
      <w:r>
        <w:t xml:space="preserve">Reglas de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Clientes nuevos: </w:t>
      </w:r>
      <w:r>
        <w:rPr>
          <w:sz w:val="21"/>
          <w:szCs w:val="21"/>
        </w:rPr>
        <w:t xml:space="preserve">Microsoft primero. Cisco se ofrece si el cliente tiene requisitos que superan lo nativo de Microsoft o lo pide de forma explícita.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Base instalada Business o E3: </w:t>
      </w:r>
      <w:r>
        <w:rPr>
          <w:sz w:val="21"/>
          <w:szCs w:val="21"/>
        </w:rPr>
        <w:t xml:space="preserve">Cisco como capa adicional de seguridad, sin forzar el salto a E5.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Clientes E5: </w:t>
      </w:r>
      <w:r>
        <w:rPr>
          <w:sz w:val="21"/>
          <w:szCs w:val="21"/>
        </w:rPr>
        <w:t xml:space="preserve">Solo casos específicos (MFA on-premise, segunda capa de correo a pedido). Nunca dos EDR activos en el mismo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Siempre posicionables: </w:t>
      </w:r>
      <w:r>
        <w:rPr>
          <w:sz w:val="21"/>
          <w:szCs w:val="21"/>
        </w:rPr>
        <w:t xml:space="preserve">ISE (NAC), arquitecturas SASE y XDR cuando se necesita correlación multi-proveedor: Microsoft no compite en NAC y SASE.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Trazabilidad: </w:t>
      </w:r>
      <w:r>
        <w:rPr>
          <w:sz w:val="21"/>
          <w:szCs w:val="21"/>
        </w:rPr>
        <w:t xml:space="preserve">Cada producto ofrecido tiene ficha en el Modelo de Servicios (Evaluamos a Aseguramos). Lo que no tiene ficha va a la sección E (fase 2).</w:t>
      </w:r>
    </w:p>
    <w:p>
      <w:pPr>
        <w:pStyle w:val="Heading1"/>
        <w:keepNext/>
        <w:spacing w:after="80" w:before="240"/>
      </w:pPr>
      <w:r>
        <w:t xml:space="preserve">A. Vista consolidada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00"/>
        <w:gridCol w:w="8000"/>
      </w:tblGrid>
      <w:tr>
        <w:trPr>
          <w:tblHeader/>
        </w:trPr>
        <w:tc>
          <w:tcPr>
            <w:tcW w:type="dxa" w:w="5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Productos</w:t>
            </w:r>
          </w:p>
        </w:tc>
        <w:tc>
          <w:tcPr>
            <w:tcW w:type="dxa" w:w="8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Enfoque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Conectividad e Interconexión de Redes LAN y WAN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vende el caso de uso y el destino del tráfico (SaaS o IaaS), no "Meraki vs. Catalyst".</w:t>
            </w:r>
          </w:p>
        </w:tc>
      </w:tr>
      <w:tr>
        <w:trPr>
          <w:cantSplit/>
        </w:trPr>
        <w:tc>
          <w:tcPr>
            <w:tcW w:type="dxa" w:w="5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Seguridad: usuario, correo, endpoint y red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como capa complementaria sobre Microsoft 365 (Better Together). El valor depende de la licencia del cliente; ver sección C.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Colaboración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Hardware certificado para la experiencia Microsoft Teams Rooms.</w:t>
            </w:r>
          </w:p>
        </w:tc>
      </w:tr>
      <w:tr>
        <w:trPr>
          <w:cantSplit/>
        </w:trPr>
        <w:tc>
          <w:tcPr>
            <w:tcW w:type="dxa" w:w="5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Conectividad y acceso seguro para Usuarios Remotos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Iniciativa SECaaS (Security as a Service): seguridad 100% en la nube, contratada como servicio recurrente.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Inteligencia Artificial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 en estudio: la arquitectura y la forma de cotizar se están validando antes de impulsarlo.</w:t>
            </w:r>
          </w:p>
        </w:tc>
      </w:tr>
      <w:tr>
        <w:trPr>
          <w:cantSplit/>
        </w:trPr>
        <w:tc>
          <w:tcPr>
            <w:tcW w:type="dxa" w:w="5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8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Entradas de producto Cisco posicionadas junto a la plataforma Microsoft.</w:t>
            </w:r>
          </w:p>
        </w:tc>
      </w:tr>
    </w:tbl>
    <w:p>
      <w:pPr>
        <w:pStyle w:val="Heading1"/>
        <w:keepNext/>
        <w:pageBreakBefore/>
        <w:spacing w:after="80" w:before="240"/>
      </w:pPr>
      <w:r>
        <w:t xml:space="preserve">B. Matriz de valor por área</w:t>
      </w:r>
    </w:p>
    <w:p>
      <w:pPr>
        <w:pStyle w:val="Heading2"/>
        <w:keepNext/>
        <w:spacing w:after="60" w:before="200"/>
      </w:pPr>
      <w:r>
        <w:t xml:space="preserve">1. Conectividad e Interconexión de Redes LAN y WAN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Se vende el caso de uso y el destino del tráfico (SaaS o IaaS), no "Meraki vs. Catalyst".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300"/>
        <w:gridCol w:w="2000"/>
        <w:gridCol w:w="4800"/>
        <w:gridCol w:w="1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(Modelo)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comercial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4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MX + Cisco Secure Access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S3; S5; S2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Arquitectura SASE: SD-WAN + Seguridad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/ Teams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Protege la red de cada sede y prioriza el tráfico hacia aplicaciones SaaS como Microsoft 365 y Teams. El MX aporta el SD-WAN y Secure Access la seguridad en la nube; juntos forman la arquitectura SASE.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Catalyst SD-WAN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S5. SD-WAN Seguro</w:t>
            </w:r>
          </w:p>
        </w:tc>
        <w:tc>
          <w:tcPr>
            <w:tcW w:type="dxa" w:w="23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Conectividad Ágil y Resiliente hacia IaaS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Virtual WAN / ExpressRoute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Conecta de forma segura las sedes y el centro de datos con las cargas de trabajo en Azure, AWS o GCP, con failover automático y políticas por aplicación.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MS (Switching) y Meraki MR (Wireless)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S3. Meraki Cloud Managed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Experiencia digital impecable en sus oficinas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Teams / Microsoft 365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Garantizamos una experiencia digital impecable en sus oficinas. Optimizamos la infraestructura Wi-Fi y cableada para que la colaboración, la voz y el video funcionen sin interrupciones, con gestión 100% en la nube.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MG (Cellular Gateways)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S3. Meraki Cloud Managed</w:t>
            </w:r>
          </w:p>
        </w:tc>
        <w:tc>
          <w:tcPr>
            <w:tcW w:type="dxa" w:w="23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 operación no puede detenerse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/ Azure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Integramos enlaces celulares 4G/5G de respaldo que mantienen el acceso a sus aplicaciones críticas y a Azure cuando falla su proveedor de Internet principal (sujeto a cobertura celular en la sede).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</w:tbl>
    <w:p>
      <w:pPr>
        <w:pStyle w:val="Heading2"/>
        <w:keepNext/>
        <w:spacing w:after="60" w:before="200"/>
      </w:pPr>
      <w:r>
        <w:t xml:space="preserve">2. Seguridad: usuario, correo, endpoint y red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Cisco como capa complementaria sobre Microsoft 365 (Better Together). El valor depende de la licencia del cliente; ver sección C.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300"/>
        <w:gridCol w:w="2000"/>
        <w:gridCol w:w="4800"/>
        <w:gridCol w:w="1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(Modelo)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comercial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4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Duo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 / User Protection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MFA y confianza de dispositivo más allá de Microsoft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 ID (método de autenticación externo) / Microsoft Authenticator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Extiende el MFA a servidores on-premise, RDP/SSH y aplicaciones heredadas (RADIUS/LDAP) que Authenticator no cubre de forma nativa. Verifica la salud de dispositivos no administrados y añade políticas contextuales. No reemplaza Entra ID: se integra como capa adicional.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Email Threat Defense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 / User Protection y Breach Protection</w:t>
            </w:r>
          </w:p>
        </w:tc>
        <w:tc>
          <w:tcPr>
            <w:tcW w:type="dxa" w:w="23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Protección avanzada del correo sin migrar a E5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Exchange Online / Defender for Office 365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 vía Graph API sobre Microsoft 365 para detectar, bloquear y remediar phishing, suplantación, BEC y ataques con códigos QR. Su mayor valor está en E3 y Business Basic/Standard, que no incluyen Defender for Office 365.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Endpoint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 / User Protection Adv. y Breach Protection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Detección y respuesta en el puesto de trabajo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Defender for Endpoint P1 (E3)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Suma EDR (detección, respuesta e investigación con inteligencia de Talos) donde la licencia no lo incluye, como en E3. No se recomienda un segundo EDR activo donde ya existe Defender for Endpoint P2 o Defender for Business.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Access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S2. Secure Access como Servicio; S1</w:t>
            </w:r>
          </w:p>
        </w:tc>
        <w:tc>
          <w:tcPr>
            <w:tcW w:type="dxa" w:w="23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Firewall y ZTNA en la nube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 ID (proveedor de identidad)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Ofrece acceso Zero Trust a aplicaciones privadas e Internet, con SWG, DNS Security, firewall en la nube y VPNaaS, usando la identidad de Entra ID.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ISE (Identity Services Engine)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 / User Protection Adv.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de acceso a la red (NAC)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Intune (integración complementaria)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Controla qué usuario y qué dispositivo entra a la red cableada e inalámbrica, y segmenta el acceso. El diseño de referencia evalúa la postura con Cisco Secure Client; la integración con Intune es complementaria. Microsoft no ofrece NAC.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Firewall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S6. Azure + Secure Firewall</w:t>
            </w:r>
          </w:p>
        </w:tc>
        <w:tc>
          <w:tcPr>
            <w:tcW w:type="dxa" w:w="23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Gobierno único de la conectividad híbrida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Firewall / Microsoft Sentinel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Protege el borde on-premise y la conectividad entre Azure, sedes y centro de datos con un gobierno único de reglas. Envía sus registros a Sentinel.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XDR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 / Breach Protection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Consola unificada para correlacionar alertas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Defender XDR / Sentinel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Correlaciona alertas de Cisco y de terceros, incluidos Defender, Entra ID e Intune (nivel Advantage). Se posiciona solo cuando el cliente necesita correlación multi-proveedor o lo pide de forma explícita.</w:t>
            </w:r>
          </w:p>
        </w:tc>
        <w:tc>
          <w:tcPr>
            <w:tcW w:type="dxa" w:w="16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Condicional</w:t>
            </w:r>
          </w:p>
        </w:tc>
      </w:tr>
    </w:tbl>
    <w:p>
      <w:pPr>
        <w:pStyle w:val="Heading2"/>
        <w:keepNext/>
        <w:spacing w:after="60" w:before="200"/>
      </w:pPr>
      <w:r>
        <w:t xml:space="preserve">3. Colaboración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Hardware certificado para la experiencia Microsoft Teams Rooms.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300"/>
        <w:gridCol w:w="2000"/>
        <w:gridCol w:w="4800"/>
        <w:gridCol w:w="1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(Modelo)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comercial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4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Room Bar / Room Bar Pro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S4. Cisco Rooms para Teams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Salas híbridas simples y consistentes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Teams Rooms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 Teams Rooms de forma nativa (dispositivo certificado). Consein suma el hardware de sala, la instalación y el soporte que Microsoft no vende.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Board Pro Series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S4. Cisco Rooms para Teams</w:t>
            </w:r>
          </w:p>
        </w:tc>
        <w:tc>
          <w:tcPr>
            <w:tcW w:type="dxa" w:w="23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Colaboración visual en sala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Teams Rooms / Whiteboard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Lleva la reunión híbrida y la pizarra de Teams a una pantalla táctil certificada para salas medianas.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</w:tbl>
    <w:p>
      <w:pPr>
        <w:pStyle w:val="Heading2"/>
        <w:keepNext/>
        <w:spacing w:after="60" w:before="200"/>
      </w:pPr>
      <w:r>
        <w:t xml:space="preserve">4. Conectividad y acceso seguro para Usuarios Remotos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Iniciativa SECaaS (Security as a Service): seguridad 100% en la nube, contratada como servicio recurrente.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300"/>
        <w:gridCol w:w="2000"/>
        <w:gridCol w:w="4800"/>
        <w:gridCol w:w="1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(Modelo)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comercial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4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Access (firewall y ZTNA en la nube)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S2. Secure Access como Servicio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Acceso seguro desde cualquier lugar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 ID / Microsoft 365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 a usuarios remotos y terceros acceso seguro y basado en identidad a aplicaciones privadas, SaaS e Internet, sin depender de VPN tradicionales.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Paquete SECaaS: Duo + Secure Endpoint + Secure Access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 / S2 (suite User Protection)</w:t>
            </w:r>
          </w:p>
        </w:tc>
        <w:tc>
          <w:tcPr>
            <w:tcW w:type="dxa" w:w="23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del usuario remoto como servicio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Business / E3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Agrupa identidad, endpoint y acceso en una oferta 100% en la nube. Se recomienda construirla sobre la suite Cisco User Protection: Secure Endpoint viene en el nivel Advantage, que además incluye ISE y Email Threat Defense.</w:t>
            </w:r>
          </w:p>
        </w:tc>
        <w:tc>
          <w:tcPr>
            <w:tcW w:type="dxa" w:w="1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</w:tr>
    </w:tbl>
    <w:p>
      <w:pPr>
        <w:pStyle w:val="Heading2"/>
        <w:keepNext/>
        <w:spacing w:after="60" w:before="200"/>
      </w:pPr>
      <w:r>
        <w:t xml:space="preserve">5. Inteligencia Artificial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Producto en estudio: la arquitectura y la forma de cotizar se están validando antes de impulsarlo.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300"/>
        <w:gridCol w:w="2000"/>
        <w:gridCol w:w="4800"/>
        <w:gridCol w:w="1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(Modelo)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comercial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4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AI Defense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S7. Cisco AI Defense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Adopción responsable de 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AI Foundry / Copilot Studio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Empezar por inventario de activos de IA y validación de modelos y aplicaciones, que no tienen un equivalente directo. La protección runtime debe delimitarse frente a Prompt Shields y Defender for AI.</w:t>
            </w:r>
          </w:p>
        </w:tc>
        <w:tc>
          <w:tcPr>
            <w:tcW w:type="dxa" w:w="1600"/>
            <w:shd w:fill="E2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validación</w:t>
            </w:r>
          </w:p>
        </w:tc>
      </w:tr>
    </w:tbl>
    <w:p>
      <w:pPr>
        <w:pStyle w:val="Heading1"/>
        <w:keepNext/>
        <w:pageBreakBefore/>
        <w:spacing w:after="80" w:before="240"/>
      </w:pPr>
      <w:r>
        <w:t xml:space="preserve">C. Posicionamiento por licencia Microsoft 365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Valor del producto Cisco según la licencia que ya tiene el cliente. Es una referencia para preventa; valide siempre las licencias vigentes del cliente.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600"/>
        <w:gridCol w:w="3200"/>
        <w:gridCol w:w="32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Business Basic / Standard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Business Premium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E3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E5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Duo</w:t>
            </w:r>
          </w:p>
        </w:tc>
        <w:tc>
          <w:tcPr>
            <w:tcW w:type="dxa" w:w="2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Alto</w:t>
            </w:r>
          </w:p>
        </w:tc>
        <w:tc>
          <w:tcPr>
            <w:tcW w:type="dxa" w:w="26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Medio: on-premise y heredadas</w:t>
            </w:r>
          </w:p>
        </w:tc>
        <w:tc>
          <w:tcPr>
            <w:tcW w:type="dxa" w:w="3200"/>
            <w:shd w:fill="E8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Medio-alto: on-premise, heredadas, dispositivos</w:t>
            </w:r>
          </w:p>
        </w:tc>
        <w:tc>
          <w:tcPr>
            <w:tcW w:type="dxa" w:w="3200"/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Bajo: casos específicos</w:t>
            </w:r>
          </w:p>
        </w:tc>
      </w:tr>
      <w:tr>
        <w:trPr>
          <w:cantSplit/>
        </w:trPr>
        <w:tc>
          <w:tcPr>
            <w:tcW w:type="dxa" w:w="2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Secure Email Threat Defense</w:t>
            </w:r>
          </w:p>
        </w:tc>
        <w:tc>
          <w:tcPr>
            <w:tcW w:type="dxa" w:w="2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Alto: solo tiene EOP</w:t>
            </w:r>
          </w:p>
        </w:tc>
        <w:tc>
          <w:tcPr>
            <w:tcW w:type="dxa" w:w="26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Medio: sobre MDO P1</w:t>
            </w:r>
          </w:p>
        </w:tc>
        <w:tc>
          <w:tcPr>
            <w:tcW w:type="dxa" w:w="32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Alto: E3 no trae MDO</w:t>
            </w:r>
          </w:p>
        </w:tc>
        <w:tc>
          <w:tcPr>
            <w:tcW w:type="dxa" w:w="3200"/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Bajo: segunda capa a pedido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Endpoint</w:t>
            </w:r>
          </w:p>
        </w:tc>
        <w:tc>
          <w:tcPr>
            <w:tcW w:type="dxa" w:w="26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Alto</w:t>
            </w:r>
          </w:p>
        </w:tc>
        <w:tc>
          <w:tcPr>
            <w:tcW w:type="dxa" w:w="2600"/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Bajo: ya tiene EDR</w:t>
            </w:r>
          </w:p>
        </w:tc>
        <w:tc>
          <w:tcPr>
            <w:tcW w:type="dxa" w:w="3200"/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Alto: MDE P1 no tiene EDR</w:t>
            </w:r>
          </w:p>
        </w:tc>
        <w:tc>
          <w:tcPr>
            <w:tcW w:type="dxa" w:w="3200"/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Bajo: evitar doble agente</w:t>
            </w:r>
          </w:p>
        </w:tc>
      </w:tr>
      <w:tr>
        <w:trPr>
          <w:cantSplit/>
        </w:trPr>
        <w:tc>
          <w:tcPr>
            <w:tcW w:type="dxa" w:w="2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XDR</w:t>
            </w:r>
          </w:p>
        </w:tc>
        <w:tc>
          <w:tcPr>
            <w:tcW w:type="dxa" w:w="2600"/>
            <w:shd w:fill="E2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Según necesidad</w:t>
            </w:r>
          </w:p>
        </w:tc>
        <w:tc>
          <w:tcPr>
            <w:tcW w:type="dxa" w:w="2600"/>
            <w:shd w:fill="E2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Según necesidad</w:t>
            </w:r>
          </w:p>
        </w:tc>
        <w:tc>
          <w:tcPr>
            <w:tcW w:type="dxa" w:w="3200"/>
            <w:shd w:fill="E2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Según necesidad: consola multi-proveedor</w:t>
            </w:r>
          </w:p>
        </w:tc>
        <w:tc>
          <w:tcPr>
            <w:tcW w:type="dxa" w:w="3200"/>
            <w:shd w:fill="E2E3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Según necesidad: solo correlación multi-proveedor</w:t>
            </w:r>
          </w:p>
        </w:tc>
      </w:tr>
    </w:tbl>
    <w:p>
      <w:pPr>
        <w:spacing w:after="120"/>
      </w:pPr>
      <w:r>
        <w:rPr>
          <w:sz w:val="19"/>
          <w:szCs w:val="19"/>
        </w:rPr>
        <w:t xml:space="preserve">Microsoft vende el complemento "Microsoft 365 E5 Security" para clientes E3. La propuesta Cisco debe llevar preparada la comparación de costo y alcance frente a ese complemento.</w:t>
      </w:r>
    </w:p>
    <w:p>
      <w:pPr>
        <w:pStyle w:val="Heading1"/>
        <w:keepNext/>
        <w:spacing w:after="80" w:before="240"/>
      </w:pPr>
      <w:r>
        <w:t xml:space="preserve">D. Argumentos a evitar y cómo decirlos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  <w:gridCol w:w="5500"/>
      </w:tblGrid>
      <w:tr>
        <w:trPr>
          <w:tblHeader/>
        </w:trPr>
        <w:tc>
          <w:tcPr>
            <w:tcW w:type="dxa" w:w="3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 decir</w:t>
            </w:r>
          </w:p>
        </w:tc>
        <w:tc>
          <w:tcPr>
            <w:tcW w:type="dxa" w:w="5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  <w:tc>
          <w:tcPr>
            <w:tcW w:type="dxa" w:w="5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Decir en su lugar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"E3 solo tiene MFA básico"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E3 incluye Entra ID P1 con Acceso Condicional y métodos resistentes al phishing (FIDO2, passkeys, Windows Hello).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Duo extiende el MFA a entornos on-premise y heredados, y verifica dispositivos no administrados.</w:t>
            </w:r>
          </w:p>
        </w:tc>
      </w:tr>
      <w:tr>
        <w:trPr>
          <w:cantSplit/>
        </w:trPr>
        <w:tc>
          <w:tcPr>
            <w:tcW w:type="dxa" w:w="3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"Aplica igual para Business, E3 o E5"</w:t>
            </w:r>
          </w:p>
        </w:tc>
        <w:tc>
          <w:tcPr>
            <w:tcW w:type="dxa" w:w="51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E5 (y en parte en Business Premium) hay superposición real con Defender.</w:t>
            </w:r>
          </w:p>
        </w:tc>
        <w:tc>
          <w:tcPr>
            <w:tcW w:type="dxa" w:w="5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mayor valor está en Business Basic/Standard y E3; en E5 solo para casos específicos.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"Meraki MX es SASE"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SASE es SD-WAN más seguridad en la nube (SSE).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MX + Secure Access forman una arquitectura SASE.</w:t>
            </w:r>
          </w:p>
        </w:tc>
      </w:tr>
      <w:tr>
        <w:trPr>
          <w:cantSplit/>
        </w:trPr>
        <w:tc>
          <w:tcPr>
            <w:tcW w:type="dxa" w:w="3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"Acceso ininterrumpido ante cualquier caída"</w:t>
            </w:r>
          </w:p>
        </w:tc>
        <w:tc>
          <w:tcPr>
            <w:tcW w:type="dxa" w:w="51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de la cobertura celular en la sede.</w:t>
            </w:r>
          </w:p>
        </w:tc>
        <w:tc>
          <w:tcPr>
            <w:tcW w:type="dxa" w:w="5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Respaldo 4G/5G que mantiene la operación cuando falla el enlace principal.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"Así evita comprar E5"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vende el complemento "Microsoft 365 E5 Security" para clientes E3.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Llevar preparada la comparación de costo y alcance frente a ese complemento.</w:t>
            </w:r>
          </w:p>
        </w:tc>
      </w:tr>
    </w:tbl>
    <w:p>
      <w:pPr>
        <w:pStyle w:val="Heading1"/>
        <w:keepNext/>
        <w:pageBreakBefore/>
        <w:spacing w:after="80" w:before="240"/>
      </w:pPr>
      <w:r>
        <w:t xml:space="preserve">E. Fase 2: pendientes de decisión interna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  <w:gridCol w:w="5500"/>
      </w:tblGrid>
      <w:tr>
        <w:trPr>
          <w:tblHeader/>
        </w:trPr>
        <w:tc>
          <w:tcPr>
            <w:tcW w:type="dxa" w:w="3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/ iniciativa</w:t>
            </w:r>
          </w:p>
        </w:tc>
        <w:tc>
          <w:tcPr>
            <w:tcW w:type="dxa" w:w="5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Motivo para dejarlo fuera por ahora</w:t>
            </w:r>
          </w:p>
        </w:tc>
        <w:tc>
          <w:tcPr>
            <w:tcW w:type="dxa" w:w="5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Condición para incorporarlo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Network Analytics (NDR)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Requiere un SOC maduro; la venta rápida es poco probable.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Decisión interna sobre el momento de incluirla. Viene incluido en Breach Protection Advantage.</w:t>
            </w:r>
          </w:p>
        </w:tc>
      </w:tr>
      <w:tr>
        <w:trPr>
          <w:cantSplit/>
        </w:trPr>
        <w:tc>
          <w:tcPr>
            <w:tcW w:type="dxa" w:w="3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Telemetry Broker</w:t>
            </w:r>
          </w:p>
        </w:tc>
        <w:tc>
          <w:tcPr>
            <w:tcW w:type="dxa" w:w="51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Mismo caso que Secure Network Analytics.</w:t>
            </w:r>
          </w:p>
        </w:tc>
        <w:tc>
          <w:tcPr>
            <w:tcW w:type="dxa" w:w="5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Igual que el anterior.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MV (cámaras) y Meraki MT (sensores)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hay conector nativo con Power BI; la integración sería a medida (APIs / MQTT).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Caso de uso operativo validado con una integración demostrable. Siguen disponibles dentro del Servicio 3.</w:t>
            </w:r>
          </w:p>
        </w:tc>
      </w:tr>
      <w:tr>
        <w:trPr>
          <w:cantSplit/>
        </w:trPr>
        <w:tc>
          <w:tcPr>
            <w:tcW w:type="dxa" w:w="3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Dashboard API + Power Platform</w:t>
            </w:r>
          </w:p>
        </w:tc>
        <w:tc>
          <w:tcPr>
            <w:tcW w:type="dxa" w:w="51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Integración interesante pero aún no definida para el mercado.</w:t>
            </w:r>
          </w:p>
        </w:tc>
        <w:tc>
          <w:tcPr>
            <w:tcW w:type="dxa" w:w="5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Reunión de definición de oferta.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Datacenter y servidores Cisco para IA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existe ficha de servicio en el Modelo de Servicios.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Crear primero la ficha en el Modelo, para mantener la coherencia entre Matriz y Modelo.</w:t>
            </w:r>
          </w:p>
        </w:tc>
      </w:tr>
      <w:tr>
        <w:trPr>
          <w:cantSplit/>
        </w:trPr>
        <w:tc>
          <w:tcPr>
            <w:tcW w:type="dxa" w:w="3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ThousandEyes (observabilidad)</w:t>
            </w:r>
          </w:p>
        </w:tc>
        <w:tc>
          <w:tcPr>
            <w:tcW w:type="dxa" w:w="51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se ha decidido priorizarlo y no está en el Modelo.</w:t>
            </w:r>
          </w:p>
        </w:tc>
        <w:tc>
          <w:tcPr>
            <w:tcW w:type="dxa" w:w="5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Decisión interna y ficha en el Modelo.</w:t>
            </w:r>
          </w:p>
        </w:tc>
      </w:tr>
    </w:tbl>
    <w:p>
      <w:pPr>
        <w:pBdr>
          <w:left w:val="single" w:color="C55A11" w:sz="24" w:space="8"/>
        </w:pBdr>
        <w:spacing w:after="120"/>
      </w:pPr>
      <w:r>
        <w:rPr>
          <w:sz w:val="21"/>
          <w:szCs w:val="21"/>
        </w:rPr>
        <w:t xml:space="preserve">Coherencia con el Modelo de Servicios: el Servicio 1 del Modelo todavía nombra el NDR (Secure Network Analytics). Si queda en fase 2, conviene marcarlo como opcional en el Modelo para que ambos documentos sigan alineados.</w:t>
      </w:r>
    </w:p>
    <w:p>
      <w:pPr>
        <w:pStyle w:val="Heading1"/>
        <w:keepNext/>
        <w:spacing w:after="80" w:before="240"/>
      </w:pPr>
      <w:r>
        <w:t xml:space="preserve">F. Cambios respecto a la versión 1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600"/>
        <w:gridCol w:w="6000"/>
      </w:tblGrid>
      <w:tr>
        <w:trPr>
          <w:tblHeader/>
        </w:trPr>
        <w:tc>
          <w:tcPr>
            <w:tcW w:type="dxa" w:w="3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 1</w:t>
            </w:r>
          </w:p>
        </w:tc>
        <w:tc>
          <w:tcPr>
            <w:tcW w:type="dxa" w:w="6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 2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Criterio de la matriz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Exclusión por colisión con Microsoft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Posicionamiento por licencia del cliente (Better Together)</w:t>
            </w:r>
          </w:p>
        </w:tc>
      </w:tr>
      <w:tr>
        <w:trPr>
          <w:cantSplit/>
        </w:trPr>
        <w:tc>
          <w:tcPr>
            <w:tcW w:type="dxa" w:w="3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Duo, Email Threat Defense, Secure Endpoint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Excluidos</w:t>
            </w:r>
          </w:p>
        </w:tc>
        <w:tc>
          <w:tcPr>
            <w:tcW w:type="dxa" w:w="6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Incluidos, con argumentos según la licencia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XDR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Excluido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Condicional: solo correlación multi-proveedor o pedido explícito</w:t>
            </w:r>
          </w:p>
        </w:tc>
      </w:tr>
      <w:tr>
        <w:trPr>
          <w:cantSplit/>
        </w:trPr>
        <w:tc>
          <w:tcPr>
            <w:tcW w:type="dxa" w:w="3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Sección de conectividad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"Infraestructura"</w:t>
            </w:r>
          </w:p>
        </w:tc>
        <w:tc>
          <w:tcPr>
            <w:tcW w:type="dxa" w:w="6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"Conectividad e Interconexión de Redes LAN y WAN", con mensajes SaaS / IaaS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ISE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"Cisco ISE (Premier)", postura vía Intune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"Cisco ISE (Identity Services Engine)", postura con Cisco Secure Client</w:t>
            </w:r>
          </w:p>
        </w:tc>
      </w:tr>
      <w:tr>
        <w:trPr>
          <w:cantSplit/>
        </w:trPr>
        <w:tc>
          <w:tcPr>
            <w:tcW w:type="dxa" w:w="3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Secure Network Analytics y Telemetry Broker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Incluidos</w:t>
            </w:r>
          </w:p>
        </w:tc>
        <w:tc>
          <w:tcPr>
            <w:tcW w:type="dxa" w:w="6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Pasan a fase 2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MV y MT (Data y Analítica)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Incluidos con Power BI / Fabric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Pasan a fase 2; se retira el área Data y Analítica</w:t>
            </w:r>
          </w:p>
        </w:tc>
      </w:tr>
      <w:tr>
        <w:trPr>
          <w:cantSplit/>
        </w:trPr>
        <w:tc>
          <w:tcPr>
            <w:tcW w:type="dxa" w:w="3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Servicios Empresariales (Dynamics 365)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Conectividad y acceso para Dynamics 365</w:t>
            </w:r>
          </w:p>
        </w:tc>
        <w:tc>
          <w:tcPr>
            <w:tcW w:type="dxa" w:w="6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"Conectividad y acceso seguro para Usuarios Remotos" + paquete SECaaS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Automatización (Meraki API)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Incluida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Pasa a fase 2; se retira el área Automatización</w:t>
            </w:r>
          </w:p>
        </w:tc>
      </w:tr>
      <w:tr>
        <w:trPr>
          <w:cantSplit/>
        </w:trPr>
        <w:tc>
          <w:tcPr>
            <w:tcW w:type="dxa" w:w="3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AI Defense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Incluido (3 filas)</w:t>
            </w:r>
          </w:p>
        </w:tc>
        <w:tc>
          <w:tcPr>
            <w:tcW w:type="dxa" w:w="6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fila, en validación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2026-10-05T20:11:00.428Z</dcterms:created>
  <dcterms:modified xsi:type="dcterms:W3CDTF">2026-10-05T20:11:00.428Z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