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b/>
          <w:bCs/>
          <w:color w:val="5D6278"/>
          <w:sz w:val="20"/>
          <w:szCs w:val="20"/>
        </w:rPr>
        <w:t xml:space="preserve">CONSEIN</w:t>
      </w:r>
    </w:p>
    <w:p>
      <w:pPr>
        <w:spacing w:after="160"/>
      </w:pPr>
      <w:r>
        <w:rPr>
          <w:b/>
          <w:bCs/>
          <w:color w:val="000F76"/>
          <w:sz w:val="56"/>
          <w:szCs w:val="56"/>
        </w:rPr>
        <w:t xml:space="preserve">Palabras clave SEO</w:t>
      </w:r>
    </w:p>
    <w:p>
      <w:pPr>
        <w:spacing w:after="400"/>
      </w:pPr>
      <w:r>
        <w:rPr>
          <w:color w:val="000F76"/>
          <w:sz w:val="30"/>
          <w:szCs w:val="30"/>
        </w:rPr>
        <w:t xml:space="preserve">Soluciones Cisco de Consein · 5 áreas de práctica y Programa Renueva</w:t>
      </w:r>
    </w:p>
    <w:p>
      <w:pPr>
        <w:spacing w:after="120"/>
        <w:rPr>
          <w:color w:val="5D6278"/>
        </w:rPr>
      </w:pPr>
      <w:r>
        <w:rPr>
          <w:color w:val="5D6278"/>
        </w:rPr>
        <w:t xml:space="preserve">Documento editable para el equipo SEO · Versión 4 · Octubre 2026</w:t>
      </w:r>
    </w:p>
    <w:p>
      <w:pPr>
        <w:spacing w:after="120"/>
      </w:pPr>
      <w:r>
        <w:t xml:space="preserve">70 palabras clave en 8 grupos (36 de prioridad A). La estrategia, las reglas de uso y el plan de trabajo están en el Manual SEO. Esta lista se genera desde _fuente/palabras_clave.json.</w:t>
      </w:r>
    </w:p>
    <w:p>
      <w:pPr>
        <w:spacing w:after="120"/>
      </w:pPr>
      <w:r>
        <w:rPr>
          <w:b/>
          <w:bCs/>
        </w:rPr>
        <w:t xml:space="preserve">Prioridad: </w:t>
      </w:r>
      <w:r>
        <w:t xml:space="preserve">A = meta top 5 en 6 meses; B = top 10; C = soporte semántico.   </w:t>
      </w:r>
      <w:r>
        <w:rPr>
          <w:b/>
          <w:bCs/>
        </w:rPr>
        <w:t xml:space="preserve">* </w:t>
      </w:r>
      <w:r>
        <w:t xml:space="preserve">Pendiente de confirmar el nivel de partnership.</w:t>
      </w:r>
    </w:p>
    <w:p>
      <w:pPr>
        <w:pStyle w:val="Heading2"/>
      </w:pPr>
      <w:r>
        <w:t xml:space="preserve">Modificadores geográficos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País</w:t>
            </w:r>
          </w:p>
        </w:tc>
        <w:tc>
          <w:tcPr>
            <w:tcW w:type="dxa" w:w="6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Modificadores</w:t>
            </w:r>
          </w:p>
        </w:tc>
      </w:tr>
      <w:tr>
        <w:tc>
          <w:tcPr>
            <w:tcW w:type="dxa" w:w="2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Venezuela</w:t>
            </w:r>
          </w:p>
        </w:tc>
        <w:tc>
          <w:tcPr>
            <w:tcW w:type="dxa" w:w="6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 Venezuela · Caracas · Valencia · Maracaibo</w:t>
            </w:r>
          </w:p>
        </w:tc>
      </w:tr>
      <w:tr>
        <w:tc>
          <w:tcPr>
            <w:tcW w:type="dxa" w:w="2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Panamá</w:t>
            </w:r>
          </w:p>
        </w:tc>
        <w:tc>
          <w:tcPr>
            <w:tcW w:type="dxa" w:w="6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 Panamá · Ciudad de Panamá</w:t>
            </w:r>
          </w:p>
        </w:tc>
      </w:tr>
      <w:tr>
        <w:tc>
          <w:tcPr>
            <w:tcW w:type="dxa" w:w="2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República Dominicana</w:t>
            </w:r>
          </w:p>
        </w:tc>
        <w:tc>
          <w:tcPr>
            <w:tcW w:type="dxa" w:w="6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 República Dominicana · Santo Domingo · Santiago</w:t>
            </w:r>
          </w:p>
        </w:tc>
      </w:tr>
      <w:tr>
        <w:tc>
          <w:tcPr>
            <w:tcW w:type="dxa" w:w="2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Estados Unidos</w:t>
            </w:r>
          </w:p>
        </w:tc>
        <w:tc>
          <w:tcPr>
            <w:tcW w:type="dxa" w:w="6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Miami · Florida · empresas hispanas en EE. UU.</w:t>
            </w:r>
          </w:p>
        </w:tc>
      </w:tr>
    </w:tbl>
    <w:p>
      <w:pPr>
        <w:pStyle w:val="Heading1"/>
        <w:pageBreakBefore/>
      </w:pPr>
      <w:r>
        <w:t xml:space="preserve">Marca y portafolio</w:t>
      </w:r>
    </w:p>
    <w:p>
      <w:pPr>
        <w:spacing w:after="120"/>
      </w:pPr>
      <w:r>
        <w:rPr>
          <w:b/>
          <w:bCs/>
        </w:rPr>
        <w:t xml:space="preserve">Página: </w:t>
      </w:r>
      <w:r>
        <w:t xml:space="preserve">index.html</w:t>
      </w:r>
    </w:p>
    <w:p>
      <w:pPr>
        <w:spacing w:after="120"/>
      </w:pPr>
      <w:r>
        <w:rPr>
          <w:b/>
          <w:bCs/>
        </w:rPr>
        <w:t xml:space="preserve">Objetivo: </w:t>
      </w:r>
      <w:r>
        <w:t xml:space="preserve">Posicionar a Consein como integrador Cisco y Microsoft en los cuatro países donde opera.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250"/>
        <w:gridCol w:w="1300"/>
        <w:gridCol w:w="900"/>
        <w:gridCol w:w="3010"/>
      </w:tblGrid>
      <w:tr>
        <w:trPr>
          <w:tblHeader/>
        </w:trP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está en el sitio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integrador Cisco y Microsoft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index.html · title y eyebrow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soluciones Cisco y Microsoft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index.html · lead y meta description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integrador Cisco en Venezuela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Geográfica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index.html · title y Nosotros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integrador Cisco en Panamá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Geográfica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index.html · title y Nosotros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servicios gestionados de red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index.html · preguntas frecuentes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outsourcing de redes y seguridad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index.html · preguntas frecuentes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partner Cisco Venezuela *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Geográfica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Pendiente: confirmar el nivel de partnership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Consein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Marca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Navegacional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Todas las páginas</w:t>
            </w:r>
          </w:p>
        </w:tc>
      </w:tr>
    </w:tbl>
    <w:p>
      <w:pPr>
        <w:pStyle w:val="Heading1"/>
      </w:pPr>
      <w:r>
        <w:t xml:space="preserve">Multinube: AWS y Google Cloud</w:t>
      </w:r>
    </w:p>
    <w:p>
      <w:pPr>
        <w:spacing w:after="120"/>
      </w:pPr>
      <w:r>
        <w:rPr>
          <w:b/>
          <w:bCs/>
        </w:rPr>
        <w:t xml:space="preserve">Página: </w:t>
      </w:r>
      <w:r>
        <w:t xml:space="preserve">soluciones.html#criterio</w:t>
      </w:r>
    </w:p>
    <w:p>
      <w:pPr>
        <w:spacing w:after="120"/>
      </w:pPr>
      <w:r>
        <w:rPr>
          <w:b/>
          <w:bCs/>
        </w:rPr>
        <w:t xml:space="preserve">Objetivo: </w:t>
      </w:r>
      <w:r>
        <w:t xml:space="preserve">Captar a las empresas que, además de Microsoft, operan en AWS o Google Cloud.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250"/>
        <w:gridCol w:w="1300"/>
        <w:gridCol w:w="900"/>
        <w:gridCol w:w="3010"/>
      </w:tblGrid>
      <w:tr>
        <w:trPr>
          <w:tblHeader/>
        </w:trP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está en el sitio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SD-WAN multinube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Criterio y FAQ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seguridad multinube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Criterio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conectividad a AWS y Google Cloud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Catalyst SD-WAN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Google Workspace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Fichas de producto y SECaaS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Meraki vMX en AWS y Google Cloud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Meraki MX + Secure Access</w:t>
            </w:r>
          </w:p>
        </w:tc>
      </w:tr>
    </w:tbl>
    <w:p>
      <w:pPr>
        <w:pStyle w:val="Heading1"/>
      </w:pPr>
      <w:r>
        <w:t xml:space="preserve">1. Conectividad LAN y WAN (Infraestructura)</w:t>
      </w:r>
    </w:p>
    <w:p>
      <w:pPr>
        <w:spacing w:after="120"/>
      </w:pPr>
      <w:r>
        <w:rPr>
          <w:b/>
          <w:bCs/>
        </w:rPr>
        <w:t xml:space="preserve">Página: </w:t>
      </w:r>
      <w:r>
        <w:t xml:space="preserve">soluciones.html#conectividad</w:t>
      </w:r>
    </w:p>
    <w:p>
      <w:pPr>
        <w:spacing w:after="120"/>
      </w:pPr>
      <w:r>
        <w:rPr>
          <w:b/>
          <w:bCs/>
        </w:rPr>
        <w:t xml:space="preserve">Objetivo: </w:t>
      </w:r>
      <w:r>
        <w:t xml:space="preserve">Posicionarnos en SD-WAN y SASE para empresas y en redes gestionadas en la nube con Cisco Meraki.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250"/>
        <w:gridCol w:w="1300"/>
        <w:gridCol w:w="900"/>
        <w:gridCol w:w="3010"/>
      </w:tblGrid>
      <w:tr>
        <w:trPr>
          <w:tblHeader/>
        </w:trP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está en el sitio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SD-WAN para empresas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 del área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arquitectura SASE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y Meraki MX + Secure Access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Meraki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del área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Catalyst SD-WAN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Catalyst SD-WAN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Meraki MX con SD-WAN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REN-03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conectividad de sucursales a Azure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Catalyst SD-WAN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red gestionada en la nube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Meraki MS y MR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Wi-Fi empresarial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y Meraki MS y MR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respaldo 4G/5G para sucursales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Meraki MG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Azure Virtual WAN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Catalyst SD-WAN</w:t>
            </w:r>
          </w:p>
        </w:tc>
      </w:tr>
    </w:tbl>
    <w:p>
      <w:pPr>
        <w:pStyle w:val="Heading1"/>
      </w:pPr>
      <w:r>
        <w:t xml:space="preserve">2. SECaaS (Seguridad)</w:t>
      </w:r>
    </w:p>
    <w:p>
      <w:pPr>
        <w:spacing w:after="120"/>
      </w:pPr>
      <w:r>
        <w:rPr>
          <w:b/>
          <w:bCs/>
        </w:rPr>
        <w:t xml:space="preserve">Página: </w:t>
      </w:r>
      <w:r>
        <w:t xml:space="preserve">soluciones.html#secaas</w:t>
      </w:r>
    </w:p>
    <w:p>
      <w:pPr>
        <w:spacing w:after="120"/>
      </w:pPr>
      <w:r>
        <w:rPr>
          <w:b/>
          <w:bCs/>
        </w:rPr>
        <w:t xml:space="preserve">Objetivo: </w:t>
      </w:r>
      <w:r>
        <w:t xml:space="preserve">Ser referencia en seguridad como servicio administrada, del endpoint al firewall en la nube.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250"/>
        <w:gridCol w:w="1300"/>
        <w:gridCol w:w="900"/>
        <w:gridCol w:w="3010"/>
      </w:tblGrid>
      <w:tr>
        <w:trPr>
          <w:tblHeader/>
        </w:trP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está en el sitio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seguridad como servicio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 del área y FAQ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SECaaS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 del área y paquetes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ciberseguridad administrada para empresas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del área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firewall en la nube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 del área y SECaaS Advantage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Zero Trust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SECaaS Essential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Duo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SECaaS Essential y Advantage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Secure Access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SECaaS Essential y Advantage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outsourcing de ciberseguridad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del área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Secure Web Gateway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SECaaS Essential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seguridad DNS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SECaaS Essential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Secure Endpoint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SECaaS Advantage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CASB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SECaaS Advantage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NOC/SOC 24/7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SECaaS Essential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alternativa a la VPN tradicional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de usuarios remotos</w:t>
            </w:r>
          </w:p>
        </w:tc>
      </w:tr>
    </w:tbl>
    <w:p>
      <w:pPr>
        <w:pStyle w:val="Heading1"/>
      </w:pPr>
      <w:r>
        <w:t xml:space="preserve">3. Red local y perímetro (Seguridad)</w:t>
      </w:r>
    </w:p>
    <w:p>
      <w:pPr>
        <w:spacing w:after="120"/>
      </w:pPr>
      <w:r>
        <w:rPr>
          <w:b/>
          <w:bCs/>
        </w:rPr>
        <w:t xml:space="preserve">Página: </w:t>
      </w:r>
      <w:r>
        <w:t xml:space="preserve">soluciones.html#proteccion-red</w:t>
      </w:r>
    </w:p>
    <w:p>
      <w:pPr>
        <w:spacing w:after="120"/>
      </w:pPr>
      <w:r>
        <w:rPr>
          <w:b/>
          <w:bCs/>
        </w:rPr>
        <w:t xml:space="preserve">Objetivo: </w:t>
      </w:r>
      <w:r>
        <w:t xml:space="preserve">Captar la demanda de control de acceso a la red local (Cisco ISE) y de firewall perimetral, ofrecidos por separado.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250"/>
        <w:gridCol w:w="1300"/>
        <w:gridCol w:w="900"/>
        <w:gridCol w:w="3010"/>
      </w:tblGrid>
      <w:tr>
        <w:trPr>
          <w:tblHeader/>
        </w:trP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está en el sitio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control de acceso a la red (NAC)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 del área y Cisco ISE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firewall perimetral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 del área y Cisco Secure Firewall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ISE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ISE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Secure Firewall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Secure Firewall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segmentación de la red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del área y Cisco ISE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integración con Intune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ISE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Microsoft Sentinel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Secure Firewall</w:t>
            </w:r>
          </w:p>
        </w:tc>
      </w:tr>
    </w:tbl>
    <w:p>
      <w:pPr>
        <w:pStyle w:val="Heading1"/>
      </w:pPr>
      <w:r>
        <w:t xml:space="preserve">4. Colaboración</w:t>
      </w:r>
    </w:p>
    <w:p>
      <w:pPr>
        <w:spacing w:after="120"/>
      </w:pPr>
      <w:r>
        <w:rPr>
          <w:b/>
          <w:bCs/>
        </w:rPr>
        <w:t xml:space="preserve">Página: </w:t>
      </w:r>
      <w:r>
        <w:t xml:space="preserve">soluciones.html#colaboracion</w:t>
      </w:r>
    </w:p>
    <w:p>
      <w:pPr>
        <w:spacing w:after="120"/>
      </w:pPr>
      <w:r>
        <w:rPr>
          <w:b/>
          <w:bCs/>
        </w:rPr>
        <w:t xml:space="preserve">Objetivo: </w:t>
      </w:r>
      <w:r>
        <w:t xml:space="preserve">Liderar las búsquedas de salas Microsoft Teams Rooms con hardware Cisco certificado.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250"/>
        <w:gridCol w:w="1300"/>
        <w:gridCol w:w="900"/>
        <w:gridCol w:w="3010"/>
      </w:tblGrid>
      <w:tr>
        <w:trPr>
          <w:tblHeader/>
        </w:trP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está en el sitio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Microsoft Teams Rooms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 del área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salas de reuniones para Teams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Room Bar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implementación de Teams Rooms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del área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Room Bar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Room Bar / Room Bar Pro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Board Pro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Board Pro Series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videoconferencia empresarial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del área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pizarra digital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Board Pro Series</w:t>
            </w:r>
          </w:p>
        </w:tc>
      </w:tr>
    </w:tbl>
    <w:p>
      <w:pPr>
        <w:pStyle w:val="Heading1"/>
      </w:pPr>
      <w:r>
        <w:t xml:space="preserve">5. Inteligencia Artificial (IA)</w:t>
      </w:r>
    </w:p>
    <w:p>
      <w:pPr>
        <w:spacing w:after="120"/>
      </w:pPr>
      <w:r>
        <w:rPr>
          <w:b/>
          <w:bCs/>
        </w:rPr>
        <w:t xml:space="preserve">Página: </w:t>
      </w:r>
      <w:r>
        <w:t xml:space="preserve">soluciones.html#inteligencia-artificial</w:t>
      </w:r>
    </w:p>
    <w:p>
      <w:pPr>
        <w:spacing w:after="120"/>
      </w:pPr>
      <w:r>
        <w:rPr>
          <w:b/>
          <w:bCs/>
        </w:rPr>
        <w:t xml:space="preserve">Objetivo: </w:t>
      </w:r>
      <w:r>
        <w:t xml:space="preserve">Posicionarnos temprano en seguridad para IA, un tema con poca competencia en español.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250"/>
        <w:gridCol w:w="1300"/>
        <w:gridCol w:w="900"/>
        <w:gridCol w:w="3010"/>
      </w:tblGrid>
      <w:tr>
        <w:trPr>
          <w:tblHeader/>
        </w:trP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está en el sitio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seguridad para inteligencia artificial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 del área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AI Defense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AI Defense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adopción responsable de IA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del área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inventario de activos de IA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y Cisco AI Defense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validación de modelos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y Cisco AI Defense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Azure AI Foundry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AI Defense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Copilot Studio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AI Defense</w:t>
            </w:r>
          </w:p>
        </w:tc>
      </w:tr>
    </w:tbl>
    <w:p>
      <w:pPr>
        <w:pStyle w:val="Heading1"/>
      </w:pPr>
      <w:r>
        <w:t xml:space="preserve">Ofertas de Productos · Programa Renueva</w:t>
      </w:r>
    </w:p>
    <w:p>
      <w:pPr>
        <w:spacing w:after="120"/>
      </w:pPr>
      <w:r>
        <w:rPr>
          <w:b/>
          <w:bCs/>
        </w:rPr>
        <w:t xml:space="preserve">Página: </w:t>
      </w:r>
      <w:r>
        <w:t xml:space="preserve">productos.html</w:t>
      </w:r>
    </w:p>
    <w:p>
      <w:pPr>
        <w:spacing w:after="120"/>
      </w:pPr>
      <w:r>
        <w:rPr>
          <w:b/>
          <w:bCs/>
        </w:rPr>
        <w:t xml:space="preserve">Objetivo: </w:t>
      </w:r>
      <w:r>
        <w:t xml:space="preserve">Generar demanda de renovación de hardware Cisco sin soporte.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250"/>
        <w:gridCol w:w="1300"/>
        <w:gridCol w:w="900"/>
        <w:gridCol w:w="3010"/>
      </w:tblGrid>
      <w:tr>
        <w:trPr>
          <w:tblHeader/>
        </w:trP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está en el sitio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renovación de equipos Cisco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 y H1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renovación de hardware Cisco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Lead del encabezado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equipos Cisco en fin de soporte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Lead, REN-01 y FAQ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end of life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Por qué renovar y REN-01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inventario de obsolescencia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REN-01 y autodiagnóstico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migración de Cisco ASA a Secure Firewall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REN-04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reemplazo de MPLS por SD-WAN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REN-03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renovación de switches y Wi-Fi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REN-02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salas de videoconferencia a Teams Rooms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REN-06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financiamiento para renovación tecnológica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REN-07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financiamiento bancario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Aviso y REN-07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BOD 26-02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Por qué renovar</w:t>
            </w:r>
          </w:p>
        </w:tc>
      </w:tr>
    </w:tbl>
    <w:sectPr>
      <w:footerReference w:type="default" r:id="rId6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D6278"/>
        <w:sz w:val="16"/>
        <w:szCs w:val="16"/>
      </w:rPr>
      <w:t xml:space="preserve">Consein · Palabras clave SEO · Soluciones Cisco   ·   Página </w:t>
    </w:r>
    <w:r>
      <w:rPr>
        <w:color w:val="5D627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bullet"/>
      <w:lvlText w:val="☐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000F7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000F76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Palabras clave SEO · Soluciones Cisco de Consein · v3</dc:title>
  <dc:creator>Consein</dc:creator>
  <cp:lastModifiedBy>Un-named</cp:lastModifiedBy>
  <cp:revision>1</cp:revision>
  <dcterms:created xsi:type="dcterms:W3CDTF">2026-10-08T15:27:38.770Z</dcterms:created>
  <dcterms:modified xsi:type="dcterms:W3CDTF">2026-10-08T15:27:38.770Z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