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Palabras clave – Licenciamiento Microsoft · Consein</w:t>
      </w:r>
    </w:p>
    <w:p>
      <w:pPr>
        <w:pBdr>
          <w:bottom w:val="single" w:color="58BB47" w:sz="12" w:space="8"/>
        </w:pBdr>
        <w:spacing w:after="320"/>
      </w:pPr>
      <w:r>
        <w:rPr>
          <w:rFonts w:ascii="Arial" w:cs="Arial" w:eastAsia="Arial" w:hAnsi="Arial"/>
          <w:color w:val="4A5275"/>
          <w:sz w:val="20"/>
          <w:szCs w:val="20"/>
        </w:rPr>
        <w:t xml:space="preserve">Asesoría en licenciamiento Microsoft · Versión 1 · octubre de 2026</w:t>
      </w:r>
    </w:p>
    <w:p>
      <w:pPr>
        <w:pStyle w:val="Heading1"/>
      </w:pPr>
      <w:r>
        <w:t xml:space="preserve">1. Palabras clave primarias</w:t>
      </w:r>
    </w:p>
    <w:p>
      <w:r>
        <w:t xml:space="preserve">Estas 10 búsquedas tienen intención comercial (quien las escribe quiere comprar o contratar) y son las que medimos para la meta del top 5. Todas ya están trabajadas en la página; la columna "Dónde" indica el lugar principal.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8"/>
        <w:gridCol w:w="2764"/>
        <w:gridCol w:w="1219"/>
        <w:gridCol w:w="732"/>
        <w:gridCol w:w="4877"/>
      </w:tblGrid>
      <w:tr>
        <w:trPr>
          <w:tblHeader/>
        </w:trPr>
        <w:tc>
          <w:tcPr>
            <w:tcW w:type="dxa" w:w="4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Palabra clave</w:t>
            </w:r>
          </w:p>
        </w:tc>
        <w:tc>
          <w:tcPr>
            <w:tcW w:type="dxa" w:w="121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Intención</w:t>
            </w:r>
          </w:p>
        </w:tc>
        <w:tc>
          <w:tcPr>
            <w:tcW w:type="dxa" w:w="73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487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está en la página</w:t>
            </w:r>
          </w:p>
        </w:tc>
      </w:tr>
      <w:tr>
        <w:trPr>
          <w:tblHeader w:val="false"/>
        </w:trPr>
        <w:tc>
          <w:tcPr>
            <w:tcW w:type="dxa" w:w="4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1</w:t>
            </w:r>
          </w:p>
        </w:tc>
        <w:tc>
          <w:tcPr>
            <w:tcW w:type="dxa" w:w="276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licenciamiento Microsoft</w:t>
            </w:r>
          </w:p>
        </w:tc>
        <w:tc>
          <w:tcPr>
            <w:tcW w:type="dxa" w:w="121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Comercial</w:t>
            </w:r>
          </w:p>
        </w:tc>
        <w:tc>
          <w:tcPr>
            <w:tcW w:type="dxa" w:w="73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87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Título, H1, URL, 4 H2</w:t>
            </w:r>
          </w:p>
        </w:tc>
      </w:tr>
      <w:tr>
        <w:trPr>
          <w:tblHeader w:val="false"/>
        </w:trPr>
        <w:tc>
          <w:tcPr>
            <w:tcW w:type="dxa" w:w="4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2</w:t>
            </w:r>
          </w:p>
        </w:tc>
        <w:tc>
          <w:tcPr>
            <w:tcW w:type="dxa" w:w="276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licenciamiento Microsoft Venezuela</w:t>
            </w:r>
          </w:p>
        </w:tc>
        <w:tc>
          <w:tcPr>
            <w:tcW w:type="dxa" w:w="121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Comercial local</w:t>
            </w:r>
          </w:p>
        </w:tc>
        <w:tc>
          <w:tcPr>
            <w:tcW w:type="dxa" w:w="73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87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Título, antetítulo, sección Cobertura</w:t>
            </w:r>
          </w:p>
        </w:tc>
      </w:tr>
      <w:tr>
        <w:trPr>
          <w:tblHeader w:val="false"/>
        </w:trPr>
        <w:tc>
          <w:tcPr>
            <w:tcW w:type="dxa" w:w="4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3</w:t>
            </w:r>
          </w:p>
        </w:tc>
        <w:tc>
          <w:tcPr>
            <w:tcW w:type="dxa" w:w="276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licenciamiento Microsoft Panamá</w:t>
            </w:r>
          </w:p>
        </w:tc>
        <w:tc>
          <w:tcPr>
            <w:tcW w:type="dxa" w:w="121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Comercial local</w:t>
            </w:r>
          </w:p>
        </w:tc>
        <w:tc>
          <w:tcPr>
            <w:tcW w:type="dxa" w:w="73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87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Título, antetítulo, sección Cobertura</w:t>
            </w:r>
          </w:p>
        </w:tc>
      </w:tr>
      <w:tr>
        <w:trPr>
          <w:tblHeader w:val="false"/>
        </w:trPr>
        <w:tc>
          <w:tcPr>
            <w:tcW w:type="dxa" w:w="4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4</w:t>
            </w:r>
          </w:p>
        </w:tc>
        <w:tc>
          <w:tcPr>
            <w:tcW w:type="dxa" w:w="276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Microsoft 365 empresas</w:t>
            </w:r>
          </w:p>
        </w:tc>
        <w:tc>
          <w:tcPr>
            <w:tcW w:type="dxa" w:w="121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Comercial</w:t>
            </w:r>
          </w:p>
        </w:tc>
        <w:tc>
          <w:tcPr>
            <w:tcW w:type="dxa" w:w="73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87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Portada, Servicios incluidos, FAQ de precios</w:t>
            </w:r>
          </w:p>
        </w:tc>
      </w:tr>
      <w:tr>
        <w:trPr>
          <w:tblHeader w:val="false"/>
        </w:trPr>
        <w:tc>
          <w:tcPr>
            <w:tcW w:type="dxa" w:w="4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5</w:t>
            </w:r>
          </w:p>
        </w:tc>
        <w:tc>
          <w:tcPr>
            <w:tcW w:type="dxa" w:w="276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partner Microsoft Venezuela</w:t>
            </w:r>
          </w:p>
        </w:tc>
        <w:tc>
          <w:tcPr>
            <w:tcW w:type="dxa" w:w="121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Comercial local</w:t>
            </w:r>
          </w:p>
        </w:tc>
        <w:tc>
          <w:tcPr>
            <w:tcW w:type="dxa" w:w="73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87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Antetítulo, Cobertura, datos estructurados</w:t>
            </w:r>
          </w:p>
        </w:tc>
      </w:tr>
      <w:tr>
        <w:trPr>
          <w:tblHeader w:val="false"/>
        </w:trPr>
        <w:tc>
          <w:tcPr>
            <w:tcW w:type="dxa" w:w="4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6</w:t>
            </w:r>
          </w:p>
        </w:tc>
        <w:tc>
          <w:tcPr>
            <w:tcW w:type="dxa" w:w="276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partner Microsoft Panamá</w:t>
            </w:r>
          </w:p>
        </w:tc>
        <w:tc>
          <w:tcPr>
            <w:tcW w:type="dxa" w:w="121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Comercial local</w:t>
            </w:r>
          </w:p>
        </w:tc>
        <w:tc>
          <w:tcPr>
            <w:tcW w:type="dxa" w:w="73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87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Antetítulo, Cobertura, datos estructurados</w:t>
            </w:r>
          </w:p>
        </w:tc>
      </w:tr>
      <w:tr>
        <w:trPr>
          <w:tblHeader w:val="false"/>
        </w:trPr>
        <w:tc>
          <w:tcPr>
            <w:tcW w:type="dxa" w:w="4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7</w:t>
            </w:r>
          </w:p>
        </w:tc>
        <w:tc>
          <w:tcPr>
            <w:tcW w:type="dxa" w:w="276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proveedor CSP Microsoft</w:t>
            </w:r>
          </w:p>
        </w:tc>
        <w:tc>
          <w:tcPr>
            <w:tcW w:type="dxa" w:w="121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Comercial</w:t>
            </w:r>
          </w:p>
        </w:tc>
        <w:tc>
          <w:tcPr>
            <w:tcW w:type="dxa" w:w="73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87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Insignia de portada, modalidades, FAQ "qué es un partner CSP"</w:t>
            </w:r>
          </w:p>
        </w:tc>
      </w:tr>
      <w:tr>
        <w:trPr>
          <w:tblHeader w:val="false"/>
        </w:trPr>
        <w:tc>
          <w:tcPr>
            <w:tcW w:type="dxa" w:w="4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8</w:t>
            </w:r>
          </w:p>
        </w:tc>
        <w:tc>
          <w:tcPr>
            <w:tcW w:type="dxa" w:w="276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comprar licencias Microsoft</w:t>
            </w:r>
          </w:p>
        </w:tc>
        <w:tc>
          <w:tcPr>
            <w:tcW w:type="dxa" w:w="121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Transaccional</w:t>
            </w:r>
          </w:p>
        </w:tc>
        <w:tc>
          <w:tcPr>
            <w:tcW w:type="dxa" w:w="73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87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"cómo compro licencias Microsoft"</w:t>
            </w:r>
          </w:p>
        </w:tc>
      </w:tr>
      <w:tr>
        <w:trPr>
          <w:tblHeader w:val="false"/>
        </w:trPr>
        <w:tc>
          <w:tcPr>
            <w:tcW w:type="dxa" w:w="4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9</w:t>
            </w:r>
          </w:p>
        </w:tc>
        <w:tc>
          <w:tcPr>
            <w:tcW w:type="dxa" w:w="276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asesoría licenciamiento Microsoft</w:t>
            </w:r>
          </w:p>
        </w:tc>
        <w:tc>
          <w:tcPr>
            <w:tcW w:type="dxa" w:w="121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Comercial</w:t>
            </w:r>
          </w:p>
        </w:tc>
        <w:tc>
          <w:tcPr>
            <w:tcW w:type="dxa" w:w="73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  <w:tc>
          <w:tcPr>
            <w:tcW w:type="dxa" w:w="487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Miga de pan, datos estructurados (Service)</w:t>
            </w:r>
          </w:p>
        </w:tc>
      </w:tr>
      <w:tr>
        <w:trPr>
          <w:tblHeader w:val="false"/>
        </w:trPr>
        <w:tc>
          <w:tcPr>
            <w:tcW w:type="dxa" w:w="48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10</w:t>
            </w:r>
          </w:p>
        </w:tc>
        <w:tc>
          <w:tcPr>
            <w:tcW w:type="dxa" w:w="2764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renovación Enterprise Agreement</w:t>
            </w:r>
          </w:p>
        </w:tc>
        <w:tc>
          <w:tcPr>
            <w:tcW w:type="dxa" w:w="121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Comercial</w:t>
            </w:r>
          </w:p>
        </w:tc>
        <w:tc>
          <w:tcPr>
            <w:tcW w:type="dxa" w:w="732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  <w:tc>
          <w:tcPr>
            <w:tcW w:type="dxa" w:w="487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Servicios incluidos, modalidades, FAQ True-up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Secundarias por producto y modalidad</w:t>
      </w:r>
    </w:p>
    <w:p>
      <w:r>
        <w:t xml:space="preserve">Refuerzan a las primarias y capturan búsquedas de quien ya sabe qué producto quiere. Van en la página como menciones naturales y, las de prioridad media, en los artículos del plan de contenidos.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76"/>
        <w:gridCol w:w="889"/>
        <w:gridCol w:w="667"/>
        <w:gridCol w:w="4448"/>
      </w:tblGrid>
      <w:tr>
        <w:trPr>
          <w:tblHeader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Palabra clave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recomendado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Microsoft Copilot empresas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Producto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Página (portada, productos) + artículo mes 2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Azure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Producto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Página (servicios incluidos)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Power BI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Producto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Página (productos)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Power Platform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Producto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Baja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Página (productos)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Microsoft Entra / Intune / Defender / Purview licencias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Seguridad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Paso 7 y beneficio "Activación de los componentes de seguridad"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Microsoft 365 Business Premium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Plan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Artículo mes 1 (comparativa de planes)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Microsoft 365 E3 / E5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Plan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Artículo mes 1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Cloud Solution Provider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Modalidad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Tarjeta CSP, FAQ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Enterprise Agreement Microsoft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Modalidad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Tarjeta EA, servicios incluidos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Microsoft Open Value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Modalidad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Tarjeta Open Value, FAQ de modalidades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True-up Microsoft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Contrato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"Qué es el True-up" + artículo mes 3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auditoría de licencias Microsoft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Cumplimiento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Servicios incluidos ("Diagnóstico y auditoría") + artículo mes 2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optimización de licencias Microsoft 365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Costos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Beneficio "Optimización del uso", paso 5 + artículo mes 3</w:t>
            </w:r>
          </w:p>
        </w:tc>
      </w:tr>
      <w:tr>
        <w:trPr>
          <w:tblHeader w:val="false"/>
        </w:trPr>
        <w:tc>
          <w:tcPr>
            <w:tcW w:type="dxa" w:w="407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gestión de licencias de software (SAM)</w:t>
            </w:r>
          </w:p>
        </w:tc>
        <w:tc>
          <w:tcPr>
            <w:tcW w:type="dxa" w:w="88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Costos</w:t>
            </w:r>
          </w:p>
        </w:tc>
        <w:tc>
          <w:tcPr>
            <w:tcW w:type="dxa" w:w="66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Baja</w:t>
            </w:r>
          </w:p>
        </w:tc>
        <w:tc>
          <w:tcPr>
            <w:tcW w:type="dxa" w:w="44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Artículo futuro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Long tail e informativas</w:t>
      </w:r>
    </w:p>
    <w:p>
      <w:r>
        <w:t xml:space="preserve">Son preguntas largas con menos búsquedas cada una, pero más fáciles de ganar y con visitantes muy calificados. Las que ya responde la página pueden aparecer como resultado enriquecido de preguntas frecuentes.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93"/>
        <w:gridCol w:w="848"/>
        <w:gridCol w:w="4239"/>
      </w:tblGrid>
      <w:tr>
        <w:trPr>
          <w:tblHeader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Búsqueda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se responde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cómo comprar licencias Microsoft para mi empresa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Cubierta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"Compra y precios"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cuánto cuesta Microsoft 365 para empresas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Cubierta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"Compra y precios"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qué es un partner CSP de Microsoft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Cubierta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"Compra y precios"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qué es el True-up de Microsoft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Cubierta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"Compra y precios"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qué modalidad de licenciamiento Microsoft me conviene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Cubierta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"Modalidades y contratación"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diferencia entre CSP y Enterprise Agreement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Parcial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de modalidades; ampliar en artículo mes 1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cómo saber si pago licencias Microsoft que no uso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Cubierta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"Diagnóstico y costos"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cómo prepararse para una auditoría de Microsoft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Cubierta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"Cumplimiento y seguridad"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qué licencias necesito para usar Copilot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Cubierta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"Cumplimiento y seguridad"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cambiar de Enterprise Agreement a CSP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Cubierta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FAQ "Modalidades y contratación"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Microsoft 365 Business vs Enterprise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Pendiente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Artículo mes 1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qué son licencias dormidas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Pendiente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Artículo mes 3</w:t>
            </w:r>
          </w:p>
        </w:tc>
      </w:tr>
      <w:tr>
        <w:trPr>
          <w:tblHeader w:val="false"/>
        </w:trPr>
        <w:tc>
          <w:tcPr>
            <w:tcW w:type="dxa" w:w="499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Open Value vs CSP para pymes</w:t>
            </w:r>
          </w:p>
        </w:tc>
        <w:tc>
          <w:tcPr>
            <w:tcW w:type="dxa" w:w="848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Pendiente</w:t>
            </w:r>
          </w:p>
        </w:tc>
        <w:tc>
          <w:tcPr>
            <w:tcW w:type="dxa" w:w="4239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Artículo mes 1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Locales: país y ciudad</w:t>
      </w:r>
    </w:p>
    <w:p>
      <w:r>
        <w:t xml:space="preserve">Las búsquedas con país o ciudad son las más rentables: menos competencia regional y mayor intención de contratar. Se apoyan en la sección Cobertura, los datos estructurados por oficina y las fichas de Google Business Profile.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06"/>
        <w:gridCol w:w="1487"/>
        <w:gridCol w:w="1487"/>
      </w:tblGrid>
      <w:tr>
        <w:trPr>
          <w:tblHeader/>
        </w:trPr>
        <w:tc>
          <w:tcPr>
            <w:tcW w:type="dxa" w:w="710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Palabra clave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País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W w:type="dxa" w:w="710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Microsoft Venezuela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Venezuela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710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Microsoft 365 Venezuela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Venezuela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710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partner Microsoft Caracas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Venezuela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710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proveedor de licencias Microsoft en Caracas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Venezuela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710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Microsoft Panamá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Panamá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710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Microsoft 365 Panamá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Panamá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710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partner Microsoft Ciudad de Panamá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Panamá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710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proveedor CSP Microsoft Panamá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Panamá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710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licenciamiento Microsoft Centroamérica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Regional</w:t>
            </w:r>
          </w:p>
        </w:tc>
        <w:tc>
          <w:tcPr>
            <w:tcW w:type="dxa" w:w="1487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60"/>
      </w:pPr>
    </w:p>
    <w:p>
      <w:r>
        <w:t xml:space="preserve">Estados Unidos y España quedan como mercados mencionados, sin palabras clave locales propias, hasta que exista una dirección verificable en cada país.</w:t>
      </w:r>
    </w:p>
    <w:p>
      <w:pPr>
        <w:pStyle w:val="Heading1"/>
      </w:pPr>
      <w:r>
        <w:t xml:space="preserve">5. Competencia a vigilar y términos a evitar</w:t>
      </w:r>
    </w:p>
    <w:p>
      <w:r>
        <w:t xml:space="preserve">Una búsqueda rápida en la web muestra quiénes aparecen hoy alrededor de estos temas. Conviene revisar cada trimestre quién ocupa el top 5 para cada palabra primaria y qué contenido tiene.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23"/>
        <w:gridCol w:w="881"/>
        <w:gridCol w:w="4110"/>
        <w:gridCol w:w="1566"/>
      </w:tblGrid>
      <w:tr>
        <w:trPr>
          <w:tblHeader/>
        </w:trPr>
        <w:tc>
          <w:tcPr>
            <w:tcW w:type="dxa" w:w="352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88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País</w:t>
            </w:r>
          </w:p>
        </w:tc>
        <w:tc>
          <w:tcPr>
            <w:tcW w:type="dxa" w:w="411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según lo publicado</w:t>
            </w:r>
          </w:p>
        </w:tc>
        <w:tc>
          <w:tcPr>
            <w:tcW w:type="dxa" w:w="156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rPr>
          <w:tblHeader w:val="false"/>
        </w:trPr>
        <w:tc>
          <w:tcPr>
            <w:tcW w:type="dxa" w:w="352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PC Suplidores (Inversiones Sunshine)</w:t>
            </w:r>
          </w:p>
        </w:tc>
        <w:tc>
          <w:tcPr>
            <w:tcW w:type="dxa" w:w="88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Venezuela</w:t>
            </w:r>
          </w:p>
        </w:tc>
        <w:tc>
          <w:tcPr>
            <w:tcW w:type="dxa" w:w="411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Se presenta como CSP y mayorista Microsoft</w:t>
            </w:r>
          </w:p>
        </w:tc>
        <w:tc>
          <w:tcPr>
            <w:tcW w:type="dxa" w:w="156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hyperlink w:history="1" r:id="rIdqirxkmglka1mxi-pq9-tc">
              <w:r>
                <w:rPr>
                  <w:rStyle w:val="Hyperlink"/>
                  <w:rFonts w:ascii="Arial" w:cs="Arial" w:eastAsia="Arial" w:hAnsi="Arial"/>
                  <w:color w:val="222A4D"/>
                  <w:sz w:val="18"/>
                  <w:szCs w:val="18"/>
                </w:rPr>
                <w:t xml:space="preserve">ficha de partner</w:t>
              </w:r>
            </w:hyperlink>
          </w:p>
        </w:tc>
      </w:tr>
      <w:tr>
        <w:trPr>
          <w:tblHeader w:val="false"/>
        </w:trPr>
        <w:tc>
          <w:tcPr>
            <w:tcW w:type="dxa" w:w="352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Nexsys</w:t>
            </w:r>
          </w:p>
        </w:tc>
        <w:tc>
          <w:tcPr>
            <w:tcW w:type="dxa" w:w="88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Venezuela</w:t>
            </w:r>
          </w:p>
        </w:tc>
        <w:tc>
          <w:tcPr>
            <w:tcW w:type="dxa" w:w="411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Distribuidor de licenciamiento Microsoft</w:t>
            </w:r>
          </w:p>
        </w:tc>
        <w:tc>
          <w:tcPr>
            <w:tcW w:type="dxa" w:w="156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búsqueda web</w:t>
            </w:r>
          </w:p>
        </w:tc>
      </w:tr>
      <w:tr>
        <w:trPr>
          <w:tblHeader w:val="false"/>
        </w:trPr>
        <w:tc>
          <w:tcPr>
            <w:tcW w:type="dxa" w:w="352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Licencias OnLine</w:t>
            </w:r>
          </w:p>
        </w:tc>
        <w:tc>
          <w:tcPr>
            <w:tcW w:type="dxa" w:w="88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Regional</w:t>
            </w:r>
          </w:p>
        </w:tc>
        <w:tc>
          <w:tcPr>
            <w:tcW w:type="dxa" w:w="411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Mayorista de licenciamiento Microsoft</w:t>
            </w:r>
          </w:p>
        </w:tc>
        <w:tc>
          <w:tcPr>
            <w:tcW w:type="dxa" w:w="156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hyperlink w:history="1" r:id="rIdojgsxlycrz61sexahcxsg">
              <w:r>
                <w:rPr>
                  <w:rStyle w:val="Hyperlink"/>
                  <w:rFonts w:ascii="Arial" w:cs="Arial" w:eastAsia="Arial" w:hAnsi="Arial"/>
                  <w:color w:val="222A4D"/>
                  <w:sz w:val="18"/>
                  <w:szCs w:val="18"/>
                </w:rPr>
                <w:t xml:space="preserve">ITSitio</w:t>
              </w:r>
            </w:hyperlink>
          </w:p>
        </w:tc>
      </w:tr>
      <w:tr>
        <w:trPr>
          <w:tblHeader w:val="false"/>
        </w:trPr>
        <w:tc>
          <w:tcPr>
            <w:tcW w:type="dxa" w:w="352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GBM</w:t>
            </w:r>
          </w:p>
        </w:tc>
        <w:tc>
          <w:tcPr>
            <w:tcW w:type="dxa" w:w="88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Panamá</w:t>
            </w:r>
          </w:p>
        </w:tc>
        <w:tc>
          <w:tcPr>
            <w:tcW w:type="dxa" w:w="411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Microsoft Partner of the Year Panamá 2023</w:t>
            </w:r>
          </w:p>
        </w:tc>
        <w:tc>
          <w:tcPr>
            <w:tcW w:type="dxa" w:w="156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hyperlink w:history="1" r:id="rId6idfvqgo1eesrqwdwnoed">
              <w:r>
                <w:rPr>
                  <w:rStyle w:val="Hyperlink"/>
                  <w:rFonts w:ascii="Arial" w:cs="Arial" w:eastAsia="Arial" w:hAnsi="Arial"/>
                  <w:color w:val="222A4D"/>
                  <w:sz w:val="18"/>
                  <w:szCs w:val="18"/>
                </w:rPr>
                <w:t xml:space="preserve">Microsoft News</w:t>
              </w:r>
            </w:hyperlink>
          </w:p>
        </w:tc>
      </w:tr>
      <w:tr>
        <w:trPr>
          <w:tblHeader w:val="false"/>
        </w:trPr>
        <w:tc>
          <w:tcPr>
            <w:tcW w:type="dxa" w:w="352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BDO</w:t>
            </w:r>
          </w:p>
        </w:tc>
        <w:tc>
          <w:tcPr>
            <w:tcW w:type="dxa" w:w="88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Panamá</w:t>
            </w:r>
          </w:p>
        </w:tc>
        <w:tc>
          <w:tcPr>
            <w:tcW w:type="dxa" w:w="411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Partner Microsoft para el mercado panameño</w:t>
            </w:r>
          </w:p>
        </w:tc>
        <w:tc>
          <w:tcPr>
            <w:tcW w:type="dxa" w:w="156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hyperlink w:history="1" r:id="rIdog9xpcpiz_37kcoqcdbsk">
              <w:r>
                <w:rPr>
                  <w:rStyle w:val="Hyperlink"/>
                  <w:rFonts w:ascii="Arial" w:cs="Arial" w:eastAsia="Arial" w:hAnsi="Arial"/>
                  <w:color w:val="222A4D"/>
                  <w:sz w:val="18"/>
                  <w:szCs w:val="18"/>
                </w:rPr>
                <w:t xml:space="preserve">DPL News</w:t>
              </w:r>
            </w:hyperlink>
          </w:p>
        </w:tc>
      </w:tr>
      <w:tr>
        <w:trPr>
          <w:tblHeader w:val="false"/>
        </w:trPr>
        <w:tc>
          <w:tcPr>
            <w:tcW w:type="dxa" w:w="3523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Conzultek</w:t>
            </w:r>
          </w:p>
        </w:tc>
        <w:tc>
          <w:tcPr>
            <w:tcW w:type="dxa" w:w="881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Panamá</w:t>
            </w:r>
          </w:p>
        </w:tc>
        <w:tc>
          <w:tcPr>
            <w:tcW w:type="dxa" w:w="4110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A4D"/>
                <w:sz w:val="18"/>
                <w:szCs w:val="18"/>
              </w:rPr>
              <w:t xml:space="preserve">Partner Microsoft 365 y Dynamics 365</w:t>
            </w:r>
          </w:p>
        </w:tc>
        <w:tc>
          <w:tcPr>
            <w:tcW w:type="dxa" w:w="1566"/>
            <w:tcBorders>
              <w:top w:val="single" w:color="D9DCEB" w:sz="4"/>
              <w:left w:val="single" w:color="D9DCEB" w:sz="4"/>
              <w:bottom w:val="single" w:color="D9DCEB" w:sz="4"/>
              <w:right w:val="single" w:color="D9DCEB" w:sz="4"/>
            </w:tcBorders>
            <w:shd w:fill="F4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hyperlink w:history="1" r:id="rIdkziitwywklxhulcbuvjrj">
              <w:r>
                <w:rPr>
                  <w:rStyle w:val="Hyperlink"/>
                  <w:rFonts w:ascii="Arial" w:cs="Arial" w:eastAsia="Arial" w:hAnsi="Arial"/>
                  <w:color w:val="222A4D"/>
                  <w:sz w:val="18"/>
                  <w:szCs w:val="18"/>
                </w:rPr>
                <w:t xml:space="preserve">ERP Research</w:t>
              </w:r>
            </w:hyperlink>
          </w:p>
        </w:tc>
      </w:tr>
    </w:tbl>
    <w:p>
      <w:pPr>
        <w:spacing w:after="60"/>
      </w:pPr>
    </w:p>
    <w:p>
      <w:r>
        <w:t xml:space="preserve">Los mayoristas compiten por las búsquedas de compra; los integradores, por las de servicio. Nuestro diferencial para el contenido es el acompañamiento MAC y el diagnóstico de licencias dormidas, temas que estos sitios casi no desarrollan.</w:t>
      </w:r>
    </w:p>
    <w:p>
      <w:r>
        <w:rPr>
          <w:b/>
          <w:bCs/>
        </w:rPr>
        <w:t xml:space="preserve">Términos a evitar en la página:</w:t>
      </w:r>
    </w:p>
    <w:p>
      <w:pPr>
        <w:pStyle w:val="ListParagraph"/>
        <w:numPr>
          <w:ilvl w:val="0"/>
          <w:numId w:val="2"/>
        </w:numPr>
      </w:pPr>
      <w:r>
        <w:t xml:space="preserve">"licencias Microsoft baratas", "gratis", "crack" o "activador": atraen tráfico sin intención de compra y dañan la reputación.</w:t>
      </w:r>
    </w:p>
    <w:p>
      <w:pPr>
        <w:pStyle w:val="ListParagraph"/>
        <w:numPr>
          <w:ilvl w:val="0"/>
          <w:numId w:val="2"/>
        </w:numPr>
      </w:pPr>
      <w:r>
        <w:t xml:space="preserve">"Office 365" como término principal: Microsoft lo renombró a Microsoft 365; solo como sinónimo en una pregunta.</w:t>
      </w:r>
    </w:p>
    <w:p>
      <w:pPr>
        <w:pStyle w:val="ListParagraph"/>
        <w:numPr>
          <w:ilvl w:val="0"/>
          <w:numId w:val="2"/>
        </w:numPr>
      </w:pPr>
      <w:r>
        <w:t xml:space="preserve">"Microsoft Customer Agreement (MCA)": no se presenta como modalidad en la página por decisión comercial; solo aparece como opción del formulario de diagnóstico (CSP · OLV · EA · MCA).</w:t>
      </w:r>
    </w:p>
    <w:p>
      <w:pPr>
        <w:pStyle w:val="ListParagraph"/>
        <w:numPr>
          <w:ilvl w:val="0"/>
          <w:numId w:val="2"/>
        </w:numPr>
      </w:pPr>
      <w:r>
        <w:t xml:space="preserve">"Dynamics 365" y "Microsoft Priva": no forman parte de la oferta publicada en esta página.</w:t>
      </w:r>
    </w:p>
    <w:p>
      <w:pPr>
        <w:pStyle w:val="Heading1"/>
      </w:pPr>
      <w:r>
        <w:t xml:space="preserve">6. Cómo validar volúmenes y fuentes</w:t>
      </w:r>
    </w:p>
    <w:p>
      <w:r>
        <w:t xml:space="preserve">Las prioridades de este documento se fijaron por intención de búsqueda y encaje con la oferta, no por volumen: no había acceso a una herramienta de volúmenes al prepararlo. Antes de invertir en contenido o anuncios, valida cada palabra así: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Keyword Planner</w:t>
      </w:r>
      <w:r>
        <w:t xml:space="preserve"> (gratis con una cuenta de Google Ads): carga las palabras de las secciones 1 a 4, filtra por Venezuela y por Panamá, y anota el volumen mensual en una columna nueva de cada tabla.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Search Console</w:t>
      </w:r>
      <w:r>
        <w:t xml:space="preserve"> (a partir de 4–6 semanas de publicada la página): informe "Rendimiento → Consultas" para ver qué búsquedas reales ya traen impresiones; las que no estén aquí se agregan.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Trends:</w:t>
      </w:r>
      <w:r>
        <w:t xml:space="preserve"> compara "licencias Microsoft 365" con "licencias Office 365" y "Copilot" por país para decidir qué término usar en títulos.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Búsqueda manual en incógnito</w:t>
      </w:r>
      <w:r>
        <w:t xml:space="preserve"> desde cada país (o con una VPN): anota quién ocupa el top 5 y qué tipo de página es; actualiza la tabla de competencia.</w:t>
      </w:r>
    </w:p>
    <w:p>
      <w:r>
        <w:t xml:space="preserve">Regla de decisión: una palabra con volumen 0 en Keyword Planner no se descarta si tiene intención de compra clara; en mercados pequeños, 20 búsquedas al mes de un gerente de TI valen más que 2.000 de estudiantes.</w:t>
      </w:r>
    </w:p>
    <w:p>
      <w:r>
        <w:rPr>
          <w:b/>
          <w:bCs/>
        </w:rPr>
        <w:t xml:space="preserve">Fuentes consultadas:</w:t>
      </w:r>
    </w:p>
    <w:p>
      <w:pPr>
        <w:pStyle w:val="ListParagraph"/>
        <w:numPr>
          <w:ilvl w:val="0"/>
          <w:numId w:val="2"/>
        </w:numPr>
      </w:pPr>
      <w:hyperlink w:history="1" r:id="rIdq7qvuextc5mimslhx7dhe">
        <w:r>
          <w:rPr>
            <w:rStyle w:val="Hyperlink"/>
          </w:rPr>
          <w:t xml:space="preserve">Ficha de partner de Inversiones Sunshine (PC Suplidores)</w:t>
        </w:r>
      </w:hyperlink>
    </w:p>
    <w:p>
      <w:pPr>
        <w:pStyle w:val="ListParagraph"/>
        <w:numPr>
          <w:ilvl w:val="0"/>
          <w:numId w:val="2"/>
        </w:numPr>
      </w:pPr>
      <w:hyperlink w:history="1" r:id="rIdb0nrwapjucs3uyovmiets">
        <w:r>
          <w:rPr>
            <w:rStyle w:val="Hyperlink"/>
          </w:rPr>
          <w:t xml:space="preserve">ITSitio: Licencias OnLine y el esquema de licenciamiento de Microsoft</w:t>
        </w:r>
      </w:hyperlink>
    </w:p>
    <w:p>
      <w:pPr>
        <w:pStyle w:val="ListParagraph"/>
        <w:numPr>
          <w:ilvl w:val="0"/>
          <w:numId w:val="2"/>
        </w:numPr>
      </w:pPr>
      <w:hyperlink w:history="1" r:id="rIdr5obkl7ewoijdkvzrmuaq">
        <w:r>
          <w:rPr>
            <w:rStyle w:val="Hyperlink"/>
          </w:rPr>
          <w:t xml:space="preserve">Microsoft News Latinoamérica: Partner of the Year</w:t>
        </w:r>
      </w:hyperlink>
    </w:p>
    <w:p>
      <w:pPr>
        <w:pStyle w:val="ListParagraph"/>
        <w:numPr>
          <w:ilvl w:val="0"/>
          <w:numId w:val="2"/>
        </w:numPr>
      </w:pPr>
      <w:hyperlink w:history="1" r:id="rId1zlz4df0kwcfb_mm_js8z">
        <w:r>
          <w:rPr>
            <w:rStyle w:val="Hyperlink"/>
          </w:rPr>
          <w:t xml:space="preserve">DPL News: alianza BDO–Microsoft en Panamá</w:t>
        </w:r>
      </w:hyperlink>
    </w:p>
    <w:p>
      <w:pPr>
        <w:pStyle w:val="ListParagraph"/>
        <w:numPr>
          <w:ilvl w:val="0"/>
          <w:numId w:val="2"/>
        </w:numPr>
      </w:pPr>
      <w:hyperlink w:history="1" r:id="rIdrhhdf5inflenmyderx260">
        <w:r>
          <w:rPr>
            <w:rStyle w:val="Hyperlink"/>
          </w:rPr>
          <w:t xml:space="preserve">ERP Research: Conzultek</w:t>
        </w:r>
      </w:hyperlink>
    </w:p>
    <w:p>
      <w:pPr>
        <w:pStyle w:val="ListParagraph"/>
        <w:numPr>
          <w:ilvl w:val="0"/>
          <w:numId w:val="2"/>
        </w:numPr>
      </w:pPr>
      <w:hyperlink w:history="1" r:id="rIdrvwud-h1h9papkojodajm">
        <w:r>
          <w:rPr>
            <w:rStyle w:val="Hyperlink"/>
          </w:rPr>
          <w:t xml:space="preserve">Microsoft: qué es el programa Open Value</w:t>
        </w:r>
      </w:hyperlink>
    </w:p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275"/>
        <w:sz w:val="16"/>
        <w:szCs w:val="16"/>
      </w:rPr>
      <w:t xml:space="preserve">Página </w:t>
    </w:r>
    <w:r>
      <w:rPr>
        <w:color w:val="4A52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275"/>
        <w:sz w:val="16"/>
        <w:szCs w:val="16"/>
      </w:rPr>
      <w:t xml:space="preserve"> de </w:t>
    </w:r>
    <w:r>
      <w:rPr>
        <w:color w:val="4A52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275"/>
        <w:sz w:val="16"/>
        <w:szCs w:val="16"/>
      </w:rPr>
      <w:t xml:space="preserve">Consein · Palabras clave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3F9A3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40"/>
      </w:pPr>
      <w:rPr>
        <w:rFonts w:ascii="Segoe UI Symbol" w:cs="Segoe UI Symbol" w:eastAsia="Segoe UI Symbol" w:hAnsi="Segoe UI Symbol"/>
        <w:color w:val="1B245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B24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152"/>
        <w:sz w:val="21"/>
        <w:szCs w:val="21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B245B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1B245B"/>
      <w:sz w:val="28"/>
      <w:szCs w:val="28"/>
    </w:rPr>
  </w:style>
  <w:style w:type="character" w:styleId="Hyperlink">
    <w:name w:val="Hyperlink"/>
    <w:uiPriority w:val="99"/>
    <w:unhideWhenUsed/>
    <w:rPr>
      <w:color w:val="3F9A3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irxkmglka1mxi-pq9-tc" Type="http://schemas.openxmlformats.org/officeDocument/2006/relationships/hyperlink" Target="https://topdynamicspartners.com/listings/383b58c6-89fa-4233-a58a-70e197e539ae" TargetMode="External"/><Relationship Id="rIdojgsxlycrz61sexahcxsg" Type="http://schemas.openxmlformats.org/officeDocument/2006/relationships/hyperlink" Target="https://www.itsitio.com/distribucion/licencias-online-presento-nuevo-esquema-licenciamiendo-microsoft/" TargetMode="External"/><Relationship Id="rId6idfvqgo1eesrqwdwnoed" Type="http://schemas.openxmlformats.org/officeDocument/2006/relationships/hyperlink" Target="https://news.microsoft.com/es-xl/tag/partner-of-the-year-award/" TargetMode="External"/><Relationship Id="rIdog9xpcpiz_37kcoqcdbsk" Type="http://schemas.openxmlformats.org/officeDocument/2006/relationships/hyperlink" Target="https://dplnews.com/?p=168575" TargetMode="External"/><Relationship Id="rIdkziitwywklxhulcbuvjrj" Type="http://schemas.openxmlformats.org/officeDocument/2006/relationships/hyperlink" Target="https://erpresearch.com/dynamics-partners/conzultek" TargetMode="External"/><Relationship Id="rIdq7qvuextc5mimslhx7dhe" Type="http://schemas.openxmlformats.org/officeDocument/2006/relationships/hyperlink" Target="https://topdynamicspartners.com/listings/383b58c6-89fa-4233-a58a-70e197e539ae" TargetMode="External"/><Relationship Id="rIdb0nrwapjucs3uyovmiets" Type="http://schemas.openxmlformats.org/officeDocument/2006/relationships/hyperlink" Target="https://www.itsitio.com/distribucion/licencias-online-presento-nuevo-esquema-licenciamiendo-microsoft/" TargetMode="External"/><Relationship Id="rIdr5obkl7ewoijdkvzrmuaq" Type="http://schemas.openxmlformats.org/officeDocument/2006/relationships/hyperlink" Target="https://news.microsoft.com/es-xl/tag/partner-of-the-year-award/" TargetMode="External"/><Relationship Id="rId1zlz4df0kwcfb_mm_js8z" Type="http://schemas.openxmlformats.org/officeDocument/2006/relationships/hyperlink" Target="https://dplnews.com/?p=168575" TargetMode="External"/><Relationship Id="rIdrhhdf5inflenmyderx260" Type="http://schemas.openxmlformats.org/officeDocument/2006/relationships/hyperlink" Target="https://erpresearch.com/dynamics-partners/conzultek" TargetMode="External"/><Relationship Id="rIdrvwud-h1h9papkojodajm" Type="http://schemas.openxmlformats.org/officeDocument/2006/relationships/hyperlink" Target="https://microsoft.com/en-gb/Licensing/licensing-programs/open-license.aspx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Palabras clave – Licenciamiento Microsoft · Consein</dc:title>
  <dc:creator>Consein</dc:creator>
  <dc:description>Asesoría en licenciamiento Microsoft · Versión 1 · octubre de 2026</dc:description>
  <cp:lastModifiedBy>Un-named</cp:lastModifiedBy>
  <cp:revision>1</cp:revision>
  <dcterms:created xsi:type="dcterms:W3CDTF">2026-10-08T15:22:39.057Z</dcterms:created>
  <dcterms:modified xsi:type="dcterms:W3CDTF">2026-10-08T15:22:39.057Z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