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 · DISD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Palabras clave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7 especialidades y Programa Renueva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SEO · Octubre 2026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Objetivo: ubicar a Consein entre los 5 primeros resultados de búsqueda en cada una de las 7 especialidades, en Venezuela, Panamá, República Dominicana y Estados Unidos (mercado hispanohablante).</w:t>
      </w:r>
    </w:p>
    <w:p>
      <w:pPr>
        <w:pStyle w:val="Heading1"/>
        <w:pageBreakBefore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Cómo usar esta lista</w:t>
      </w:r>
    </w:p>
    <w:p>
      <w:pPr>
        <w:spacing w:after="120"/>
      </w:pPr>
      <w:r>
        <w:t xml:space="preserve">Organizamos las palabras clave por especialidad. Cada tabla indica el tipo de término, la intención de búsqueda, la prioridad y la página o sección del sitio que debe posicionarse para ese término.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Principal:</w:t>
      </w:r>
      <w:r>
        <w:t xml:space="preserve"> término central de la especialidad; aparece en el H1 o H2 de su sección.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Secundaria:</w:t>
      </w:r>
      <w:r>
        <w:t xml:space="preserve"> término de apoyo con volumen relevante.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Long tail:</w:t>
      </w:r>
      <w:r>
        <w:t xml:space="preserve"> frase específica, con menos competencia y mayor probabilidad de conversión.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Producto:</w:t>
      </w:r>
      <w:r>
        <w:t xml:space="preserve"> nombre de producto Cisco o Microsoft que el cliente busca directamente.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Prioridad:</w:t>
      </w:r>
      <w:r>
        <w:t xml:space="preserve"> A = meta top 5 en los próximos 6 meses; B = top 10; C = soporte semántico.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Intención:</w:t>
      </w:r>
      <w:r>
        <w:t xml:space="preserve"> Comercial (evalúa proveedores), Informativa (investiga), Transaccional (quiere contratar) o Navegacional (busca la marca).</w:t>
      </w:r>
    </w:p>
    <w:p>
      <w:pPr>
        <w:spacing w:after="120"/>
      </w:pPr>
      <w:r>
        <w:rPr>
          <w:b/>
          <w:bCs/>
        </w:rPr>
        <w:t xml:space="preserve">Validación pendiente: </w:t>
      </w:r>
      <w:r>
        <w:t xml:space="preserve">esta lista se basa en el portafolio y en la demanda esperada del mercado. Antes de fijar las metas, el equipo SEO debe confirmar el volumen de búsqueda, la dificultad y los competidores por país con Google Keyword Planner, Semrush o Ahrefs, y luego medir el avance en Google Search Console.</w:t>
      </w:r>
    </w:p>
    <w:p>
      <w:pPr>
        <w:spacing w:after="120"/>
      </w:pPr>
      <w:r>
        <w:rPr>
          <w:b/>
          <w:bCs/>
        </w:rPr>
        <w:t xml:space="preserve">* </w:t>
      </w:r>
      <w:r>
        <w:t xml:space="preserve">Usar los términos de “partner Cisco” solo después de confirmar el nivel de partnership vigente de Consein con Cisco.</w:t>
      </w:r>
    </w:p>
    <w:p>
      <w:pPr>
        <w:pStyle w:val="Heading2"/>
      </w:pPr>
      <w:r>
        <w:t xml:space="preserve">Modificadores geográficos</w:t>
      </w:r>
    </w:p>
    <w:p>
      <w:pPr>
        <w:spacing w:after="120"/>
      </w:pPr>
      <w:r>
        <w:t xml:space="preserve">Combine las palabras clave de prioridad A con estos modificadores para crear variantes locales en títulos, contenidos y perfiles de Google Business: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 sugeridos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1"/>
        <w:pageBreakBefore/>
      </w:pPr>
      <w:r>
        <w:t xml:space="preserve">Palabras clave transversales</w:t>
      </w:r>
    </w:p>
    <w:p>
      <w:pPr>
        <w:spacing w:after="120"/>
      </w:pPr>
      <w:r>
        <w:t xml:space="preserve">Términos de marca y de portafolio que posicionan la página de inicio y el servicio integral.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Microsoft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Panamá *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República Dominicana *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Microsoft Venezuela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CSC-15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 Connected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CSC-15</w:t>
            </w:r>
          </w:p>
        </w:tc>
      </w:tr>
    </w:tbl>
    <w:p>
      <w:pPr>
        <w:pStyle w:val="Heading1"/>
        <w:pageBreakBefore/>
      </w:pPr>
      <w:r>
        <w:t xml:space="preserve">1. Infraestructura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como referencia en SD-WAN para Azure y redes Cisco Meraki gestionadas.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Infraestructura de red y SD-WAN para Azure</w:t>
      </w:r>
      <w:r>
        <w:rPr>
          <w:b/>
          <w:bCs/>
        </w:rPr>
        <w:t xml:space="preserve">   ·   URL: </w:t>
      </w:r>
      <w:r>
        <w:t xml:space="preserve">soluciones.html#infraestructura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Azure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#infraestructura · CSC-02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Meraki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conectar sucursales a Azure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 SD-WAN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CSC-02 · CSC-04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diagnóstico de red gratuito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 SD-WAN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infraestructura de red híbrida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redes Cisco Meraki para empresas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switches Cisco Catalyst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ThousandEyes Azure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datacenter Cisco Nexus ACI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Arc Cisco Intersight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CSC-05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2. Seguridad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Ganar las búsquedas de Zero Trust de red, firewall perimetral e integración con Microsoft Sentinel.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Ciberseguridad y Zero Trust de red</w:t>
      </w:r>
      <w:r>
        <w:rPr>
          <w:b/>
          <w:bCs/>
        </w:rPr>
        <w:t xml:space="preserve">   ·   URL: </w:t>
      </w:r>
      <w:r>
        <w:t xml:space="preserve">soluciones.html#seguridad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 de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#seguridad · 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empresarial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#seguridad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 para empresas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 · REN-04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Microsoft Sentinel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 · CSC-08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 Intune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NAC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detección de amenazas en la red NDR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CSC-08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red Zero Trust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 Sentinel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Network Analytics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CSC-08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3. Colaboración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Liderar las búsquedas de salas Microsoft Teams Rooms con hardware Cisco certificado.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Colaboración y salas Microsoft Teams Rooms</w:t>
      </w:r>
      <w:r>
        <w:rPr>
          <w:b/>
          <w:bCs/>
        </w:rPr>
        <w:t xml:space="preserve">   ·   URL: </w:t>
      </w:r>
      <w:r>
        <w:t xml:space="preserve">soluciones.html#colaboracion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#colaboracion · 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Teams Rooms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Kit Teams Rooms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 · REN-06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calidad de llamadas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Microsoft Teams ThousandEyes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Teams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teléfonos Cisco Teams Phone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híbridas Copilot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CSC-10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4. Data y Analítica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en observabilidad y monitoreo de aplicaciones con indicadores en Power BI.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Data, analítica y observabilidad de aplicaciones</w:t>
      </w:r>
      <w:r>
        <w:rPr>
          <w:b/>
          <w:bCs/>
        </w:rPr>
        <w:t xml:space="preserve">   ·   URL: </w:t>
      </w:r>
      <w:r>
        <w:t xml:space="preserve">soluciones.html#data-analitica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observabilidad de aplicaciones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#data-analitica · 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de aplicaciones APM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AppDynamics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observabilidad full stack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rendimiento ERP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Monitor Application Insights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indicadores de disponibilidad Power BI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ThousandEyes Cloud Insights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#data-analitica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Splunk Observability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#data-analitica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5. Servicios Empresariales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a las empresas que buscan proteger y acelerar Dynamics 365 y Business Central.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Acceso seguro a Dynamics 365 y Business Central</w:t>
      </w:r>
      <w:r>
        <w:rPr>
          <w:b/>
          <w:bCs/>
        </w:rPr>
        <w:t xml:space="preserve">   ·   URL: </w:t>
      </w:r>
      <w:r>
        <w:t xml:space="preserve">soluciones.html#servicios-empresariales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acceso seguro Dynamics 365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#servicios-empresariales · 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monitoreo Dynamics 365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VPN para empresas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Dynamics 365 lento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acceso remoto Business Central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acceso de terceros a aplicaciones de negocio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CSC-09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sedes para ERP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#servicios-empresariales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6. Automatización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Ocupar el nicho de automatización de redes con Power Automate y APIs de Cisco.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Automatización de redes con Power Platform</w:t>
      </w:r>
      <w:r>
        <w:rPr>
          <w:b/>
          <w:bCs/>
        </w:rPr>
        <w:t xml:space="preserve">   ·   URL: </w:t>
      </w:r>
      <w:r>
        <w:t xml:space="preserve">soluciones.html#automatizacion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automatización de redes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#automatizacion · 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NetOps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Power Automate red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automatización de infraestructura TI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#automatizacion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API automatización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Catalyst Center API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Logic Apps red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NSO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CSC-13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7. Inteligencia Artificial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Posicionarnos temprano en seguridad para IA, un tema en crecimiento con poca competencia en español.</w:t>
      </w:r>
    </w:p>
    <w:p>
      <w:pPr>
        <w:spacing w:after="160"/>
      </w:pPr>
      <w:r>
        <w:rPr>
          <w:b/>
          <w:bCs/>
        </w:rPr>
        <w:t xml:space="preserve">H2 en el sitio: </w:t>
      </w:r>
      <w:r>
        <w:t xml:space="preserve">Infraestructura y seguridad para inteligencia artificial</w:t>
      </w:r>
      <w:r>
        <w:rPr>
          <w:b/>
          <w:bCs/>
        </w:rPr>
        <w:t xml:space="preserve">   ·   URL: </w:t>
      </w:r>
      <w:r>
        <w:t xml:space="preserve">soluciones.html#inteligencia-artificial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#inteligencia-artificial · 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infraestructura para IA empresarial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AI Defense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Azure OpenAI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de agentes Copilot Studio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para inteligencia artificial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Hypershield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prevención de inyección de instrucciones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CSC-14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AI Factory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#inteligencia-artificial</w:t>
            </w:r>
          </w:p>
        </w:tc>
      </w:tr>
    </w:tbl>
    <w:p>
      <w:pPr>
        <w:spacing w:after="240"/>
      </w:pPr>
    </w:p>
    <w:p>
      <w:pPr>
        <w:pStyle w:val="Heading1"/>
        <w:pageBreakBefore/>
      </w:pPr>
      <w:r>
        <w:t xml:space="preserve">Productos · Programa Renueva</w:t>
      </w:r>
    </w:p>
    <w:p>
      <w:pPr>
        <w:spacing w:after="120"/>
      </w:pPr>
      <w:r>
        <w:rPr>
          <w:b/>
          <w:bCs/>
        </w:rPr>
        <w:t xml:space="preserve">Objetivo: </w:t>
      </w:r>
      <w:r>
        <w:t xml:space="preserve">captar a las empresas que buscan renovar equipos Cisco sin soporte.</w:t>
      </w:r>
    </w:p>
    <w:p>
      <w:pPr>
        <w:spacing w:after="160"/>
      </w:pPr>
      <w:r>
        <w:rPr>
          <w:b/>
          <w:bCs/>
        </w:rPr>
        <w:t xml:space="preserve">H1 en el sitio: </w:t>
      </w:r>
      <w:r>
        <w:t xml:space="preserve">Programa Renueva: renovación de redes Cisco</w:t>
      </w:r>
      <w:r>
        <w:rPr>
          <w:b/>
          <w:bCs/>
        </w:rPr>
        <w:t xml:space="preserve">   ·   URL: </w:t>
      </w:r>
      <w:r>
        <w:t xml:space="preserve">productos.html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50"/>
        <w:gridCol w:w="1350"/>
        <w:gridCol w:w="9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 / sección destino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productos.html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fin de soporte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#por-que-renovar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 tecnológica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end of life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#rutas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Cisco ASA a Secure Firewall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switches Catalyst 9000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Cisco Capital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Refresh equipos certificados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3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CISA BOD 26-02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#por-que-renovar</w:t>
            </w:r>
          </w:p>
        </w:tc>
      </w:tr>
    </w:tbl>
    <w:p>
      <w:pPr>
        <w:pStyle w:val="Heading1"/>
        <w:pageBreakBefore/>
      </w:pPr>
      <w:r>
        <w:t xml:space="preserve">Lo que ya implementamos en el sitio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3360"/>
        <w:gridCol w:w="2100"/>
      </w:tblGrid>
      <w:tr>
        <w:trPr>
          <w:tblHeader/>
        </w:trP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 (etiqueta de título)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</w:t>
            </w:r>
          </w:p>
        </w:tc>
      </w:tr>
      <w:t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y Microsoft: redes, ciberseguridad e IA | Consein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Integramos redes Cisco con su plataforma Microsoft: SD-WAN para Azure, Zero Trust, Microsoft Teams Rooms, observabilidad e IA segura. Venezuela, Panamá, República Dominicana y EE. UU.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Sinergia exponencial: su plataforma Microsoft, potenciada por una red Cisco</w:t>
            </w:r>
          </w:p>
        </w:tc>
      </w:tr>
      <w:t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para Azure, Microsoft 365 y Teams | Consein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Azure, Zero Trust con Cisco ISE e Intune, Microsoft Teams Rooms, observabilidad de aplicaciones, automatización de redes y seguridad para IA. 15 soluciones Consein.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para su plataforma Microsoft</w:t>
            </w:r>
          </w:p>
        </w:tc>
      </w:tr>
      <w:tr>
        <w:tc>
          <w:tcPr>
            <w:tcW w:type="dxa" w:w="15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 obsoletos | Consein</w:t>
            </w:r>
          </w:p>
        </w:tc>
        <w:tc>
          <w:tcPr>
            <w:tcW w:type="dxa" w:w="3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Renovamos switches, WiFi, routers, firewalls, servidores UCS y salas Cisco en fin de soporte. Inventario de obsolescencia sin costo, migración por fases y financiamiento.</w:t>
            </w:r>
          </w:p>
        </w:tc>
        <w:tc>
          <w:tcPr>
            <w:tcW w:type="dxa" w:w="21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redes Cisco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H2 por especialidad con su palabra clave principal y un párrafo con los nombres de producto Cisco y Microsoft.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 estructurados schema.org: Organization, WebPage, BreadcrumbList, ItemList de Service (23 servicios) y FAQPage (7 preguntas, una por especialidad).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Etiquetas canonical, Open Graph y textos alternativos en el logotipo.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Contenido completo de cada oferta en el HTML (visible al abrir “Seguir leyendo…”), indexable por los buscadores.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Fuentes locales y sin dependencias externas para una carga rápida.</w:t>
      </w:r>
    </w:p>
    <w:p>
      <w:pPr>
        <w:pStyle w:val="Heading1"/>
        <w:spacing w:before="360"/>
      </w:pPr>
      <w:r>
        <w:t xml:space="preserve">Recomendaciones para llegar al top 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Páginas por especialidad:</w:t>
      </w:r>
      <w:r>
        <w:t xml:space="preserve"> publicar una URL propia por especialidad (por ejemplo, /cisco/infraestructura) con 600 a 900 palabras, usando la palabra clave principal en el title, el H1 y la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Clúster de contenidos:</w:t>
      </w:r>
      <w:r>
        <w:t xml:space="preserve"> un artículo pilar por especialidad y tres artículos satélite de long tail, enlazados entre sí y hacia la solución correspondiente.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Casos de éxito:</w:t>
      </w:r>
      <w:r>
        <w:t xml:space="preserve"> un caso de éxito por especialidad, con datos medidos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Autoridad local:</w:t>
      </w:r>
      <w:r>
        <w:t xml:space="preserve"> fichas de Google Business Profile por país y enlaces desde los directorios de partners de Cisco y Microsoft, asociaciones gremiales y medios de tecnología locales.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Hreflang:</w:t>
      </w:r>
      <w:r>
        <w:t xml:space="preserve"> si se crean versiones por país, declarar hreflang es-VE, es-PA, es-DO y es-US.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Medición:</w:t>
      </w:r>
      <w:r>
        <w:t xml:space="preserve"> revisar posiciones cada mes en Search Console y ajustar títulos y descripciones según la tasa de clics.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Palabras clave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Soluciones Cisco de Consein</dc:title>
  <dc:creator>Consein · DISD</dc:creator>
  <cp:lastModifiedBy>Un-named</cp:lastModifiedBy>
  <cp:revision>1</cp:revision>
  <dcterms:created xsi:type="dcterms:W3CDTF">2026-10-01T14:57:39.180Z</dcterms:created>
  <dcterms:modified xsi:type="dcterms:W3CDTF">2026-10-01T14:57:39.180Z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