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4A99B6C" ns2:textId="03C60816" ns0:rsidR="00CF0519" ns0:rsidRDefault="008B0541">
      <ns0:pPr>
        <ns0:rPr>
          <ns0:b/>
          <ns0:bCs/>
        </ns0:rPr>
      </ns0:pPr>
      <ns0:r>
        <ns0:t>ÍNDICE DE TABLAS Y FIGURAS</ns0:t>
      </ns0:r>
    </ns0:p>
    <ns0:p>
      <ns0:pPr>
        <ns0:pStyle ns0:val="Tabladeilustraciones"/>
      </ns0:pPr>
      <ns0:r>
        <ns0:t>Tabla 1 - Investigaciones relevantes sobre inteligencia artificial, analítica de datos y adopción tecnológica en la gestión empresarial</ns0:t>
        <ns0:tab/>
        <ns0:t>11</ns0:t>
      </ns0:r>
    </ns0:p>
    <ns0:p>
      <ns0:pPr>
        <ns0:pStyle ns0:val="Tabladeilustraciones"/>
      </ns0:pPr>
      <ns0:r>
        <ns0:t>Figura 33. Cobertura semanal de los registros de compras en la corrida real.</ns0:t>
        <ns0:tab/>
        <ns0:t>51</ns0:t>
      </ns0:r>
    </ns0:p>
    <ns0:p>
      <ns0:pPr>
        <ns0:pStyle ns0:val="Tabladeilustraciones"/>
      </ns0:pPr>
      <ns0:r>
        <ns0:t>Figura 34. Auditoría de registros de compra y decisiones de inclusión.</ns0:t>
        <ns0:tab/>
        <ns0:t>52</ns0:t>
      </ns0:r>
    </ns0:p>
    <ns0:p>
      <ns0:pPr>
        <ns0:pStyle ns0:val="Tabladeilustraciones"/>
      </ns0:pPr>
      <ns0:r>
        <ns0:t>Figura 35. Importes semanales de compras y periodos sin registro.</ns0:t>
        <ns0:tab/>
        <ns0:t>52</ns0:t>
      </ns0:r>
    </ns0:p>
    <ns0:p>
      <ns0:pPr>
        <ns0:pStyle ns0:val="Tabladeilustraciones"/>
      </ns0:pPr>
      <ns0:r>
        <ns0:t>Figura 36. Distribución del importe semanal y frecuencia de ceros.</ns0:t>
        <ns0:tab/>
        <ns0:t>53</ns0:t>
      </ns0:r>
    </ns0:p>
    <ns0:p>
      <ns0:pPr>
        <ns0:pStyle ns0:val="Tabladeilustraciones"/>
      </ns0:pPr>
      <ns0:r>
        <ns0:t>Figura 37. Ventas semanales registradas.</ns0:t>
        <ns0:tab/>
        <ns0:t>54</ns0:t>
      </ns0:r>
    </ns0:p>
    <ns0:p>
      <ns0:pPr>
        <ns0:pStyle ns0:val="Tabladeilustraciones"/>
      </ns0:pPr>
      <ns0:r>
        <ns0:t>Figura 38. Composición porcentual observada durante el periodo de desarrollo.</ns0:t>
        <ns0:tab/>
        <ns0:t>55</ns0:t>
      </ns0:r>
    </ns0:p>
    <ns0:p>
      <ns0:pPr>
        <ns0:pStyle ns0:val="Tabladeilustraciones"/>
      </ns0:pPr>
      <ns0:r>
        <ns0:t>Figura 39. Categorías principales consideradas para la asignación presupuestaria.</ns0:t>
        <ns0:tab/>
        <ns0:t>56</ns0:t>
      </ns0:r>
    </ns0:p>
    <ns0:p>
      <ns0:pPr>
        <ns0:pStyle ns0:val="Tabladeilustraciones"/>
      </ns0:pPr>
      <ns0:r>
        <ns0:t>Figura 40. Particiones temporales utilizadas para selección y evaluación.</ns0:t>
        <ns0:tab/>
        <ns0:t>57</ns0:t>
      </ns0:r>
    </ns0:p>
    <ns0:p>
      <ns0:pPr>
        <ns0:pStyle ns0:val="Tabladeilustraciones"/>
      </ns0:pPr>
      <ns0:r>
        <ns0:t>Figura 41. Desempeño de las configuraciones consideradas en la validación interna.</ns0:t>
        <ns0:tab/>
        <ns0:t>58</ns0:t>
      </ns0:r>
    </ns0:p>
    <ns0:p>
      <ns0:pPr>
        <ns0:pStyle ns0:val="Tabladeilustraciones"/>
      </ns0:pPr>
      <ns0:r>
        <ns0:t>Tabla 12. Etapas previas de trabajo y su uso en la corrida vigente.</ns0:t>
        <ns0:tab/>
        <ns0:t>58</ns0:t>
      </ns0:r>
    </ns0:p>
    <ns0:p>
      <ns0:pPr>
        <ns0:pStyle ns0:val="Tabladeilustraciones"/>
      </ns0:pPr>
      <ns0:r>
        <ns0:t>Tabla 13. Configuración seleccionada y error del híbrido en la evaluación final.</ns0:t>
        <ns0:tab/>
        <ns0:t>58</ns0:t>
      </ns0:r>
    </ns0:p>
    <ns0:p>
      <ns0:pPr>
        <ns0:pStyle ns0:val="Tabladeilustraciones"/>
      </ns0:pPr>
      <ns0:r>
        <ns0:t>Figura 42. Asignación agregada del presupuesto pronosticado a cuatro semanas.</ns0:t>
        <ns0:tab/>
        <ns0:t>60</ns0:t>
      </ns0:r>
    </ns0:p>
    <ns0:p>
      <ns0:pPr>
        <ns0:pStyle ns0:val="Tabladeilustraciones"/>
      </ns0:pPr>
      <ns0:r>
        <ns0:t>Tabla 14. Pronóstico agregado de cuatro semanas por categoría elegible.</ns0:t>
        <ns0:tab/>
        <ns0:t>60</ns0:t>
      </ns0:r>
    </ns0:p>
    <ns0:p>
      <ns0:pPr>
        <ns0:pStyle ns0:val="Tabladeilustraciones"/>
      </ns0:pPr>
      <ns0:r>
        <ns0:t>Figura 43. Resultado de los controles de calidad del pipeline.</ns0:t>
        <ns0:tab/>
        <ns0:t>61</ns0:t>
      </ns0:r>
    </ns0:p>
    <ns0:p>
      <ns0:pPr>
        <ns0:pStyle ns0:val="Tabladeilustraciones"/>
      </ns0:pPr>
      <ns0:r>
        <ns0:t>Figura 46. Errores monetarios por modelo y horizonte en la evaluación temporal.</ns0:t>
        <ns0:tab/>
        <ns0:t>64</ns0:t>
      </ns0:r>
    </ns0:p>
    <ns0:p>
      <ns0:pPr>
        <ns0:pStyle ns0:val="Tabladeilustraciones"/>
      </ns0:pPr>
      <ns0:r>
        <ns0:t>Figura 47. Error absoluto medio de participación por insumo, comparación de métodos y horizonte. Fuente: salida del pipeline, corrida run_20260924T195600Z_86a6f5.</ns0:t>
        <ns0:tab/>
        <ns0:t>65</ns0:t>
      </ns0:r>
    </ns0:p>
    <ns0:p>
      <ns0:pPr>
        <ns0:pStyle ns0:val="Tabladeilustraciones"/>
      </ns0:pPr>
      <ns0:r>
        <ns0:t>Figura 48. Composición observada y estimada en la evaluación temporal. Fuente: salida del pipeline, corrida run_20260924T195600Z_86a6f5.</ns0:t>
        <ns0:tab/>
        <ns0:t>66</ns0:t>
      </ns0:r>
    </ns0:p>
    <ns0:p>
      <ns0:pPr>
        <ns0:pStyle ns0:val="Tabladeilustraciones"/>
      </ns0:pPr>
      <ns0:r>
        <ns0:t>Figura 49. Diferencias de pérdidas pareadas para H1 en el horizonte principal. Fuente: salida del pipeline, corrida run_20260924T195600Z_86a6f5.</ns0:t>
        <ns0:tab/>
        <ns0:t>67</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 xml:space="preserve">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ns0:t>
      </ns0:r>
      <ns0:hyperlink ns0:anchor="_heading=h.rnuzw3thqt5a">
        <ns0:r ns0:rsidR="00CF0519">
          <ns0:rPr>
            <ns0:b/>
            <ns0:bCs/>
            <ns0:color ns0:val="000000"/>
          </ns0:rPr>
          <ns0:t>(Ab Karim et al., 2020)</ns0:t>
        </ns0:r>
      </ns0:hyperlink>
      <ns0:r>
        <ns0:rPr>
          <ns0:b/>
          <ns0:bCs/>
        </ns0:rPr>
        <ns0:t>.</ns0:t>
      </ns0:r>
      <ns0:r>
        <ns0:t xml:space="preserve"> Asimismo, la innovación en productos representa uno de los principales factores que contribuyen al desempeño y posicionamiento competitivo de las empresas del sector pastelero </ns0:t>
      </ns0:r>
      <ns0:hyperlink ns0:anchor="_heading=h.rnuzw3thqt5a">
        <ns0:r ns0:rsidR="00CF0519">
          <ns0:rPr>
            <ns0:b/>
            <ns0:bCs/>
            <ns0:color ns0:val="000000"/>
          </ns0:rPr>
          <ns0:t>(Ben Abdallah et al., 2022)</ns0:t>
        </ns0:r>
      </ns0:hyperlink>
      <ns0:hyperlink ns0:anchor="_heading=h.rnuzw3thqt5a">
        <ns0:r ns0:rsidR="00CF0519">
          <ns0:rPr>
            <ns0:color ns0:val="000000"/>
          </ns0:rPr>
          <ns0:t>.</ns0:t>
        </ns0:r>
      </ns0:hyperlink>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Aprodu et al.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hyperlink ns0:anchor="_heading=h.rnuzw3thqt5a">
        <ns0:r>
          <ns0:rPr>
            <ns0:b/>
            <ns0:bCs/>
            <ns0:color ns0:val="000000"/>
          </ns0:rPr>
          <ns0:t>Hübner et al. (2024)</ns0:t>
        </ns0:r>
      </ns0:hyperlink>
      <ns0:r>
        <ns0:t xml:space="preserve">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ns0:t>
      </ns0:r>
      <ns0:hyperlink ns0:anchor="_heading=h.rnuzw3thqt5a">
        <ns0:r>
          <ns0:rPr>
            <ns0:b/>
            <ns0:bCs/>
            <ns0:color ns0:val="000000"/>
          </ns0:rPr>
          <ns0:t>(Aprodu et al., 2025).</ns0:t>
        </ns0:r>
      </ns0:hyperlink>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pgNumType ns0:start="1"/>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bookmarkStart ns0:id="31" ns0:name="_Toc238284267"/>
      <ns0:r>
        <ns0:lastRenderedPageBreak/>
        <ns0:t xml:space="preserve">Tabla </ns0:t>
      </ns0:r>
      <ns0:bookmarkStart ns0:id="32" ns0:name="xref_tabla_01"/>
      <ns0:r ns0:rsidR="00D65BB6">
        <ns0:fldChar ns0:fldCharType="begin"/>
      </ns0:r>
      <ns0:r ns0:rsidR="00D65BB6">
        <ns0:instrText xml:space="preserve"> SEQ Tabla \* ARABIC </ns0:instrText>
      </ns0:r>
      <ns0:r ns0:rsidR="00D65BB6">
        <ns0:fldChar ns0:fldCharType="separate"/>
      </ns0:r>
      <ns0:r ns0:rsidR="008B0541">
        <ns0:rPr>
          <ns0:noProof/>
        </ns0:rPr>
        <ns0:t>1</ns0:t>
      </ns0:r>
      <ns0:r ns0:rsidR="00D65BB6">
        <ns0:rPr>
          <ns0:noProof/>
        </ns0:rPr>
        <ns0:fldChar ns0:fldCharType="end"/>
      </ns0:r>
      <ns0:bookmarkEnd ns0:id="32"/>
      <ns0:r>
        <ns0:rPr>
          <ns0:noProof/>
        </ns0:rPr>
        <ns0:t xml:space="preserve"> </ns0:t>
      </ns0:r>
      <ns0:r>
        <ns0:t>- Investigaciones relevantes sobre inteligencia artificial, analítica de datos y adopción tecnológica en la gestión empresarial</ns0:t>
      </ns0:r>
      <ns0:bookmarkEnd ns0:id="31"/>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Ab Karim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Aprodu et al.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pStyle ns0:val="Ttulo4"/>
      </ns0:pPr>
      <ns0: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pStyle ns0:val="Ttulo4"/>
      </ns0:pPr>
      <ns0: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pStyle ns0:val="Ttulo4"/>
        <ns0:numPr>
          <ns0:ilvl ns0:val="1"/>
          <ns0:numId ns0:val="57"/>
        </ns0:numPr>
      </ns0:pPr>
      <ns0: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pStyle ns0:val="Ttulo4"/>
        <ns0:numPr>
          <ns0:ilvl ns0:val="1"/>
          <ns0:numId ns0:val="57"/>
        </ns0:numPr>
      </ns0:pPr>
      <ns0: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pStyle ns0:val="Ttulo4"/>
        <ns0:numPr>
          <ns0:ilvl ns0:val="1"/>
          <ns0:numId ns0:val="57"/>
        </ns0:numPr>
      </ns0:pPr>
      <ns0: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pStyle ns0:val="Ttulo4"/>
        <ns0:numPr>
          <ns0:ilvl ns0:val="1"/>
          <ns0:numId ns0:val="57"/>
        </ns0:numPr>
      </ns0:pPr>
      <ns0: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pStyle ns0:val="Ttulo4"/>
        <ns0:numPr>
          <ns0:ilvl ns0:val="1"/>
          <ns0:numId ns0:val="57"/>
        </ns0:numPr>
      </ns0:pPr>
      <ns0: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33.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lastRenderedPageBreak/>
        <ns0:t>Figura 34.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35.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36.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lastRenderedPageBreak/>
        <ns0:t>Figura 37.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38.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lastRenderedPageBreak/>
        <ns0:t>Figura 39.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40.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lastRenderedPageBreak/>
        <ns0:t>Figura 41.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13 y se analiza en Resultados.</ns0:t>
      </ns0:r>
    </ns0:p>
    <ns0:p ns2:paraId="3B199012" ns2:textId="77777777" ns0:rsidR="00FC0FE2" ns0:rsidRDefault="007D1E2B">
      <ns0:pPr>
        <ns0:pStyle ns0:val="Descripcin"/>
        <ns0:keepNext/>
      </ns0:pPr>
      <ns0:r>
        <ns0:t>Tabla 12.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13.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lastRenderedPageBreak/>
        <ns0:t>Figura 42.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14.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lastRenderedPageBreak/>
        <ns0:t xml:space="preserve">Figura 43.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46.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47.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48.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lastRenderedPageBreak/>
        <ns0:t>La Figura 49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49.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6007CA2F" ns2:textId="77777777" ns0:rsidR="00CF0519" ns0:rsidRPr="00005ADA" ns0:rsidRDefault="00691DC4" ns0:rsidP="00005ADA">
      <ns0:pPr>
        <ns0:spacing ns0:before="0"/>
        <ns0:ind ns0:left="851" ns0:hanging="851"/>
        <ns0:rPr>
          <ns0:color ns0:val="FFFFFF"/>
          <ns0:lang ns0:val="en-US"/>
        </ns0:rPr>
      </ns0:pPr>
      <ns0:r>
        <ns0:t>Ab Karim, M. S., Ab Rahman, S., Chua, B. L., et al. (2020). The creative minds of extraordinary pastry chefs: an integrated theory of aesthetic expressions – a portraiture study. International Journal of Contemporary Hospitality Management, 32(9), 3015–3034. https://doi.org/10.1108/IJCHM-04-2020-0329</ns0:t>
      </ns0:r>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3289FA6E" ns2:textId="77777777" ns0:rsidR="00CF0519" ns0:rsidRDefault="00691DC4" ns0:rsidP="00005ADA">
      <ns0:pPr>
        <ns0:spacing ns0:before="0"/>
        <ns0:ind ns0:left="851" ns0:hanging="851"/>
      </ns0:pPr>
      <ns0:r>
        <ns0:t>Aprodu, I., Banu, I., Vasilean, I., et al. (2025). The Digital Revolution in the Bakery Sector: A Systematic Review of Industry 4.0 Technologies. Foods, 14(2).</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Boujelbene, Y. (2022). The main determinants and effects of product innovation: An exploratory study on the pastry companies of the region of Sfax (in Tunisia). Technological Forecasting and Social Change, 185, 122065. DOI: 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pStyle ns0:val="Ttulo4"/>
        <ns0:numPr>
          <ns0:ilvl ns0:val="3"/>
          <ns0:numId ns0:val="19"/>
        </ns0:numPr>
      </ns0:pPr>
      <ns0: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ns0:t>
      </ns0:r>
    </ns0:p>
    <ns0:p ns2:paraId="36F4E75D" ns2:textId="77777777" ns0:rsidR="008A3654" ns0:rsidRDefault="007D1E2B">
      <ns0:pPr>
        <ns0:pStyle ns0:val="Ttulo4"/>
        <ns0:numPr>
          <ns0:ilvl ns0:val="3"/>
          <ns0:numId ns0:val="19"/>
        </ns0:numPr>
      </ns0:pPr>
      <ns0: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pStyle ns0:val="Ttulo4"/>
        <ns0:numPr>
          <ns0:ilvl ns0:val="3"/>
          <ns0:numId ns0:val="19"/>
        </ns0:numPr>
      </ns0:pPr>
      <ns0: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pStyle ns0:val="Ttulo4"/>
        <ns0:numPr>
          <ns0:ilvl ns0:val="3"/>
          <ns0:numId ns0:val="19"/>
        </ns0:numPr>
      </ns0:pPr>
      <ns0:r>
        <ns0:t xml:space="preserve">Variables analíticas y controles del </ns0:t>
      </ns0:r>
      <ns0:r ns0:rsidR="00006179" ns0:rsidRPr="00006179">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