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19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55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58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0:pPr>
        <ns0:pStyle ns0:val="TDC2"/>
      </ns0:pPr>
      <ns0:r>
        <ns0:t>Análisis de sensibilidad de la imputación</ns0:t>
        <ns0:tab/>
        <ns0:t>72</ns0:t>
      </ns0:r>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78</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81</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96</ns0:t>
        </ns0:r>
        <ns0:r>
          <ns0:rPr>
            <ns0:noProof/>
            <ns0:webHidden/>
          </ns0:rPr>
          <ns0:fldChar ns0:fldCharType="end"/>
        </ns0:r>
      </ns0:hyperlink>
    </ns0:p>
    <ns0:p>
      <ns0:pPr>
        <ns0:pStyle ns0:val="TDC1"/>
      </ns0:pPr>
      <ns0:r>
        <ns0:t>Anexo B Paquete de reproducibilidad</ns0:t>
        <ns0:tab/>
        <ns0:t>103</ns0:t>
      </ns0:r>
    </ns0:p>
    <ns0:p ns2:paraId="24A99B6C" ns2:textId="03C60816" ns0:rsidR="00CF0519" ns0:rsidRDefault="008B0541">
      <ns0:pPr>
        <ns0:rPr>
          <ns0:b/>
          <ns0:bCs/>
        </ns0:rPr>
      </ns0:pPr>
      <ns0:r>
        <ns0:t>ÍNDICE DE TABLAS Y FIGURAS</ns0:t>
      </ns0:r>
    </ns0:p>
    <ns0:p>
      <ns0:pPr>
        <ns0:pStyle ns0:val="Tabladeilustraciones"/>
      </ns0:pPr>
      <ns0:r>
        <ns0:t>Tabla 1. Investigaciones relevantes sobre inteligencia artificial, analítica de datos y adopción tecnológica en la gestión empresarial</ns0:t>
        <ns0:tab/>
        <ns0:t>21</ns0:t>
      </ns0:r>
    </ns0:p>
    <ns0:p>
      <ns0:pPr>
        <ns0:pStyle ns0:val="Tabladeilustraciones"/>
      </ns0:pPr>
      <ns0:r>
        <ns0:t>Figura 1. Cobertura semanal de los registros de compras en la corrida real.</ns0:t>
        <ns0:tab/>
        <ns0:t>61</ns0:t>
      </ns0:r>
    </ns0:p>
    <ns0:p>
      <ns0:pPr>
        <ns0:pStyle ns0:val="Tabladeilustraciones"/>
      </ns0:pPr>
      <ns0:r>
        <ns0:t>Figura 2. Auditoría de registros de compra y decisiones de inclusión.</ns0:t>
        <ns0:tab/>
        <ns0:t>62</ns0:t>
      </ns0:r>
    </ns0:p>
    <ns0:p>
      <ns0:pPr>
        <ns0:pStyle ns0:val="Tabladeilustraciones"/>
      </ns0:pPr>
      <ns0:r>
        <ns0:t>Figura 3. Importes semanales de compras y periodos sin registro.</ns0:t>
        <ns0:tab/>
        <ns0:t>62</ns0:t>
      </ns0:r>
    </ns0:p>
    <ns0:p>
      <ns0:pPr>
        <ns0:pStyle ns0:val="Tabladeilustraciones"/>
      </ns0:pPr>
      <ns0:r>
        <ns0:t>Figura 4. Distribución del importe semanal y frecuencia de ceros.</ns0:t>
        <ns0:tab/>
        <ns0:t>63</ns0:t>
      </ns0:r>
    </ns0:p>
    <ns0:p>
      <ns0:pPr>
        <ns0:pStyle ns0:val="Tabladeilustraciones"/>
      </ns0:pPr>
      <ns0:r>
        <ns0:t>Figura 5. Ventas semanales registradas.</ns0:t>
        <ns0:tab/>
        <ns0:t>64</ns0:t>
      </ns0:r>
    </ns0:p>
    <ns0:p>
      <ns0:pPr>
        <ns0:pStyle ns0:val="Tabladeilustraciones"/>
      </ns0:pPr>
      <ns0:r>
        <ns0:t>Figura 6. Composición porcentual observada durante el periodo de desarrollo.</ns0:t>
        <ns0:tab/>
        <ns0:t>65</ns0:t>
      </ns0:r>
    </ns0:p>
    <ns0:p>
      <ns0:pPr>
        <ns0:pStyle ns0:val="Tabladeilustraciones"/>
      </ns0:pPr>
      <ns0:r>
        <ns0:t>Figura 7. Categorías principales consideradas para la asignación presupuestaria.</ns0:t>
        <ns0:tab/>
        <ns0:t>66</ns0:t>
      </ns0:r>
    </ns0:p>
    <ns0:p>
      <ns0:pPr>
        <ns0:pStyle ns0:val="Tabladeilustraciones"/>
      </ns0:pPr>
      <ns0:r>
        <ns0:t>Figura 8. Particiones temporales utilizadas para selección y evaluación.</ns0:t>
        <ns0:tab/>
        <ns0:t>67</ns0:t>
      </ns0:r>
    </ns0:p>
    <ns0:p>
      <ns0:pPr>
        <ns0:pStyle ns0:val="Tabladeilustraciones"/>
      </ns0:pPr>
      <ns0:r>
        <ns0:t>Figura 9. Desempeño de las configuraciones consideradas en la validación interna.</ns0:t>
        <ns0:tab/>
        <ns0:t>68</ns0:t>
      </ns0:r>
    </ns0:p>
    <ns0:p>
      <ns0:pPr>
        <ns0:pStyle ns0:val="Tabladeilustraciones"/>
      </ns0:pPr>
      <ns0:r>
        <ns0:t>Tabla 2. Etapas previas de trabajo y su uso en la corrida vigente.</ns0:t>
        <ns0:tab/>
        <ns0:t>68</ns0:t>
      </ns0:r>
    </ns0:p>
    <ns0:p>
      <ns0:pPr>
        <ns0:pStyle ns0:val="Tabladeilustraciones"/>
      </ns0:pPr>
      <ns0:r>
        <ns0:t>Tabla 3. Configuración seleccionada y error del híbrido en la evaluación final.</ns0:t>
        <ns0:tab/>
        <ns0:t>68</ns0:t>
      </ns0:r>
    </ns0:p>
    <ns0:p>
      <ns0:pPr>
        <ns0:pStyle ns0:val="Tabladeilustraciones"/>
      </ns0:pPr>
      <ns0:r>
        <ns0:t>Figura 10. Asignación agregada del presupuesto pronosticado a cuatro semanas.</ns0:t>
        <ns0:tab/>
        <ns0:t>70</ns0:t>
      </ns0:r>
    </ns0:p>
    <ns0:p>
      <ns0:pPr>
        <ns0:pStyle ns0:val="Tabladeilustraciones"/>
      </ns0:pPr>
      <ns0:r>
        <ns0:t>Tabla 4. Pronóstico agregado de cuatro semanas por categoría elegible.</ns0:t>
        <ns0:tab/>
        <ns0:t>70</ns0:t>
      </ns0:r>
    </ns0:p>
    <ns0:p>
      <ns0:pPr>
        <ns0:pStyle ns0:val="Tabladeilustraciones"/>
      </ns0:pPr>
      <ns0:r>
        <ns0:t>Figura 11. Resultado de los controles de calidad del pipeline.</ns0:t>
        <ns0:tab/>
        <ns0:t>71</ns0:t>
      </ns0:r>
    </ns0:p>
    <ns0:p>
      <ns0:pPr>
        <ns0:pStyle ns0:val="Tabladeilustraciones"/>
      </ns0:pPr>
      <ns0:r>
        <ns0:t>Tabla 5. Sensibilidad de las métricas monetarias a la configuración de imputación.</ns0:t>
        <ns0:tab/>
        <ns0:t>73</ns0:t>
      </ns0:r>
    </ns0:p>
    <ns0:p>
      <ns0:pPr>
        <ns0:pStyle ns0:val="Tabladeilustraciones"/>
      </ns0:pPr>
      <ns0:r>
        <ns0:t>Figura 12. Errores monetarios por modelo y horizonte en la evaluación temporal.</ns0:t>
        <ns0:tab/>
        <ns0:t>74</ns0:t>
      </ns0:r>
    </ns0:p>
    <ns0:p>
      <ns0:pPr>
        <ns0:pStyle ns0:val="Tabladeilustraciones"/>
      </ns0:pPr>
      <ns0:r>
        <ns0:t>Figura 13. Error absoluto medio de participación por insumo, comparación de métodos y horizonte. Fuente: salida del pipeline, corrida run_20260924T195600Z_86a6f5.</ns0:t>
        <ns0:tab/>
        <ns0:t>76</ns0:t>
      </ns0:r>
    </ns0:p>
    <ns0:p>
      <ns0:pPr>
        <ns0:pStyle ns0:val="Tabladeilustraciones"/>
      </ns0:pPr>
      <ns0:r>
        <ns0:t>Figura 14. Composición observada y estimada en la evaluación temporal. Fuente: salida del pipeline, corrida run_20260924T195600Z_86a6f5.</ns0:t>
        <ns0:tab/>
        <ns0:t>77</ns0:t>
      </ns0:r>
    </ns0:p>
    <ns0:p>
      <ns0:pPr>
        <ns0:pStyle ns0:val="Tabladeilustraciones"/>
      </ns0:pPr>
      <ns0:r>
        <ns0:t>Figura 15. Diferencias de pérdidas pareadas para H1 en el horizonte principal. Fuente: salida del pipeline, corrida run_20260924T195600Z_86a6f5.</ns0:t>
        <ns0:tab/>
        <ns0:t>78</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p>
      <ns0:pPr>
        <ns0:pStyle ns0:val="Ttulo1"/>
        <ns0:pageBreakBefore/>
      </ns0:pPr>
      <ns0:r>
        <ns0:t>Anexo B Paquete de reproducibilidad</ns0:t>
      </ns0:r>
    </ns0:p>
    <ns0:p>
      <ns0:r>
        <ns0: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ns0:t>
      </ns0:r>
    </ns0:p>
    <ns0:tbl>
      <ns0:tblPr>
        <ns0:tblStyle ns0:val="Tablaconcuadrcula"/>
        <ns0:tblW ns0:type="auto" ns0:w="0"/>
        <ns0:jc ns0:val="center"/>
        <ns0:tblLook ns0:firstColumn="1" ns0:firstRow="1" ns0:lastColumn="0" ns0:lastRow="0" ns0:noHBand="0" ns0:noVBand="1" ns0:val="04A0"/>
      </ns0:tblPr>
      <ns0:tblGrid>
        <ns0:gridCol ns0:w="3324"/>
        <ns0:gridCol ns0:w="3324"/>
        <ns0:gridCol ns0:w="3324"/>
      </ns0:tblGrid>
      <ns0:tr>
        <ns0:tc>
          <ns0:tcPr>
            <ns0:tcW ns0:type="dxa" ns0:w="1944"/>
            <ns0:vAlign ns0:val="center"/>
            <ns0:shd ns0:fill="D9EAF7"/>
          </ns0:tcPr>
          <ns0:p>
            <ns0:pPr>
              <ns0:spacing ns0:before="0" ns0:after="0"/>
              <ns0:jc ns0:val="center"/>
            </ns0:pPr>
            <ns0:r>
              <ns0:rPr>
                <ns0:rFonts ns0:ascii="Arial" ns0:hAnsi="Arial"/>
                <ns0:b/>
                <ns0:sz ns0:val="17"/>
              </ns0:rPr>
              <ns0:t>Componente</ns0:t>
            </ns0:r>
          </ns0:p>
        </ns0:tc>
        <ns0:tc>
          <ns0:tcPr>
            <ns0:tcW ns0:type="dxa" ns0:w="5112"/>
            <ns0:vAlign ns0:val="center"/>
            <ns0:shd ns0:fill="D9EAF7"/>
          </ns0:tcPr>
          <ns0:p>
            <ns0:pPr>
              <ns0:spacing ns0:before="0" ns0:after="0"/>
              <ns0:jc ns0:val="center"/>
            </ns0:pPr>
            <ns0:r>
              <ns0:rPr>
                <ns0:rFonts ns0:ascii="Arial" ns0:hAnsi="Arial"/>
                <ns0:b/>
                <ns0:sz ns0:val="17"/>
              </ns0:rPr>
              <ns0:t>Ruta relativa</ns0:t>
            </ns0:r>
          </ns0:p>
        </ns0:tc>
        <ns0:tc>
          <ns0:tcPr>
            <ns0:tcW ns0:type="dxa" ns0:w="2520"/>
            <ns0:vAlign ns0:val="center"/>
            <ns0:shd ns0:fill="D9EAF7"/>
          </ns0:tcPr>
          <ns0:p>
            <ns0:pPr>
              <ns0:spacing ns0:before="0" ns0:after="0"/>
              <ns0:jc ns0:val="center"/>
            </ns0:pPr>
            <ns0:r>
              <ns0:rPr>
                <ns0:rFonts ns0:ascii="Arial" ns0:hAnsi="Arial"/>
                <ns0:b/>
                <ns0:sz ns0:val="17"/>
              </ns0:rPr>
              <ns0:t>Función</ns0:t>
            </ns0:r>
          </ns0:p>
        </ns0:tc>
      </ns0:tr>
      <ns0:tr>
        <ns0:tc>
          <ns0:tcPr>
            <ns0:tcW ns0:type="dxa" ns0:w="1944"/>
            <ns0:vAlign ns0:val="center"/>
          </ns0:tcPr>
          <ns0:p>
            <ns0:pPr>
              <ns0:spacing ns0:before="0" ns0:after="0"/>
              <ns0:jc ns0:val="left"/>
            </ns0:pPr>
            <ns0:r>
              <ns0:rPr>
                <ns0:rFonts ns0:ascii="Arial" ns0:hAnsi="Arial"/>
                <ns0:sz ns0:val="17"/>
              </ns0:rPr>
              <ns0:t>Entrada del pipeline</ns0:t>
            </ns0:r>
          </ns0:p>
        </ns0:tc>
        <ns0:tc>
          <ns0:tcPr>
            <ns0:tcW ns0:type="dxa" ns0:w="5112"/>
            <ns0:vAlign ns0:val="center"/>
          </ns0:tcPr>
          <ns0:p>
            <ns0:pPr>
              <ns0:spacing ns0:before="0" ns0:after="0"/>
              <ns0:jc ns0:val="center"/>
            </ns0:pPr>
            <ns0:r>
              <ns0:rPr>
                <ns0:rFonts ns0:ascii="Arial" ns0:hAnsi="Arial"/>
                <ns0:sz ns0:val="17"/>
              </ns0:rPr>
              <ns0:t>codigos/00_pipeline_hibrido.py</ns0:t>
            </ns0:r>
          </ns0:p>
        </ns0:tc>
        <ns0:tc>
          <ns0:tcPr>
            <ns0:tcW ns0:type="dxa" ns0:w="2520"/>
            <ns0:vAlign ns0:val="center"/>
          </ns0:tcPr>
          <ns0:p>
            <ns0:pPr>
              <ns0:spacing ns0:before="0" ns0:after="0"/>
              <ns0:jc ns0:val="center"/>
            </ns0:pPr>
            <ns0:r>
              <ns0:rPr>
                <ns0:rFonts ns0:ascii="Arial" ns0:hAnsi="Arial"/>
                <ns0:sz ns0:val="17"/>
              </ns0:rPr>
              <ns0:t>Punto de ejecución reproducible</ns0:t>
            </ns0:r>
          </ns0:p>
        </ns0:tc>
      </ns0:tr>
      <ns0:tr>
        <ns0:tc>
          <ns0:tcPr>
            <ns0:tcW ns0:type="dxa" ns0:w="1944"/>
            <ns0:vAlign ns0:val="center"/>
          </ns0:tcPr>
          <ns0:p>
            <ns0:pPr>
              <ns0:spacing ns0:before="0" ns0:after="0"/>
              <ns0:jc ns0:val="left"/>
            </ns0:pPr>
            <ns0:r>
              <ns0:rPr>
                <ns0:rFonts ns0:ascii="Arial" ns0:hAnsi="Arial"/>
                <ns0:sz ns0:val="17"/>
              </ns0:rPr>
              <ns0:t>Dependencias</ns0:t>
            </ns0:r>
          </ns0:p>
        </ns0:tc>
        <ns0:tc>
          <ns0:tcPr>
            <ns0:tcW ns0:type="dxa" ns0:w="5112"/>
            <ns0:vAlign ns0:val="center"/>
          </ns0:tcPr>
          <ns0:p>
            <ns0:pPr>
              <ns0:spacing ns0:before="0" ns0:after="0"/>
              <ns0:jc ns0:val="center"/>
            </ns0:pPr>
            <ns0:r>
              <ns0:rPr>
                <ns0:rFonts ns0:ascii="Arial" ns0:hAnsi="Arial"/>
                <ns0:sz ns0:val="17"/>
              </ns0:rPr>
              <ns0:t>codigos/requirements_hibrido.txt</ns0:t>
            </ns0:r>
          </ns0:p>
        </ns0:tc>
        <ns0:tc>
          <ns0:tcPr>
            <ns0:tcW ns0:type="dxa" ns0:w="2520"/>
            <ns0:vAlign ns0:val="center"/>
          </ns0:tcPr>
          <ns0:p>
            <ns0:pPr>
              <ns0:spacing ns0:before="0" ns0:after="0"/>
              <ns0:jc ns0:val="center"/>
            </ns0:pPr>
            <ns0:r>
              <ns0:rPr>
                <ns0:rFonts ns0:ascii="Arial" ns0:hAnsi="Arial"/>
                <ns0:sz ns0:val="17"/>
              </ns0:rPr>
              <ns0:t>Versiones requeridas</ns0:t>
            </ns0:r>
          </ns0:p>
        </ns0:tc>
      </ns0:tr>
      <ns0:tr>
        <ns0:tc>
          <ns0:tcPr>
            <ns0:tcW ns0:type="dxa" ns0:w="1944"/>
            <ns0:vAlign ns0:val="center"/>
          </ns0:tcPr>
          <ns0:p>
            <ns0:pPr>
              <ns0:spacing ns0:before="0" ns0:after="0"/>
              <ns0:jc ns0:val="left"/>
            </ns0:pPr>
            <ns0:r>
              <ns0:rPr>
                <ns0:rFonts ns0:ascii="Arial" ns0:hAnsi="Arial"/>
                <ns0:sz ns0:val="17"/>
              </ns0:rPr>
              <ns0:t>Configuración principal</ns0:t>
            </ns0:r>
          </ns0:p>
        </ns0:tc>
        <ns0:tc>
          <ns0:tcPr>
            <ns0:tcW ns0:type="dxa" ns0:w="5112"/>
            <ns0:vAlign ns0:val="center"/>
          </ns0:tcPr>
          <ns0:p>
            <ns0:pPr>
              <ns0:spacing ns0:before="0" ns0:after="0"/>
              <ns0:jc ns0:val="center"/>
            </ns0:pPr>
            <ns0:r>
              <ns0:rPr>
                <ns0:rFonts ns0:ascii="Arial" ns0:hAnsi="Arial"/>
                <ns0:sz ns0:val="17"/>
              </ns0:rPr>
              <ns0:t>codigos/02_config_hibrido.json</ns0:t>
            </ns0:r>
          </ns0:p>
        </ns0:tc>
        <ns0:tc>
          <ns0:tcPr>
            <ns0:tcW ns0:type="dxa" ns0:w="2520"/>
            <ns0:vAlign ns0:val="center"/>
          </ns0:tcPr>
          <ns0:p>
            <ns0:pPr>
              <ns0:spacing ns0:before="0" ns0:after="0"/>
              <ns0:jc ns0:val="center"/>
            </ns0:pPr>
            <ns0:r>
              <ns0:rPr>
                <ns0:rFonts ns0:ascii="Arial" ns0:hAnsi="Arial"/>
                <ns0:sz ns0:val="17"/>
              </ns0:rPr>
              <ns0:t>Parámetros de la corrida evaluada</ns0:t>
            </ns0:r>
          </ns0:p>
        </ns0:tc>
      </ns0:tr>
      <ns0:tr>
        <ns0:tc>
          <ns0:tcPr>
            <ns0:tcW ns0:type="dxa" ns0:w="1944"/>
            <ns0:vAlign ns0:val="center"/>
          </ns0:tcPr>
          <ns0:p>
            <ns0:pPr>
              <ns0:spacing ns0:before="0" ns0:after="0"/>
              <ns0:jc ns0:val="left"/>
            </ns0:pPr>
            <ns0:r>
              <ns0:rPr>
                <ns0:rFonts ns0:ascii="Arial" ns0:hAnsi="Arial"/>
                <ns0:sz ns0:val="17"/>
              </ns0:rPr>
              <ns0:t>Configuración de sensibilidad</ns0:t>
            </ns0:r>
          </ns0:p>
        </ns0:tc>
        <ns0:tc>
          <ns0:tcPr>
            <ns0:tcW ns0:type="dxa" ns0:w="5112"/>
            <ns0:vAlign ns0:val="center"/>
          </ns0:tcPr>
          <ns0:p>
            <ns0:pPr>
              <ns0:spacing ns0:before="0" ns0:after="0"/>
              <ns0:jc ns0:val="center"/>
            </ns0:pPr>
            <ns0:r>
              <ns0:rPr>
                <ns0:rFonts ns0:ascii="Arial" ns0:hAnsi="Arial"/>
                <ns0:sz ns0:val="17"/>
              </ns0:rPr>
              <ns0:t>codigos/02_config_hibrido_sensibilidad_sin_imputacion_rev59.json</ns0:t>
            </ns0:r>
          </ns0:p>
        </ns0:tc>
        <ns0:tc>
          <ns0:tcPr>
            <ns0:tcW ns0:type="dxa" ns0:w="2520"/>
            <ns0:vAlign ns0:val="center"/>
          </ns0:tcPr>
          <ns0:p>
            <ns0:pPr>
              <ns0:spacing ns0:before="0" ns0:after="0"/>
              <ns0:jc ns0:val="center"/>
            </ns0:pPr>
            <ns0:r>
              <ns0:rPr>
                <ns0:rFonts ns0:ascii="Arial" ns0:hAnsi="Arial"/>
                <ns0:sz ns0:val="17"/>
              </ns0:rPr>
              <ns0:t>Mismos parámetros, sin imputación</ns0:t>
            </ns0:r>
          </ns0:p>
        </ns0:tc>
      </ns0:tr>
      <ns0:tr>
        <ns0:tc>
          <ns0:tcPr>
            <ns0:tcW ns0:type="dxa" ns0:w="1944"/>
            <ns0:vAlign ns0:val="center"/>
          </ns0:tcPr>
          <ns0:p>
            <ns0:pPr>
              <ns0:spacing ns0:before="0" ns0:after="0"/>
              <ns0:jc ns0:val="left"/>
            </ns0:pPr>
            <ns0:r>
              <ns0:rPr>
                <ns0:rFonts ns0:ascii="Arial" ns0:hAnsi="Arial"/>
                <ns0:sz ns0:val="17"/>
              </ns0:rPr>
              <ns0:t>Manifiesto principal</ns0:t>
            </ns0:r>
          </ns0:p>
        </ns0:tc>
        <ns0:tc>
          <ns0:tcPr>
            <ns0:tcW ns0:type="dxa" ns0:w="5112"/>
            <ns0:vAlign ns0:val="center"/>
          </ns0:tcPr>
          <ns0:p>
            <ns0:pPr>
              <ns0:spacing ns0:before="0" ns0:after="0"/>
              <ns0:jc ns0:val="center"/>
            </ns0:pPr>
            <ns0:r>
              <ns0:rPr>
                <ns0:rFonts ns0:ascii="Arial" ns0:hAnsi="Arial"/>
                <ns0:sz ns0:val="17"/>
              </ns0:rPr>
              <ns0:t>output/run_20260924T195600Z_86a6f5/manifiesto.json</ns0:t>
            </ns0:r>
          </ns0:p>
        </ns0:tc>
        <ns0:tc>
          <ns0:tcPr>
            <ns0:tcW ns0:type="dxa" ns0:w="2520"/>
            <ns0:vAlign ns0:val="center"/>
          </ns0:tcPr>
          <ns0:p>
            <ns0:pPr>
              <ns0:spacing ns0:before="0" ns0:after="0"/>
              <ns0:jc ns0:val="center"/>
            </ns0:pPr>
            <ns0:r>
              <ns0:rPr>
                <ns0:rFonts ns0:ascii="Arial" ns0:hAnsi="Arial"/>
                <ns0:sz ns0:val="17"/>
              </ns0:rPr>
              <ns0:t>Huellas, entorno y parámetros</ns0:t>
            </ns0:r>
          </ns0:p>
        </ns0:tc>
      </ns0:tr>
      <ns0:tr>
        <ns0:tc>
          <ns0:tcPr>
            <ns0:tcW ns0:type="dxa" ns0:w="1944"/>
            <ns0:vAlign ns0:val="center"/>
          </ns0:tcPr>
          <ns0:p>
            <ns0:pPr>
              <ns0:spacing ns0:before="0" ns0:after="0"/>
              <ns0:jc ns0:val="left"/>
            </ns0:pPr>
            <ns0:r>
              <ns0:rPr>
                <ns0:rFonts ns0:ascii="Arial" ns0:hAnsi="Arial"/>
                <ns0:sz ns0:val="17"/>
              </ns0:rPr>
              <ns0:t>Manifiesto de sensibilidad</ns0:t>
            </ns0:r>
          </ns0:p>
        </ns0:tc>
        <ns0:tc>
          <ns0:tcPr>
            <ns0:tcW ns0:type="dxa" ns0:w="5112"/>
            <ns0:vAlign ns0:val="center"/>
          </ns0:tcPr>
          <ns0:p>
            <ns0:pPr>
              <ns0:spacing ns0:before="0" ns0:after="0"/>
              <ns0:jc ns0:val="center"/>
            </ns0:pPr>
            <ns0:r>
              <ns0:rPr>
                <ns0:rFonts ns0:ascii="Arial" ns0:hAnsi="Arial"/>
                <ns0:sz ns0:val="17"/>
              </ns0:rPr>
              <ns0:t>output/run_20260928T014913Z_38994f/manifiesto.json</ns0:t>
            </ns0:r>
          </ns0:p>
        </ns0:tc>
        <ns0:tc>
          <ns0:tcPr>
            <ns0:tcW ns0:type="dxa" ns0:w="2520"/>
            <ns0:vAlign ns0:val="center"/>
          </ns0:tcPr>
          <ns0:p>
            <ns0:pPr>
              <ns0:spacing ns0:before="0" ns0:after="0"/>
              <ns0:jc ns0:val="center"/>
            </ns0:pPr>
            <ns0:r>
              <ns0:rPr>
                <ns0:rFonts ns0:ascii="Arial" ns0:hAnsi="Arial"/>
                <ns0:sz ns0:val="17"/>
              </ns0:rPr>
              <ns0:t>Trazabilidad de la repetición</ns0:t>
            </ns0:r>
          </ns0:p>
        </ns0:tc>
      </ns0:tr>
      <ns0:tr>
        <ns0:tc>
          <ns0:tcPr>
            <ns0:tcW ns0:type="dxa" ns0:w="1944"/>
            <ns0:vAlign ns0:val="center"/>
          </ns0:tcPr>
          <ns0:p>
            <ns0:pPr>
              <ns0:spacing ns0:before="0" ns0:after="0"/>
              <ns0:jc ns0:val="left"/>
            </ns0:pPr>
            <ns0:r>
              <ns0:rPr>
                <ns0:rFonts ns0:ascii="Arial" ns0:hAnsi="Arial"/>
                <ns0:sz ns0:val="17"/>
              </ns0:rPr>
              <ns0:t>Métricas y selección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output/run_20260924T195600Z_86a6f5/metricas.csv; seleccion_interna.csv</ns0:t>
            </ns0:r>
          </ns0:p>
        </ns0:tc>
        <ns0:tc>
          <ns0:tcPr>
            <ns0:tcW ns0:type="dxa" ns0:w="2520"/>
            <ns0:vAlign ns0:val="center"/>
          </ns0:tcPr>
          <ns0:p>
            <ns0:pPr>
              <ns0:spacing ns0:before="0" ns0:after="0"/>
              <ns0:jc ns0:val="center"/>
            </ns0:pPr>
            <ns0:r>
              <ns0:rPr>
                <ns0:rFonts ns0:ascii="Arial" ns0:hAnsi="Arial"/>
                <ns0:sz ns0:val="17"/>
              </ns0:rPr>
              <ns0:t>Resultados monetarios y elección interna</ns0:t>
            </ns0:r>
          </ns0:p>
        </ns0:tc>
      </ns0:tr>
      <ns0:tr>
        <ns0:tc>
          <ns0:tcPr>
            <ns0:tcW ns0:type="dxa" ns0:w="1944"/>
            <ns0:vAlign ns0:val="center"/>
          </ns0:tcPr>
          <ns0:p>
            <ns0:pPr>
              <ns0:spacing ns0:before="0" ns0:after="0"/>
              <ns0:jc ns0:val="left"/>
            </ns0:pPr>
            <ns0:r>
              <ns0:rPr>
                <ns0:rFonts ns0:ascii="Arial" ns0:hAnsi="Arial"/>
                <ns0:sz ns0:val="17"/>
              </ns0:rPr>
              <ns0:t>Composición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output/run_20260924T195600Z_86a6f5/metricas_composicion.csv; seleccion_composicion.csv</ns0:t>
            </ns0:r>
          </ns0:p>
        </ns0:tc>
        <ns0:tc>
          <ns0:tcPr>
            <ns0:tcW ns0:type="dxa" ns0:w="2520"/>
            <ns0:vAlign ns0:val="center"/>
          </ns0:tcPr>
          <ns0:p>
            <ns0:pPr>
              <ns0:spacing ns0:before="0" ns0:after="0"/>
              <ns0:jc ns0:val="center"/>
            </ns0:pPr>
            <ns0:r>
              <ns0:rPr>
                <ns0:rFonts ns0:ascii="Arial" ns0:hAnsi="Arial"/>
                <ns0:sz ns0:val="17"/>
              </ns0:rPr>
              <ns0:t>Resultados de participaciones</ns0:t>
            </ns0:r>
          </ns0:p>
        </ns0:tc>
      </ns0:tr>
      <ns0:tr>
        <ns0:tc>
          <ns0:tcPr>
            <ns0:tcW ns0:type="dxa" ns0:w="1944"/>
            <ns0:vAlign ns0:val="center"/>
          </ns0:tcPr>
          <ns0:p>
            <ns0:pPr>
              <ns0:spacing ns0:before="0" ns0:after="0"/>
              <ns0:jc ns0:val="left"/>
            </ns0:pPr>
            <ns0:r>
              <ns0:rPr>
                <ns0:rFonts ns0:ascii="Arial" ns0:hAnsi="Arial"/>
                <ns0:sz ns0:val="17"/>
              </ns0:rPr>
              <ns0:t>Predicciones y particiones</ns0:t>
            </ns0:r>
          </ns0:p>
        </ns0:tc>
        <ns0:tc>
          <ns0:tcPr>
            <ns0:tcW ns0:type="dxa" ns0:w="5112"/>
            <ns0:vAlign ns0:val="center"/>
          </ns0:tcPr>
          <ns0:p>
            <ns0:pPr>
              <ns0:spacing ns0:before="0" ns0:after="0"/>
              <ns0:jc ns0:val="center"/>
            </ns0:pPr>
            <ns0:r>
              <ns0:rPr>
                <ns0:rFonts ns0:ascii="Arial" ns0:hAnsi="Arial"/>
                <ns0:sz ns0:val="17"/>
              </ns0:rPr>
              <ns0:t>output/run_20260924T195600Z_86a6f5/predicciones.csv; particiones.csv</ns0:t>
            </ns0:r>
          </ns0:p>
        </ns0:tc>
        <ns0:tc>
          <ns0:tcPr>
            <ns0:tcW ns0:type="dxa" ns0:w="2520"/>
            <ns0:vAlign ns0:val="center"/>
          </ns0:tcPr>
          <ns0:p>
            <ns0:pPr>
              <ns0:spacing ns0:before="0" ns0:after="0"/>
              <ns0:jc ns0:val="center"/>
            </ns0:pPr>
            <ns0:r>
              <ns0:rPr>
                <ns0:rFonts ns0:ascii="Arial" ns0:hAnsi="Arial"/>
                <ns0:sz ns0:val="17"/>
              </ns0:rPr>
              <ns0:t>Observaciones, pronósticos y cortes</ns0:t>
            </ns0:r>
          </ns0:p>
        </ns0:tc>
      </ns0:tr>
      <ns0:tr>
        <ns0:tc>
          <ns0:tcPr>
            <ns0:tcW ns0:type="dxa" ns0:w="1944"/>
            <ns0:vAlign ns0:val="center"/>
          </ns0:tcPr>
          <ns0:p>
            <ns0:pPr>
              <ns0:spacing ns0:before="0" ns0:after="0"/>
              <ns0:jc ns0:val="left"/>
            </ns0:pPr>
            <ns0:r>
              <ns0:rPr>
                <ns0:rFonts ns0:ascii="Arial" ns0:hAnsi="Arial"/>
                <ns0:sz ns0:val="17"/>
              </ns0:rPr>
              <ns0:t>Contraste de H1</ns0:t>
            </ns0:r>
          </ns0:p>
        </ns0:tc>
        <ns0:tc>
          <ns0:tcPr>
            <ns0:tcW ns0:type="dxa" ns0:w="5112"/>
            <ns0:vAlign ns0:val="center"/>
          </ns0:tcPr>
          <ns0:p>
            <ns0:pPr>
              <ns0:spacing ns0:before="0" ns0:after="0"/>
              <ns0:jc ns0:val="center"/>
            </ns0:pPr>
            <ns0:r>
              <ns0:rPr>
                <ns0:rFonts ns0:ascii="Arial" ns0:hAnsi="Arial"/>
                <ns0:sz ns0:val="17"/>
              </ns0:rPr>
              <ns0:t>output/run_20260924T195600Z_86a6f5/hipotesis.json</ns0:t>
            </ns0:r>
          </ns0:p>
        </ns0:tc>
        <ns0:tc>
          <ns0:tcPr>
            <ns0:tcW ns0:type="dxa" ns0:w="2520"/>
            <ns0:vAlign ns0:val="center"/>
          </ns0:tcPr>
          <ns0:p>
            <ns0:pPr>
              <ns0:spacing ns0:before="0" ns0:after="0"/>
              <ns0:jc ns0:val="center"/>
            </ns0:pPr>
            <ns0:r>
              <ns0:rPr>
                <ns0:rFonts ns0:ascii="Arial" ns0:hAnsi="Arial"/>
                <ns0:sz ns0:val="17"/>
              </ns0:rPr>
              <ns0:t>Resultado del contraste exploratorio</ns0:t>
            </ns0:r>
          </ns0:p>
        </ns0:tc>
      </ns0:tr>
    </ns0:tbl>
    <ns0:p>
      <ns0:r>
        <ns0: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ns0:t>
      </ns0:r>
    </ns0:p>
    <ns0:p>
      <ns0:r>
        <ns0: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