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0:pPr>
        <ns0:pStyle ns0:val="TDC2"/>
      </ns0:pPr>
      <ns0:r>
        <ns0:t>Análisis de sensibilidad de la imputación</ns0:t>
        <ns0:tab/>
        <ns0:t>PENDIENTE</ns0:t>
      </ns0:r>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0:pPr>
        <ns0:pStyle ns0:val="TDC1"/>
      </ns0:pPr>
      <ns0:r>
        <ns0:t>Anexo B Paquete de reproducibilidad</ns0:t>
        <ns0:tab/>
        <ns0:t>PENDIENTE</ns0:t>
      </ns0:r>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PENDIENTE</ns0:t>
      </ns0:r>
    </ns0:p>
    <ns0:p>
      <ns0:pPr>
        <ns0:pStyle ns0:val="Tabladeilustraciones"/>
      </ns0:pPr>
      <ns0:r>
        <ns0:t>Figura 1. Cobertura semanal de los registros de compras en la corrida real.</ns0:t>
        <ns0:tab/>
        <ns0:t>PENDIENTE</ns0:t>
      </ns0:r>
    </ns0:p>
    <ns0:p>
      <ns0:pPr>
        <ns0:pStyle ns0:val="Tabladeilustraciones"/>
      </ns0:pPr>
      <ns0:r>
        <ns0:t>Figura 2. Auditoría de registros de compra y decisiones de inclusión.</ns0:t>
        <ns0:tab/>
        <ns0:t>PENDIENTE</ns0:t>
      </ns0:r>
    </ns0:p>
    <ns0:p>
      <ns0:pPr>
        <ns0:pStyle ns0:val="Tabladeilustraciones"/>
      </ns0:pPr>
      <ns0:r>
        <ns0:t>Figura 3. Importes semanales de compras y periodos sin registro.</ns0:t>
        <ns0:tab/>
        <ns0:t>PENDIENTE</ns0:t>
      </ns0:r>
    </ns0:p>
    <ns0:p>
      <ns0:pPr>
        <ns0:pStyle ns0:val="Tabladeilustraciones"/>
      </ns0:pPr>
      <ns0:r>
        <ns0:t>Figura 4. Distribución del importe semanal y frecuencia de ceros.</ns0:t>
        <ns0:tab/>
        <ns0:t>PENDIENTE</ns0:t>
      </ns0:r>
    </ns0:p>
    <ns0:p>
      <ns0:pPr>
        <ns0:pStyle ns0:val="Tabladeilustraciones"/>
      </ns0:pPr>
      <ns0:r>
        <ns0:t>Figura 5. Ventas semanales registradas.</ns0:t>
        <ns0:tab/>
        <ns0:t>PENDIENTE</ns0:t>
      </ns0:r>
    </ns0:p>
    <ns0:p>
      <ns0:pPr>
        <ns0:pStyle ns0:val="Tabladeilustraciones"/>
      </ns0:pPr>
      <ns0:r>
        <ns0:t>Figura 6. Composición porcentual observada durante el periodo de desarrollo.</ns0:t>
        <ns0:tab/>
        <ns0:t>PENDIENTE</ns0:t>
      </ns0:r>
    </ns0:p>
    <ns0:p>
      <ns0:pPr>
        <ns0:pStyle ns0:val="Tabladeilustraciones"/>
      </ns0:pPr>
      <ns0:r>
        <ns0:t>Figura 7. Categorías principales consideradas para la asignación presupuestaria.</ns0:t>
        <ns0:tab/>
        <ns0:t>PENDIENTE</ns0:t>
      </ns0:r>
    </ns0:p>
    <ns0:p>
      <ns0:pPr>
        <ns0:pStyle ns0:val="Tabladeilustraciones"/>
      </ns0:pPr>
      <ns0:r>
        <ns0:t>Figura 8. Particiones temporales utilizadas para selección y evaluación.</ns0:t>
        <ns0:tab/>
        <ns0:t>PENDIENTE</ns0:t>
      </ns0:r>
    </ns0:p>
    <ns0:p>
      <ns0:pPr>
        <ns0:pStyle ns0:val="Tabladeilustraciones"/>
      </ns0:pPr>
      <ns0:r>
        <ns0:t>Figura 9. Desempeño de las configuraciones consideradas en la validación interna.</ns0:t>
        <ns0:tab/>
        <ns0:t>PENDIENTE</ns0:t>
      </ns0:r>
    </ns0:p>
    <ns0:p>
      <ns0:pPr>
        <ns0:pStyle ns0:val="Tabladeilustraciones"/>
      </ns0:pPr>
      <ns0:r>
        <ns0:t>Tabla 2. Etapas previas de trabajo y su uso en la corrida vigente.</ns0:t>
        <ns0:tab/>
        <ns0:t>PENDIENTE</ns0:t>
      </ns0:r>
    </ns0:p>
    <ns0:p>
      <ns0:pPr>
        <ns0:pStyle ns0:val="Tabladeilustraciones"/>
      </ns0:pPr>
      <ns0:r>
        <ns0:t>Tabla 3. Configuración seleccionada y error del híbrido en la evaluación final.</ns0:t>
        <ns0:tab/>
        <ns0:t>PENDIENTE</ns0:t>
      </ns0:r>
    </ns0:p>
    <ns0:p>
      <ns0:pPr>
        <ns0:pStyle ns0:val="Tabladeilustraciones"/>
      </ns0:pPr>
      <ns0:r>
        <ns0:t>Figura 10. Asignación agregada del presupuesto pronosticado a cuatro semanas.</ns0:t>
        <ns0:tab/>
        <ns0:t>PENDIENTE</ns0:t>
      </ns0:r>
    </ns0:p>
    <ns0:p>
      <ns0:pPr>
        <ns0:pStyle ns0:val="Tabladeilustraciones"/>
      </ns0:pPr>
      <ns0:r>
        <ns0:t>Tabla 4. Pronóstico agregado de cuatro semanas por categoría elegible.</ns0:t>
        <ns0:tab/>
        <ns0:t>PENDIENTE</ns0:t>
      </ns0:r>
    </ns0:p>
    <ns0:p>
      <ns0:pPr>
        <ns0:pStyle ns0:val="Tabladeilustraciones"/>
      </ns0:pPr>
      <ns0:r>
        <ns0:t>Figura 11. Resultado de los controles de calidad del pipeline.</ns0:t>
        <ns0:tab/>
        <ns0:t>PENDIENTE</ns0:t>
      </ns0:r>
    </ns0:p>
    <ns0:p>
      <ns0:pPr>
        <ns0:pStyle ns0:val="Tabladeilustraciones"/>
      </ns0:pPr>
      <ns0:r>
        <ns0:t>Tabla 5. Sensibilidad de las métricas monetarias a la configuración de imputación.</ns0:t>
        <ns0:tab/>
        <ns0:t>PENDIENTE</ns0:t>
      </ns0:r>
    </ns0:p>
    <ns0:p>
      <ns0:pPr>
        <ns0:pStyle ns0:val="Tabladeilustraciones"/>
      </ns0:pPr>
      <ns0:r>
        <ns0:t>Figura 12. Errores monetarios por modelo y horizonte en la evaluación temporal.</ns0:t>
        <ns0:tab/>
        <ns0:t>PENDIENTE</ns0:t>
      </ns0:r>
    </ns0:p>
    <ns0:p>
      <ns0:pPr>
        <ns0:pStyle ns0:val="Tabladeilustraciones"/>
      </ns0:pPr>
      <ns0:r>
        <ns0:t>Figura 13. Error absoluto medio de participación por insumo, comparación de métodos y horizonte. Fuente: salida del pipeline, corrida run_20260924T195600Z_86a6f5.</ns0:t>
        <ns0:tab/>
        <ns0:t>PENDIENTE</ns0:t>
      </ns0:r>
    </ns0:p>
    <ns0:p>
      <ns0:pPr>
        <ns0:pStyle ns0:val="Tabladeilustraciones"/>
      </ns0:pPr>
      <ns0:r>
        <ns0:t>Figura 14. Composición observada y estimada en la evaluación temporal. Fuente: salida del pipeline, corrida run_20260924T195600Z_86a6f5.</ns0:t>
        <ns0:tab/>
        <ns0:t>PENDIENTE</ns0:t>
      </ns0:r>
    </ns0:p>
    <ns0:p>
      <ns0:pPr>
        <ns0:pStyle ns0:val="Tabladeilustraciones"/>
      </ns0:pPr>
      <ns0:r>
        <ns0:t>Figura 15. Diferencias de pérdidas pareadas para H1 en el horizonte principal. Fuente: salida del pipeline, corrida run_20260924T195600Z_86a6f5.</ns0:t>
        <ns0:tab/>
        <ns0:t>PENDIENTE</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