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EBD5BB2" w14:textId="58958A9E"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3AF81E60" w14:textId="0FA42E0C"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lastRenderedPageBreak/>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proofErr w:type="spellStart"/>
            <w:r>
              <w:rPr>
                <w:sz w:val="13"/>
              </w:rPr>
              <w:t>retail</w:t>
            </w:r>
            <w:proofErr w:type="spellEnd"/>
            <w:r>
              <w:rPr>
                <w:sz w:val="13"/>
              </w:rPr>
              <w:t>; ML; calendario; demanda diaria</w:t>
            </w:r>
          </w:p>
        </w:tc>
        <w:tc>
          <w:tcPr>
            <w:tcW w:w="611" w:type="pct"/>
          </w:tcPr>
          <w:p w14:paraId="077746F0" w14:textId="77777777" w:rsidR="006D6A1B" w:rsidRDefault="00000000">
            <w:proofErr w:type="spellStart"/>
            <w:r>
              <w:rPr>
                <w:sz w:val="13"/>
              </w:rPr>
              <w:t>Retail</w:t>
            </w:r>
            <w:proofErr w:type="spellEnd"/>
            <w:r>
              <w:rPr>
                <w:sz w:val="13"/>
              </w:rPr>
              <w:t xml:space="preserve">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proofErr w:type="spellStart"/>
            <w:r>
              <w:rPr>
                <w:sz w:val="13"/>
              </w:rPr>
              <w:t>Makridakis</w:t>
            </w:r>
            <w:proofErr w:type="spellEnd"/>
            <w:r>
              <w:rPr>
                <w:sz w:val="13"/>
              </w:rPr>
              <w:t xml:space="preserve">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proofErr w:type="spellStart"/>
            <w:r>
              <w:rPr>
                <w:sz w:val="13"/>
              </w:rPr>
              <w:t>Hewamalage</w:t>
            </w:r>
            <w:proofErr w:type="spellEnd"/>
            <w:r>
              <w:rPr>
                <w:sz w:val="13"/>
              </w:rPr>
              <w:t xml:space="preserv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proofErr w:type="spellStart"/>
            <w:r>
              <w:rPr>
                <w:sz w:val="13"/>
              </w:rPr>
              <w:t>Aprodu</w:t>
            </w:r>
            <w:proofErr w:type="spellEnd"/>
            <w:r>
              <w:rPr>
                <w:sz w:val="13"/>
              </w:rPr>
              <w:t xml:space="preserve">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proofErr w:type="spellStart"/>
            <w:r>
              <w:rPr>
                <w:sz w:val="13"/>
              </w:rPr>
              <w:t>Alekseeva</w:t>
            </w:r>
            <w:proofErr w:type="spellEnd"/>
            <w:r>
              <w:rPr>
                <w:sz w:val="13"/>
              </w:rPr>
              <w:t xml:space="preserve">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5DE5C248"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525B2C3B"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0EBCB8BD"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w:t>
      </w:r>
      <w:r>
        <w:lastRenderedPageBreak/>
        <w:t>requeriría información adicional sobre necesidades de producción, existencias y condiciones de suministro.</w:t>
      </w:r>
    </w:p>
    <w:p w14:paraId="7907F450"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4134901B" w14:textId="77777777" w:rsidR="00CF0519" w:rsidRDefault="00691DC4">
      <w:pPr>
        <w:pStyle w:val="Ttulo2"/>
        <w:numPr>
          <w:ilvl w:val="1"/>
          <w:numId w:val="19"/>
        </w:numPr>
      </w:pPr>
      <w:bookmarkStart w:id="26" w:name="_Toc233383568"/>
      <w:bookmarkStart w:id="27" w:name="_Toc240016156"/>
      <w:r>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lastRenderedPageBreak/>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88D1AB9" w:rsidR="00CF0519" w:rsidRDefault="00691DC4">
      <w:proofErr w:type="spellStart"/>
      <w:r>
        <w:lastRenderedPageBreak/>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6FE9EB16"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4D2FB3F6" w14:textId="74F047F8"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w:t>
      </w:r>
      <w:proofErr w:type="gramStart"/>
      <w:r w:rsidR="00503DDF">
        <w:t>semanal</w:t>
      </w:r>
      <w:proofErr w:type="gramEnd"/>
      <w:r w:rsidR="00503DDF">
        <w:t xml:space="preserve"> así como la distribución entre los principales insumos</w:t>
      </w:r>
      <w:r>
        <w:t>,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0DB3ED83"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52DD2BA1" w14:textId="77777777" w:rsidR="00CF0519" w:rsidRDefault="00691DC4">
      <w:pPr>
        <w:pStyle w:val="Ttulo3"/>
        <w:numPr>
          <w:ilvl w:val="2"/>
          <w:numId w:val="19"/>
        </w:numPr>
      </w:pPr>
      <w:bookmarkStart w:id="32" w:name="_Toc233383571"/>
      <w:bookmarkStart w:id="33" w:name="_Toc240016159"/>
      <w:r>
        <w:lastRenderedPageBreak/>
        <w:t>Objetivo</w:t>
      </w:r>
      <w:bookmarkEnd w:id="32"/>
      <w:bookmarkEnd w:id="33"/>
    </w:p>
    <w:p w14:paraId="09DFA9AA" w14:textId="77777777" w:rsidR="00CF0519" w:rsidRDefault="00691DC4">
      <w:pPr>
        <w:pStyle w:val="Ttulo4"/>
      </w:pPr>
      <w:r>
        <w:t xml:space="preserve">Objetivo general </w:t>
      </w:r>
    </w:p>
    <w:p w14:paraId="647CA0FE" w14:textId="4B071E80"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1C391FFE" w14:textId="77777777" w:rsidR="00CF0519" w:rsidRDefault="00691DC4">
      <w:pPr>
        <w:pStyle w:val="Ttulo4"/>
      </w:pPr>
      <w:r>
        <w:t>Objetivos específicos</w:t>
      </w:r>
    </w:p>
    <w:p w14:paraId="568D2671"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08AEB9"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6823915F"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378CE31F"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pPr>
        <w:pStyle w:val="Ttulo4"/>
        <w:numPr>
          <w:ilvl w:val="1"/>
          <w:numId w:val="18"/>
        </w:numPr>
      </w:pPr>
      <w:r>
        <w:t>Relevancia social</w:t>
      </w:r>
    </w:p>
    <w:p w14:paraId="30C54722" w14:textId="77777777" w:rsidR="00CF0519" w:rsidRDefault="00691DC4">
      <w:r>
        <w:t>La relevancia social de esta investigación radica en aportar evidencia aplicada sobre el uso de modelos predictivos semanales en una microempresa con recursos de datos limitados. Las microempresas enfrentan restricciones financieras, tecnológicas y de capital humano que dificultan la adopción de herramientas analíticas; por ello, evaluar modelos con registros internos contribuye a identificar alternativas técnicamente accesibles para apoyar decisiones basadas en datos (</w:t>
      </w:r>
      <w:proofErr w:type="spellStart"/>
      <w:r>
        <w:t>Alekseeva</w:t>
      </w:r>
      <w:proofErr w:type="spellEnd"/>
      <w:r>
        <w:t xml:space="preserve"> et al., 2021; Poveda-Valverde &amp; Fierro Barragán, 2026).</w:t>
      </w:r>
    </w:p>
    <w:p w14:paraId="1B46B447" w14:textId="77777777" w:rsidR="00CF0519" w:rsidRDefault="00691DC4">
      <w:r>
        <w:t xml:space="preserve">En el caso de </w:t>
      </w:r>
      <w:proofErr w:type="spellStart"/>
      <w:r>
        <w:t>Cup&amp;Cake</w:t>
      </w:r>
      <w:proofErr w:type="spellEnd"/>
      <w:r>
        <w:t>, la investigación permite valorar si los modelos predictivos mejoran la anticipación semanal del presupuesto de abastecimiento frente a referencias empíricas y estadísticas. Aunque el estudio no mide directamente merma, inventarios ni rentabilidad, una predicción semanal más precisa puede constituir un insumo para decisiones más informadas en negocios con productos perecederos.</w:t>
      </w:r>
    </w:p>
    <w:p w14:paraId="027ED041" w14:textId="77777777" w:rsidR="00CF0519" w:rsidRDefault="00691DC4">
      <w:pPr>
        <w:pStyle w:val="Ttulo4"/>
        <w:numPr>
          <w:ilvl w:val="1"/>
          <w:numId w:val="18"/>
        </w:numPr>
      </w:pPr>
      <w:r>
        <w:t>Conveniencia</w:t>
      </w:r>
    </w:p>
    <w:p w14:paraId="5607F387" w14:textId="77777777" w:rsidR="00CF0519" w:rsidRDefault="00691DC4">
      <w:r>
        <w:t xml:space="preserve">La investigación es conveniente porque responde a una necesidad operativa concreta de </w:t>
      </w:r>
      <w:proofErr w:type="spellStart"/>
      <w:r>
        <w:t>Cup&amp;Cake</w:t>
      </w:r>
      <w:proofErr w:type="spellEnd"/>
      <w:r>
        <w:t>: estimar semanalmente el importe de compras de las siguientes una a cuatro semanas a partir de registros históricos. La disponibilidad de estas fuentes permite construir y evaluar un sistema predictivo sin requerir infraestructura corporativa ni datos externos indispensables.</w:t>
      </w:r>
    </w:p>
    <w:p w14:paraId="0A165871" w14:textId="77777777" w:rsidR="00CF0519" w:rsidRDefault="00691DC4">
      <w:r>
        <w:t>Su conveniencia metodológica consiste en comparar modelos estadísticos y de aprendizaje automático con líneas base empíricas semanales mediante una ventana deslizante. Este contraste permite identificar si la complejidad algorítmica aporta una mejora verificable de precisión o si un método más simple resulta suficiente para el objetivo evaluado (</w:t>
      </w:r>
      <w:proofErr w:type="spellStart"/>
      <w:r>
        <w:t>Makridakis</w:t>
      </w:r>
      <w:proofErr w:type="spellEnd"/>
      <w:r>
        <w:t xml:space="preserve"> et al., 2018; Spiliotis et al., 2022).</w:t>
      </w:r>
    </w:p>
    <w:p w14:paraId="164B9BBA" w14:textId="77777777" w:rsidR="00CF0519" w:rsidRDefault="00691DC4">
      <w:pPr>
        <w:pStyle w:val="Ttulo4"/>
        <w:numPr>
          <w:ilvl w:val="1"/>
          <w:numId w:val="18"/>
        </w:numPr>
      </w:pPr>
      <w:r>
        <w:t>Valor teórico</w:t>
      </w:r>
    </w:p>
    <w:p w14:paraId="6DA1FCA5" w14:textId="77777777" w:rsidR="00CF0519" w:rsidRDefault="00691DC4">
      <w:r>
        <w:t>Desde el punto de vista teórico, la investigación contribuye al estudio del pronóstico semanal en contextos de Small Data e intermitencia. La literatura muestra que el desempeño de los modelos depende de la calidad y cantidad de datos, la granularidad de la serie, las variables disponibles y el protocolo de evaluación; por tanto, su superioridad no debe suponerse sin comparación empírica (</w:t>
      </w:r>
      <w:proofErr w:type="spellStart"/>
      <w:r>
        <w:t>Hewamalage</w:t>
      </w:r>
      <w:proofErr w:type="spellEnd"/>
      <w:r>
        <w:t xml:space="preserve"> et al., 2021; Giannopoulos et al., 2025).</w:t>
      </w:r>
    </w:p>
    <w:p w14:paraId="7A662A1E" w14:textId="77777777" w:rsidR="00CF0519" w:rsidRDefault="00691DC4">
      <w:r>
        <w:t>El estudio aporta evidencia comparativa en una microempresa de repostería creativa al contrastar líneas base empíricas, modelos estadísticos y modelos de aprendizaje automático mediante validación temporal de ventana deslizante. Asimismo, permite examinar si las variables exógenas disponibles antes del pronóstico aportan información adicional para anticipar el presupuesto semanal de abastecimiento.</w:t>
      </w:r>
    </w:p>
    <w:p w14:paraId="3C6ABB8E" w14:textId="77777777" w:rsidR="00CF0519" w:rsidRDefault="00691DC4">
      <w:pPr>
        <w:pStyle w:val="Ttulo4"/>
        <w:numPr>
          <w:ilvl w:val="1"/>
          <w:numId w:val="18"/>
        </w:numPr>
      </w:pPr>
      <w:r>
        <w:t>Implicaciones prácticas</w:t>
      </w:r>
    </w:p>
    <w:p w14:paraId="65AA1DC3" w14:textId="77777777" w:rsidR="00CF0519" w:rsidRDefault="00691DC4">
      <w:r>
        <w:t>En términos prácticos, la investigación ofrece un procedimiento reproducible para integrar registros diarios, agregarlos semanalmente, generar variables temporales y evaluar modelos mediante métricas de error fuera de muestra. Los resultados se comunicarán en un tablero de inteligencia de negocios que permita consultar el importe semanal esperado de compras y su consolidado mensual.</w:t>
      </w:r>
    </w:p>
    <w:p w14:paraId="4A44A040" w14:textId="77777777" w:rsidR="00CF0519" w:rsidRDefault="00691DC4">
      <w:r w:rsidRPr="00FB2B47">
        <w:rPr>
          <w:highlight w:val="green"/>
        </w:rPr>
        <w:t>El tablero funcionará como apoyo para revisar y reservar el presupuesto de abastecimiento; no generará órdenes automáticas de compra ni calculará cantidades físicas por insumo. Estas funciones requerirían información adicional sobre recetas, inventario, merma, costos de faltante, tiempos de entrega y unidades de medida homologadas.</w:t>
      </w:r>
    </w:p>
    <w:p w14:paraId="45C48BFE" w14:textId="77777777" w:rsidR="00F613B8" w:rsidRDefault="00000000">
      <w:r>
        <w:t>En conjunto, la investigación se justifica por su aporte aplicado y metodológico: evalúa de manera rigurosa si los modelos estadísticos y de aprendizaje automático mejoran el pronóstico semanal del importe de compras en una microempresa, frente a referencias empíricas. Su contribución se limita al apoyo del presupuesto de abastecimiento y evita atribuir efectos no medidos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lastRenderedPageBreak/>
        <w:t>Hipótesis</w:t>
      </w:r>
      <w:bookmarkEnd w:id="36"/>
      <w:bookmarkEnd w:id="37"/>
    </w:p>
    <w:p w14:paraId="24BD525F" w14:textId="77777777" w:rsidR="00CF0519" w:rsidRDefault="00691DC4">
      <w:pPr>
        <w:pStyle w:val="Ttulo4"/>
        <w:numPr>
          <w:ilvl w:val="1"/>
          <w:numId w:val="18"/>
        </w:numPr>
      </w:pPr>
      <w:r>
        <w:t>Hipótesis de investigación (H1)</w:t>
      </w:r>
    </w:p>
    <w:p w14:paraId="0E0DBB44" w14:textId="7777777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14:paraId="3FD5CE62" w14:textId="77777777" w:rsidR="00B302B0" w:rsidRDefault="00000000">
      <w:pPr>
        <w:pStyle w:val="Ttulo4"/>
      </w:pPr>
      <w:r>
        <w:t>Hipótesis de investigación (H2)</w:t>
      </w:r>
    </w:p>
    <w:p w14:paraId="085B65AA" w14:textId="77777777" w:rsidR="00B302B0" w:rsidRDefault="00000000">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14:paraId="6A6761A2"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B198495" w14:textId="77777777" w:rsidR="00CF0519" w:rsidRDefault="00691DC4">
      <w:pPr>
        <w:pStyle w:val="Ttulo2"/>
        <w:numPr>
          <w:ilvl w:val="1"/>
          <w:numId w:val="19"/>
        </w:numPr>
      </w:pPr>
      <w:bookmarkStart w:id="40" w:name="_Toc233383575"/>
      <w:bookmarkStart w:id="41" w:name="_Toc240016163"/>
      <w:r>
        <w:t>Microempresa, intuición y el conocimiento tácito</w:t>
      </w:r>
      <w:bookmarkEnd w:id="40"/>
      <w:bookmarkEnd w:id="41"/>
    </w:p>
    <w:p w14:paraId="3CFFFDDA" w14:textId="77777777" w:rsidR="00CF0519" w:rsidRDefault="00691DC4">
      <w:pPr>
        <w:pStyle w:val="Ttulo3"/>
        <w:numPr>
          <w:ilvl w:val="2"/>
          <w:numId w:val="19"/>
        </w:numPr>
      </w:pPr>
      <w:bookmarkStart w:id="42" w:name="_Toc233383576"/>
      <w:bookmarkStart w:id="43" w:name="_Toc240016164"/>
      <w:r>
        <w:t>Caracterización Estructural y Ontología de la Microempresa en Economías Emergentes</w:t>
      </w:r>
      <w:bookmarkEnd w:id="42"/>
      <w:bookmarkEnd w:id="43"/>
    </w:p>
    <w:p w14:paraId="43BA771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377F14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B70A3B7"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B45524F"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D738EB2"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5360F04"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45EAE9D0" w14:textId="77777777" w:rsidR="00CF0519" w:rsidRDefault="00691DC4">
      <w:pPr>
        <w:pStyle w:val="Ttulo3"/>
        <w:numPr>
          <w:ilvl w:val="2"/>
          <w:numId w:val="19"/>
        </w:numPr>
      </w:pPr>
      <w:bookmarkStart w:id="44" w:name="_Toc233383577"/>
      <w:bookmarkStart w:id="45" w:name="_Toc240016165"/>
      <w:r>
        <w:t>El Conocimiento Tácito y la Experiencia Empírica como Activos Operativos</w:t>
      </w:r>
      <w:bookmarkEnd w:id="44"/>
      <w:bookmarkEnd w:id="45"/>
    </w:p>
    <w:p w14:paraId="6018B6D7"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F2B2DA0"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6820C99"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62A0945"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75B2850A" w14:textId="77777777" w:rsidR="00CF0519" w:rsidRDefault="00691DC4">
      <w:pPr>
        <w:pStyle w:val="Ttulo3"/>
        <w:numPr>
          <w:ilvl w:val="2"/>
          <w:numId w:val="19"/>
        </w:numPr>
      </w:pPr>
      <w:bookmarkStart w:id="46" w:name="_Toc233383578"/>
      <w:bookmarkStart w:id="47" w:name="_Toc240016166"/>
      <w:r>
        <w:t>El Paradigma de la Intuición y el "Pensamiento de Sistema 1" en la Toma de Decisiones</w:t>
      </w:r>
      <w:bookmarkEnd w:id="46"/>
      <w:bookmarkEnd w:id="47"/>
    </w:p>
    <w:p w14:paraId="5CA6BCD4"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3A6F5F3"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37361217"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060D9A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E8A47E4"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9F4AB1A" w14:textId="77777777" w:rsidR="00CF0519" w:rsidRDefault="00691DC4">
      <w:pPr>
        <w:pStyle w:val="Ttulo3"/>
        <w:numPr>
          <w:ilvl w:val="2"/>
          <w:numId w:val="19"/>
        </w:numPr>
      </w:pPr>
      <w:bookmarkStart w:id="48" w:name="_Toc233383579"/>
      <w:bookmarkStart w:id="49" w:name="_Toc240016167"/>
      <w:r>
        <w:t>Sesgos Cognitivos y Heurísticas en la Gestión del Abastecimiento y la Planeación Financiera</w:t>
      </w:r>
      <w:bookmarkEnd w:id="48"/>
      <w:bookmarkEnd w:id="49"/>
    </w:p>
    <w:p w14:paraId="6A54E3E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55B7FE7E"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EAAFEF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51051A3C"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4BCC3FF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5BEF491" w14:textId="77777777" w:rsidR="00CF0519" w:rsidRDefault="00691DC4">
      <w:pPr>
        <w:pStyle w:val="Ttulo3"/>
        <w:numPr>
          <w:ilvl w:val="2"/>
          <w:numId w:val="19"/>
        </w:numPr>
      </w:pPr>
      <w:bookmarkStart w:id="50" w:name="_Toc233383580"/>
      <w:bookmarkStart w:id="51" w:name="_Toc240016168"/>
      <w:r>
        <w:t>Limitaciones Epistemológicas de la Intuición frente a la Variabilidad Compleja del Mercado</w:t>
      </w:r>
      <w:bookmarkEnd w:id="50"/>
      <w:bookmarkEnd w:id="51"/>
    </w:p>
    <w:p w14:paraId="39B958F6"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169699A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A907B2C"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3D21DFB"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2ED4D53D"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360561B3"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0781D005"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A1607F1"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A3B5DE6" w14:textId="77777777" w:rsidR="00CF0519" w:rsidRDefault="00691DC4">
      <w:pPr>
        <w:pStyle w:val="Ttulo2"/>
        <w:numPr>
          <w:ilvl w:val="1"/>
          <w:numId w:val="19"/>
        </w:numPr>
      </w:pPr>
      <w:bookmarkStart w:id="52" w:name="_Toc233383582"/>
      <w:bookmarkStart w:id="53" w:name="_Toc240016169"/>
      <w:r>
        <w:t>Inteligencia de Negocios y Analítica Predictiva en la Planeación Financiera</w:t>
      </w:r>
      <w:bookmarkEnd w:id="52"/>
      <w:bookmarkEnd w:id="53"/>
    </w:p>
    <w:p w14:paraId="328E26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127A50A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797454CE" w14:textId="77777777" w:rsidR="00CF0519" w:rsidRDefault="00691DC4">
      <w:pPr>
        <w:pStyle w:val="Ttulo3"/>
        <w:numPr>
          <w:ilvl w:val="2"/>
          <w:numId w:val="19"/>
        </w:numPr>
      </w:pPr>
      <w:bookmarkStart w:id="54" w:name="_Toc233383583"/>
      <w:bookmarkStart w:id="55" w:name="_Toc240016170"/>
      <w:r>
        <w:t>Evolución Epistemológica de la Inteligencia de Negocios y los Sistemas de Soporte a la Decisión (DSS)</w:t>
      </w:r>
      <w:bookmarkEnd w:id="54"/>
      <w:bookmarkEnd w:id="55"/>
    </w:p>
    <w:p w14:paraId="7EE649A2"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3A3D425"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F0E78DE"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093FA5EF"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9CD67A9" w14:textId="77777777" w:rsidR="00CF0519" w:rsidRDefault="00691DC4">
      <w:pPr>
        <w:pStyle w:val="Ttulo3"/>
        <w:numPr>
          <w:ilvl w:val="2"/>
          <w:numId w:val="19"/>
        </w:numPr>
      </w:pPr>
      <w:bookmarkStart w:id="56" w:name="_Toc233383584"/>
      <w:bookmarkStart w:id="57" w:name="_Toc240016171"/>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6"/>
      <w:bookmarkEnd w:id="57"/>
    </w:p>
    <w:p w14:paraId="080EB42F"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723373B"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D0AA933"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7D09F067"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1588852" w14:textId="77777777" w:rsidR="00CF0519" w:rsidRDefault="00691DC4">
      <w:pPr>
        <w:pStyle w:val="Ttulo3"/>
        <w:numPr>
          <w:ilvl w:val="2"/>
          <w:numId w:val="19"/>
        </w:numPr>
      </w:pPr>
      <w:bookmarkStart w:id="58" w:name="_Toc233383585"/>
      <w:bookmarkStart w:id="59" w:name="_Toc240016172"/>
      <w:r>
        <w:t>Taxonomía Analítica: Del Análisis Descriptivo a la Frontera de la Analítica Predictiva</w:t>
      </w:r>
      <w:bookmarkEnd w:id="58"/>
      <w:bookmarkEnd w:id="59"/>
    </w:p>
    <w:p w14:paraId="3C7270A8"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D589FB9"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BF42E1D"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199C0F7"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28C8094"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32D4DC2" w14:textId="77777777" w:rsidR="00CF0519" w:rsidRDefault="00691DC4">
      <w:pPr>
        <w:pStyle w:val="Ttulo3"/>
        <w:numPr>
          <w:ilvl w:val="2"/>
          <w:numId w:val="19"/>
        </w:numPr>
      </w:pPr>
      <w:bookmarkStart w:id="60" w:name="_Toc233383586"/>
      <w:bookmarkStart w:id="61" w:name="_Toc240016173"/>
      <w:r>
        <w:t>La Intersección Estratégica entre Analítica Predictiva, Planeación Financiera y Gestión del Flujo de Efectivo</w:t>
      </w:r>
      <w:bookmarkEnd w:id="60"/>
      <w:bookmarkEnd w:id="61"/>
    </w:p>
    <w:p w14:paraId="5C0D0651"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7AB8462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A6892F3"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8DA3816"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16A68C98"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E6C6C94"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08E1692"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1604D0B5"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51C7785C" w14:textId="77777777" w:rsidR="00CF0519" w:rsidRDefault="00691DC4">
      <w:pPr>
        <w:pStyle w:val="Ttulo3"/>
        <w:numPr>
          <w:ilvl w:val="2"/>
          <w:numId w:val="19"/>
        </w:numPr>
      </w:pPr>
      <w:bookmarkStart w:id="62" w:name="_Toc233383587"/>
      <w:bookmarkStart w:id="63" w:name="_Toc240016174"/>
      <w:r>
        <w:t>Sincronización Operativa: S&amp;OP, Gestión de Inventarios y Mitigación de Costos en Productos Perecederos</w:t>
      </w:r>
      <w:bookmarkEnd w:id="62"/>
      <w:bookmarkEnd w:id="63"/>
    </w:p>
    <w:p w14:paraId="6C613BA2"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939AA5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64499D0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7192CCA"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BD8442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52BAA4D7"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5D52B9CD"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49AEC450"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50AE1EE8" w14:textId="77777777" w:rsidR="00B302B0" w:rsidRDefault="00000000">
      <w:pPr>
        <w:pStyle w:val="Ttulo2"/>
      </w:pPr>
      <w:bookmarkStart w:id="64" w:name="_Toc240016175"/>
      <w:r>
        <w:t>Análisis de series temporales como fundamento del modelado predictivo</w:t>
      </w:r>
      <w:bookmarkEnd w:id="64"/>
    </w:p>
    <w:p w14:paraId="42E48F0F" w14:textId="77777777" w:rsidR="00B302B0" w:rsidRDefault="00000000">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14:paraId="5551180D" w14:textId="77777777" w:rsidR="00B302B0" w:rsidRDefault="00000000">
      <w:pPr>
        <w:pStyle w:val="Ttulo3"/>
      </w:pPr>
      <w:bookmarkStart w:id="65" w:name="_Toc240016176"/>
      <w:r>
        <w:t>Frecuencia, continuidad y cobertura</w:t>
      </w:r>
      <w:bookmarkEnd w:id="65"/>
    </w:p>
    <w:p w14:paraId="23149041" w14:textId="77777777" w:rsidR="00B302B0" w:rsidRDefault="00000000">
      <w:r>
        <w:t xml:space="preserve">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w:t>
      </w:r>
      <w:proofErr w:type="gramStart"/>
      <w:r>
        <w:t>Una racha prolongada sin compras mientras continúan</w:t>
      </w:r>
      <w:proofErr w:type="gramEnd"/>
      <w:r>
        <w:t xml:space="preserve"> las ventas constituye evidencia de cobertura indeterminada y no debe tratarse automáticamente como demanda igual a cero.</w:t>
      </w:r>
    </w:p>
    <w:p w14:paraId="66EEC5CF" w14:textId="77777777" w:rsidR="00B302B0" w:rsidRDefault="00000000">
      <w:pPr>
        <w:pStyle w:val="Ttulo3"/>
      </w:pPr>
      <w:bookmarkStart w:id="66" w:name="_Toc240016177"/>
      <w:r>
        <w:t>Tendencia, estacionalidad y estacionariedad</w:t>
      </w:r>
      <w:bookmarkEnd w:id="66"/>
    </w:p>
    <w:p w14:paraId="712778E1" w14:textId="77777777" w:rsidR="00B302B0" w:rsidRDefault="00000000">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14:paraId="1255320C" w14:textId="77777777" w:rsidR="00B302B0" w:rsidRDefault="00000000">
      <w:r>
        <w:t xml:space="preserve">La estacionariedad supone estabilidad aproximada de la media, la varianza y la dependencia temporal. La prueba Dickey-Fuller aumentada (ADF) contrasta una raíz unitaria, mientras que KPSS parte de la hipótesis complementaria de estacionariedad. Su interpretación conjunta </w:t>
      </w:r>
      <w:r>
        <w:lastRenderedPageBreak/>
        <w:t>reduce el riesgo de decidir a partir de una sola prueba, aunque en muestras pequeñas ambas tienen potencia limitada. Las transformaciones log1p y la diferenciación pueden evaluarse para estabilizar la escala, siempre dentro de cada ventana de entrenamiento.</w:t>
      </w:r>
    </w:p>
    <w:p w14:paraId="696DB5D2" w14:textId="77777777" w:rsidR="00B302B0" w:rsidRDefault="00000000">
      <w:pPr>
        <w:pStyle w:val="Ttulo3"/>
      </w:pPr>
      <w:bookmarkStart w:id="67" w:name="_Toc240016178"/>
      <w:r>
        <w:t>Autocorrelación y diagnóstico de rezagos</w:t>
      </w:r>
      <w:bookmarkEnd w:id="67"/>
    </w:p>
    <w:p w14:paraId="30E533B9" w14:textId="77777777" w:rsidR="00B302B0" w:rsidRDefault="00000000">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14:paraId="63FE1267" w14:textId="77777777" w:rsidR="00B302B0" w:rsidRDefault="00000000">
      <w:pPr>
        <w:pStyle w:val="Ttulo3"/>
      </w:pPr>
      <w:bookmarkStart w:id="68" w:name="_Toc240016179"/>
      <w:r>
        <w:t>Intermitencia, variabilidad y valores atípicos</w:t>
      </w:r>
      <w:bookmarkEnd w:id="68"/>
    </w:p>
    <w:p w14:paraId="2514DD39" w14:textId="77777777" w:rsidR="00B302B0" w:rsidRDefault="00000000">
      <w:r>
        <w:t xml:space="preserve">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w:t>
      </w:r>
      <w:proofErr w:type="spellStart"/>
      <w:r>
        <w:t>lumpy</w:t>
      </w:r>
      <w:proofErr w:type="spellEnd"/>
      <w:r>
        <w:t xml:space="preserve"> (</w:t>
      </w:r>
      <w:proofErr w:type="spellStart"/>
      <w:r>
        <w:t>Syntetos</w:t>
      </w:r>
      <w:proofErr w:type="spellEnd"/>
      <w:r>
        <w:t xml:space="preserve"> &amp; Boylan, 2005). Esta taxonomía justifica comparar referencias simples, modelos para demanda intermitente y algoritmos de aprendizaje automático robustos a ceros y picos.</w:t>
      </w:r>
    </w:p>
    <w:p w14:paraId="2C77AB73" w14:textId="77777777" w:rsidR="00B302B0" w:rsidRDefault="00000000">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14:paraId="05F92928" w14:textId="77777777" w:rsidR="00B302B0" w:rsidRDefault="00000000">
      <w:pPr>
        <w:pStyle w:val="Ttulo3"/>
      </w:pPr>
      <w:bookmarkStart w:id="69" w:name="_Toc240016180"/>
      <w:r>
        <w:t>Relación con la Inteligencia Artificial</w:t>
      </w:r>
      <w:bookmarkEnd w:id="69"/>
    </w:p>
    <w:p w14:paraId="42AC96DB" w14:textId="77777777" w:rsidR="00B302B0" w:rsidRDefault="00000000">
      <w:r>
        <w:t xml:space="preserve">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w:t>
      </w:r>
      <w:r>
        <w:lastRenderedPageBreak/>
        <w:t>reproducibles, evitando atribuir a la complejidad algorítmica una superioridad que sólo puede demostrarse fuera de muestra.</w:t>
      </w:r>
    </w:p>
    <w:p w14:paraId="722439A8" w14:textId="77777777" w:rsidR="00CF0519" w:rsidRDefault="00691DC4">
      <w:pPr>
        <w:pStyle w:val="Ttulo2"/>
        <w:numPr>
          <w:ilvl w:val="1"/>
          <w:numId w:val="19"/>
        </w:numPr>
      </w:pPr>
      <w:bookmarkStart w:id="70" w:name="_Toc233383589"/>
      <w:bookmarkStart w:id="71" w:name="_Toc240016181"/>
      <w:r>
        <w:t>Modelos de pronóstico: Enfoques estadísticos y Aprendizaje Automático</w:t>
      </w:r>
      <w:bookmarkEnd w:id="70"/>
      <w:bookmarkEnd w:id="71"/>
    </w:p>
    <w:p w14:paraId="72C4C3A9"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01931E50"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w:t>
      </w:r>
      <w:proofErr w:type="spellStart"/>
      <w:r>
        <w:t>Makridakis</w:t>
      </w:r>
      <w:proofErr w:type="spellEnd"/>
      <w:r>
        <w:t xml:space="preserve">, Spiliotis, &amp; </w:t>
      </w:r>
      <w:proofErr w:type="spellStart"/>
      <w:r>
        <w:t>Assimakopoulos</w:t>
      </w:r>
      <w:proofErr w:type="spellEnd"/>
      <w:r>
        <w:t>, 2020).</w:t>
      </w:r>
    </w:p>
    <w:p w14:paraId="03FE968B" w14:textId="77777777" w:rsidR="00CF0519" w:rsidRDefault="00691DC4">
      <w:pPr>
        <w:pStyle w:val="Ttulo3"/>
        <w:numPr>
          <w:ilvl w:val="2"/>
          <w:numId w:val="19"/>
        </w:numPr>
      </w:pPr>
      <w:bookmarkStart w:id="72" w:name="_Toc233383590"/>
      <w:bookmarkStart w:id="73" w:name="_Toc240016182"/>
      <w:r>
        <w:t>Fundamentos Epistemológicos y Matemáticos de los Enfoques Estadísticos Clásicos</w:t>
      </w:r>
      <w:bookmarkEnd w:id="72"/>
      <w:bookmarkEnd w:id="73"/>
    </w:p>
    <w:p w14:paraId="58E1FDCE"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70D2ACB8"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5D390A79"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7053B911"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6EFBDB5"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464D9E66"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AC27A22" w14:textId="77777777" w:rsidR="00B302B0" w:rsidRDefault="00000000">
      <w:r>
        <w:t xml:space="preserve">En series con compras intermitentes, el pronóstico puede descomponerse en dos preguntas: si ocurrirá una compra y cuál será su importe condicionado a que ocurra. El modelo </w:t>
      </w:r>
      <w:proofErr w:type="spellStart"/>
      <w:r>
        <w:t>hurdle</w:t>
      </w:r>
      <w:proofErr w:type="spellEnd"/>
      <w:r>
        <w:t xml:space="preserve"> estima ambas partes por separado y las combina como valor esperado semanal. Esta alternativa se evaluará junto con modelos directos y variantes log1p; su utilidad se juzgará únicamente mediante errores fuera de muestra y no se presumirá por su mayor complejidad.</w:t>
      </w:r>
    </w:p>
    <w:p w14:paraId="01D44458" w14:textId="77777777" w:rsidR="00B302B0" w:rsidRDefault="00000000">
      <w:r>
        <w:lastRenderedPageBreak/>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474E9D37"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p>
    <w:p w14:paraId="2DF21822" w14:textId="77777777" w:rsidR="00CF0519" w:rsidRDefault="00691DC4">
      <w:r>
        <w:t xml:space="preserve">En una microempresa como </w:t>
      </w:r>
      <w:proofErr w:type="spellStart"/>
      <w:r>
        <w:t>Cup&amp;Cake</w:t>
      </w:r>
      <w:proofErr w:type="spellEnd"/>
      <w:r>
        <w:t xml:space="preserv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p>
    <w:p w14:paraId="3B948FF7" w14:textId="77777777" w:rsidR="00CF0519" w:rsidRDefault="00691DC4">
      <w:pPr>
        <w:pStyle w:val="Ttulo3"/>
        <w:numPr>
          <w:ilvl w:val="2"/>
          <w:numId w:val="19"/>
        </w:numPr>
      </w:pPr>
      <w:bookmarkStart w:id="74" w:name="_Toc233383591"/>
      <w:bookmarkStart w:id="75" w:name="_Toc240016183"/>
      <w:r>
        <w:t xml:space="preserve">El Paradigma del Aprendizaje Automático (Machine </w:t>
      </w:r>
      <w:proofErr w:type="spellStart"/>
      <w:r>
        <w:t>Learning</w:t>
      </w:r>
      <w:proofErr w:type="spellEnd"/>
      <w:r>
        <w:t>) en el Pronóstico de Demanda</w:t>
      </w:r>
      <w:bookmarkEnd w:id="74"/>
      <w:bookmarkEnd w:id="75"/>
    </w:p>
    <w:p w14:paraId="4D63D8BC" w14:textId="77777777" w:rsidR="00B302B0" w:rsidRDefault="00000000">
      <w:r>
        <w:t xml:space="preserve">Para la comparación semanal se considerarán modelos parsimoniosos y trazables: regresión Ridge o Lasso, Random Forest y </w:t>
      </w:r>
      <w:proofErr w:type="spellStart"/>
      <w:r>
        <w:t>XGBoost</w:t>
      </w:r>
      <w:proofErr w:type="spellEnd"/>
      <w:r>
        <w:t xml:space="preserve"> o </w:t>
      </w:r>
      <w:proofErr w:type="spellStart"/>
      <w:r>
        <w:t>LightGBM</w:t>
      </w:r>
      <w:proofErr w:type="spellEnd"/>
      <w:r>
        <w:t>. Estos algoritmos pueden incorporar rezagos, promedios móviles, calendario y variables exógenas; su valor deberá demostrarse frente a las líneas base y modelos estadísticos, no asumirse por su complejidad.</w:t>
      </w:r>
    </w:p>
    <w:p w14:paraId="0A7E949E"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182F97" w14:textId="77777777" w:rsidR="00CF0519" w:rsidRDefault="00691DC4">
      <w:r>
        <w:lastRenderedPageBreak/>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7BE6848D"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5578071D"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78B5C0F8"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6FB8D756"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w:t>
      </w:r>
      <w:r>
        <w:lastRenderedPageBreak/>
        <w:t>de variables temporales y comerciales determina la fluctuación real de los ingresos y los requerimientos físicos de abastecimiento.</w:t>
      </w:r>
    </w:p>
    <w:p w14:paraId="2129F827" w14:textId="77777777" w:rsidR="00CF0519" w:rsidRDefault="00691DC4">
      <w:pPr>
        <w:pStyle w:val="Ttulo3"/>
        <w:numPr>
          <w:ilvl w:val="2"/>
          <w:numId w:val="19"/>
        </w:numPr>
      </w:pPr>
      <w:bookmarkStart w:id="76" w:name="_Toc233383592"/>
      <w:bookmarkStart w:id="77" w:name="_Toc240016184"/>
      <w:r>
        <w:t xml:space="preserve">Arquitecturas de Aprendizaje Profundo (Deep </w:t>
      </w:r>
      <w:proofErr w:type="spellStart"/>
      <w:r>
        <w:t>Learning</w:t>
      </w:r>
      <w:proofErr w:type="spellEnd"/>
      <w:r>
        <w:t>) y Redes Neuronales Recurrentes</w:t>
      </w:r>
      <w:bookmarkEnd w:id="76"/>
      <w:bookmarkEnd w:id="77"/>
    </w:p>
    <w:p w14:paraId="6221B80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429D9F70"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33FA5CB0"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26C28CFA"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10A71FC6"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67AB74F"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CD73D5F"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p>
    <w:p w14:paraId="485A401A"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4959F013" w14:textId="77777777" w:rsidR="00CF0519" w:rsidRDefault="00691DC4">
      <w:pPr>
        <w:pStyle w:val="Ttulo3"/>
        <w:numPr>
          <w:ilvl w:val="2"/>
          <w:numId w:val="19"/>
        </w:numPr>
      </w:pPr>
      <w:bookmarkStart w:id="78" w:name="_Toc233383593"/>
      <w:bookmarkStart w:id="79" w:name="_Toc240016185"/>
      <w:r>
        <w:t xml:space="preserve">Confrontación Empírica: Métodos Estadísticos Avanzados vs. Algoritmos de Machine </w:t>
      </w:r>
      <w:proofErr w:type="spellStart"/>
      <w:r>
        <w:t>Learning</w:t>
      </w:r>
      <w:bookmarkEnd w:id="78"/>
      <w:bookmarkEnd w:id="79"/>
      <w:proofErr w:type="spellEnd"/>
    </w:p>
    <w:p w14:paraId="1A5BDF72"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w:t>
      </w:r>
      <w:r>
        <w:lastRenderedPageBreak/>
        <w:t>Competencias M (organizadas por Spyros Makridakis) obligaron a una revisión epistemológica de estos supuestos.</w:t>
      </w:r>
    </w:p>
    <w:p w14:paraId="5197EA63"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4C07A6DD"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5C995063"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00ADD995"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2880E705"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742B8601" w14:textId="77777777" w:rsidR="00CF0519" w:rsidRDefault="00691DC4">
      <w:pPr>
        <w:numPr>
          <w:ilvl w:val="0"/>
          <w:numId w:val="8"/>
        </w:numPr>
      </w:pPr>
      <w:r>
        <w:t xml:space="preserve">Protocolos estrictos de validación temporal mediante </w:t>
      </w:r>
      <w:proofErr w:type="spellStart"/>
      <w:r>
        <w:t>rolling-window</w:t>
      </w:r>
      <w:proofErr w:type="spellEnd"/>
      <w:r>
        <w:t xml:space="preserve"> (ventana deslizante).</w:t>
      </w:r>
    </w:p>
    <w:p w14:paraId="44C0BBE0" w14:textId="77777777" w:rsidR="00CF0519" w:rsidRDefault="00691DC4">
      <w:pPr>
        <w:numPr>
          <w:ilvl w:val="0"/>
          <w:numId w:val="8"/>
        </w:numPr>
      </w:pPr>
      <w:r>
        <w:t>Técnicas matemáticas de regularización para controlar la varianza del modelo.</w:t>
      </w:r>
    </w:p>
    <w:p w14:paraId="30F46B00" w14:textId="77777777" w:rsidR="00CF0519" w:rsidRDefault="00691DC4">
      <w:pPr>
        <w:numPr>
          <w:ilvl w:val="0"/>
          <w:numId w:val="8"/>
        </w:numPr>
      </w:pPr>
      <w:r>
        <w:t>Una meticulosa ingeniería de características que optimice la relación señal-ruido en los conjuntos de datos de entrenamiento.</w:t>
      </w:r>
    </w:p>
    <w:p w14:paraId="2BB9A4AF" w14:textId="77777777" w:rsidR="00CF0519" w:rsidRDefault="00691DC4">
      <w:pPr>
        <w:pStyle w:val="Ttulo3"/>
        <w:numPr>
          <w:ilvl w:val="2"/>
          <w:numId w:val="19"/>
        </w:numPr>
      </w:pPr>
      <w:bookmarkStart w:id="80" w:name="_Toc233383594"/>
      <w:bookmarkStart w:id="81" w:name="_Toc240016186"/>
      <w:r>
        <w:t>Aplicación Crítica al Sector de Productos Perecederos y Repostería Creativa</w:t>
      </w:r>
      <w:bookmarkEnd w:id="80"/>
      <w:bookmarkEnd w:id="81"/>
    </w:p>
    <w:p w14:paraId="0BEFA492"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3892419"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3A8941"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43B068F7"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61B7AA3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5E09DBB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3B3DFBBA"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53EEF40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1461C6"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55F7A95E" w14:textId="77777777" w:rsidR="00CF0519" w:rsidRDefault="00691DC4">
      <w:pPr>
        <w:pStyle w:val="Ttulo2"/>
        <w:numPr>
          <w:ilvl w:val="1"/>
          <w:numId w:val="19"/>
        </w:numPr>
      </w:pPr>
      <w:bookmarkStart w:id="82" w:name="_Toc233383596"/>
      <w:bookmarkStart w:id="83" w:name="_Toc240016187"/>
      <w:r>
        <w:t>Pronóstico en productos perecederos</w:t>
      </w:r>
      <w:bookmarkEnd w:id="82"/>
      <w:bookmarkEnd w:id="83"/>
    </w:p>
    <w:p w14:paraId="19295D15"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2E4B19D" w14:textId="77777777" w:rsidR="00CF0519" w:rsidRDefault="00691DC4">
      <w:pPr>
        <w:pStyle w:val="Ttulo3"/>
        <w:numPr>
          <w:ilvl w:val="2"/>
          <w:numId w:val="19"/>
        </w:numPr>
      </w:pPr>
      <w:bookmarkStart w:id="84" w:name="_Toc233383597"/>
      <w:bookmarkStart w:id="85" w:name="_Toc240016188"/>
      <w:r>
        <w:lastRenderedPageBreak/>
        <w:t>Ontología del Producto Perecedero en la Cadena de Suministro y su Complejidad Analítica</w:t>
      </w:r>
      <w:bookmarkEnd w:id="84"/>
      <w:bookmarkEnd w:id="85"/>
    </w:p>
    <w:p w14:paraId="7A7EBCB5"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B1A627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6E3F5819"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F23A933" w14:textId="77777777" w:rsidR="00CF0519" w:rsidRDefault="00691DC4">
      <w:pPr>
        <w:pStyle w:val="Ttulo3"/>
        <w:numPr>
          <w:ilvl w:val="2"/>
          <w:numId w:val="19"/>
        </w:numPr>
      </w:pPr>
      <w:bookmarkStart w:id="86" w:name="_Toc233383598"/>
      <w:bookmarkStart w:id="87" w:name="_Toc240016189"/>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6"/>
      <w:bookmarkEnd w:id="87"/>
    </w:p>
    <w:p w14:paraId="661ED594"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47F4769E"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8775BCD" w14:textId="77777777" w:rsidR="00CF0519" w:rsidRDefault="00691DC4">
      <w:r>
        <w:t>Este modelo encapsula el dilema fundamental de la toma de decisiones bajo incertidumbre cuando la demanda es una variable aleatoria y el inventario no puede ser trasladado al siguiente periodo.</w:t>
      </w:r>
    </w:p>
    <w:p w14:paraId="66097720"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42BF48C"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7551643D"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E7F8001" w14:textId="77777777"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6F64AF">
        <w:t>(</w:t>
      </w:r>
      <w:r w:rsidR="006F64AF">
        <w:rPr>
          <w:noProof/>
        </w:rPr>
        <w:t>1</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9551D77" w14:textId="77777777" w:rsidTr="00496F77">
        <w:tc>
          <w:tcPr>
            <w:tcW w:w="846" w:type="dxa"/>
          </w:tcPr>
          <w:p w14:paraId="0C5E8C58" w14:textId="77777777" w:rsidR="00496F77" w:rsidRDefault="00496F77" w:rsidP="002A34CB">
            <w:pPr>
              <w:keepNext/>
              <w:jc w:val="center"/>
            </w:pPr>
          </w:p>
        </w:tc>
        <w:tc>
          <w:tcPr>
            <w:tcW w:w="8363" w:type="dxa"/>
          </w:tcPr>
          <w:p w14:paraId="223AC79D"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089BFD" w14:textId="77777777" w:rsidR="00496F77" w:rsidRDefault="00496F77" w:rsidP="00496F77">
            <w:pPr>
              <w:pStyle w:val="Descripcin"/>
            </w:pPr>
            <w:bookmarkStart w:id="88" w:name="xref_ecuacion_01"/>
            <w:bookmarkStart w:id="89" w:name="_Toc238284268"/>
            <w:r>
              <w:t>(</w:t>
            </w:r>
            <w:bookmarkStart w:id="90" w:name="Ec_CostoEstimado"/>
            <w:r w:rsidR="00787D2C">
              <w:fldChar w:fldCharType="begin"/>
            </w:r>
            <w:r w:rsidR="00787D2C" w:rsidRPr="00787D2C">
              <w:instrText>SEQ Ecuacion \* ARABIC</w:instrText>
            </w:r>
            <w:r w:rsidR="00787D2C">
              <w:instrText xml:space="preserve"> </w:instrText>
            </w:r>
            <w:r w:rsidR="00787D2C">
              <w:fldChar w:fldCharType="separate"/>
            </w:r>
            <w:r w:rsidR="006F64AF">
              <w:rPr>
                <w:noProof/>
              </w:rPr>
              <w:t>1</w:t>
            </w:r>
            <w:r w:rsidR="00787D2C">
              <w:fldChar w:fldCharType="end"/>
            </w:r>
            <w:bookmarkEnd w:id="90"/>
            <w:r>
              <w:fldChar w:fldCharType="begin"/>
            </w:r>
            <w:r>
              <w:instrText xml:space="preserve">  </w:instrText>
            </w:r>
            <w:r>
              <w:fldChar w:fldCharType="separate"/>
            </w:r>
            <w:r>
              <w:fldChar w:fldCharType="end"/>
            </w:r>
            <w:r>
              <w:t>)</w:t>
            </w:r>
            <w:bookmarkEnd w:id="88"/>
            <w:bookmarkEnd w:id="89"/>
          </w:p>
        </w:tc>
      </w:tr>
    </w:tbl>
    <w:p w14:paraId="71582EED"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F0D2BFD" w14:textId="77777777" w:rsidR="00CF0519" w:rsidRDefault="00691DC4">
      <w:pPr>
        <w:pStyle w:val="Ttulo3"/>
        <w:numPr>
          <w:ilvl w:val="2"/>
          <w:numId w:val="19"/>
        </w:numPr>
      </w:pPr>
      <w:bookmarkStart w:id="91" w:name="_Toc233383599"/>
      <w:bookmarkStart w:id="92" w:name="_Toc240016190"/>
      <w:r>
        <w:t xml:space="preserve">Variabilidad de la Demanda y </w:t>
      </w:r>
      <w:proofErr w:type="spellStart"/>
      <w:r>
        <w:t>Micro-estacionalidad</w:t>
      </w:r>
      <w:proofErr w:type="spellEnd"/>
      <w:r>
        <w:t xml:space="preserve"> en la Repostería Creativa</w:t>
      </w:r>
      <w:bookmarkEnd w:id="91"/>
      <w:bookmarkEnd w:id="92"/>
    </w:p>
    <w:p w14:paraId="175D6659"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752C2B36"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A82B060"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2B53328"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3C786F0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348562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91E049D" w14:textId="77777777" w:rsidR="00CF0519" w:rsidRDefault="00691DC4">
      <w:r>
        <w:t xml:space="preserve">La coexistencia de eventos calendáricos, variabilidad de montos y posibles relaciones no lineales justifica comparar métodos </w:t>
      </w:r>
      <w:proofErr w:type="spellStart"/>
      <w:r>
        <w:t>univariados</w:t>
      </w:r>
      <w:proofErr w:type="spellEnd"/>
      <w:r>
        <w:t xml:space="preserve">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4FA3CAFC" w14:textId="77777777" w:rsidR="00CF0519" w:rsidRDefault="00691DC4">
      <w:pPr>
        <w:pStyle w:val="Ttulo3"/>
        <w:numPr>
          <w:ilvl w:val="2"/>
          <w:numId w:val="19"/>
        </w:numPr>
      </w:pPr>
      <w:bookmarkStart w:id="93" w:name="_Toc233383600"/>
      <w:bookmarkStart w:id="94" w:name="_Toc240016191"/>
      <w:r>
        <w:t>Impacto Financiero y Medioambiental de la Integración de Modelos Predictivos</w:t>
      </w:r>
      <w:bookmarkEnd w:id="93"/>
      <w:bookmarkEnd w:id="94"/>
    </w:p>
    <w:p w14:paraId="59AEF81E"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2871772F"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23F60936"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0CC2CDE"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23E208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3175BDBC" w14:textId="77777777" w:rsidR="00CF0519" w:rsidRDefault="00691DC4">
      <w:pPr>
        <w:pStyle w:val="Ttulo3"/>
        <w:numPr>
          <w:ilvl w:val="2"/>
          <w:numId w:val="19"/>
        </w:numPr>
      </w:pPr>
      <w:bookmarkStart w:id="95" w:name="_Toc233383601"/>
      <w:bookmarkStart w:id="96" w:name="_Toc240016192"/>
      <w:r>
        <w:t>Desafíos de Integración: Del Algoritmo Matemático a la Ejecución Operativa</w:t>
      </w:r>
      <w:bookmarkEnd w:id="95"/>
      <w:bookmarkEnd w:id="96"/>
    </w:p>
    <w:p w14:paraId="0CFC99EF"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1AA27FC"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7CCD74D"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586C55E6"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4F2849D8"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7A5D5E2"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100B26F5" w14:textId="77777777" w:rsidR="00CF0519" w:rsidRDefault="00691DC4">
      <w:r>
        <w:lastRenderedPageBreak/>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p>
    <w:p w14:paraId="16E22F0B" w14:textId="77777777" w:rsidR="00CF0519" w:rsidRDefault="00691DC4">
      <w:pPr>
        <w:pStyle w:val="Ttulo2"/>
        <w:numPr>
          <w:ilvl w:val="1"/>
          <w:numId w:val="19"/>
        </w:numPr>
      </w:pPr>
      <w:bookmarkStart w:id="97" w:name="_Toc233383603"/>
      <w:bookmarkStart w:id="98" w:name="_Toc240016193"/>
      <w:r>
        <w:t xml:space="preserve">Fundamentos técnicos del modelado predictivo en entornos de </w:t>
      </w:r>
      <w:r>
        <w:rPr>
          <w:i/>
          <w:iCs/>
        </w:rPr>
        <w:t>Small Data</w:t>
      </w:r>
      <w:bookmarkEnd w:id="97"/>
      <w:bookmarkEnd w:id="98"/>
    </w:p>
    <w:p w14:paraId="7E3368A6"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542963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689F488"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6576C77E" w14:textId="77777777" w:rsidR="00CF0519" w:rsidRDefault="00691DC4">
      <w:pPr>
        <w:pStyle w:val="Ttulo3"/>
        <w:numPr>
          <w:ilvl w:val="2"/>
          <w:numId w:val="19"/>
        </w:numPr>
      </w:pPr>
      <w:bookmarkStart w:id="99" w:name="_Toc233383604"/>
      <w:bookmarkStart w:id="100" w:name="_Toc240016194"/>
      <w:r>
        <w:t xml:space="preserve">La Paradoja de la Dimensionalidad y el Fenómeno del </w:t>
      </w:r>
      <w:r>
        <w:rPr>
          <w:i/>
          <w:iCs/>
        </w:rPr>
        <w:t>Small Data</w:t>
      </w:r>
      <w:r>
        <w:t xml:space="preserve"> en la Microempresa</w:t>
      </w:r>
      <w:bookmarkEnd w:id="99"/>
      <w:bookmarkEnd w:id="100"/>
    </w:p>
    <w:p w14:paraId="18D00E8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w:t>
      </w:r>
      <w:r>
        <w:lastRenderedPageBreak/>
        <w:t>pequeños), caracterizado por registros históricos fragmentados, ventanas temporales acotadas, asimetría en la captura de información y una alta proporción de ruido estadístico frente a la señal real del mercado.</w:t>
      </w:r>
    </w:p>
    <w:p w14:paraId="00CB390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F567F8F"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4683A2A" w14:textId="77777777" w:rsidR="00CF0519" w:rsidRDefault="00691DC4">
      <w:pPr>
        <w:pStyle w:val="Ttulo3"/>
        <w:numPr>
          <w:ilvl w:val="2"/>
          <w:numId w:val="19"/>
        </w:numPr>
      </w:pPr>
      <w:bookmarkStart w:id="101" w:name="_Toc233383605"/>
      <w:bookmarkStart w:id="102" w:name="_Toc240016195"/>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101"/>
      <w:bookmarkEnd w:id="102"/>
    </w:p>
    <w:p w14:paraId="2D8C187D"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6F64AF">
        <w:t>(</w:t>
      </w:r>
      <w:r w:rsidR="006F64AF">
        <w:rPr>
          <w:noProof/>
        </w:rPr>
        <w:t>2</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F4FEAD" w14:textId="77777777" w:rsidTr="00F407AF">
        <w:tc>
          <w:tcPr>
            <w:tcW w:w="846" w:type="dxa"/>
          </w:tcPr>
          <w:p w14:paraId="72945095" w14:textId="77777777" w:rsidR="00496F77" w:rsidRDefault="00496F77" w:rsidP="00F407AF">
            <w:pPr>
              <w:keepNext/>
              <w:jc w:val="center"/>
            </w:pPr>
          </w:p>
        </w:tc>
        <w:tc>
          <w:tcPr>
            <w:tcW w:w="8363" w:type="dxa"/>
          </w:tcPr>
          <w:p w14:paraId="3EE44C2B"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574ADC5F" w14:textId="77777777" w:rsidR="00496F77" w:rsidRDefault="00496F77" w:rsidP="00F407AF">
            <w:pPr>
              <w:pStyle w:val="Descripcin"/>
            </w:pPr>
            <w:bookmarkStart w:id="103" w:name="xref_ecuacion_02"/>
            <w:bookmarkStart w:id="104" w:name="_Toc238284269"/>
            <w:r>
              <w:t>(</w:t>
            </w:r>
            <w:r w:rsidR="00787D2C">
              <w:fldChar w:fldCharType="begin"/>
            </w:r>
            <w:r w:rsidR="00787D2C" w:rsidRPr="00787D2C">
              <w:instrText>SEQ Ecuacion \* ARABIC</w:instrText>
            </w:r>
            <w:r w:rsidR="00787D2C">
              <w:fldChar w:fldCharType="separate"/>
            </w:r>
            <w:r w:rsidR="006F64AF">
              <w:rPr>
                <w:noProof/>
              </w:rPr>
              <w:t>2</w:t>
            </w:r>
            <w:r w:rsidR="00787D2C">
              <w:fldChar w:fldCharType="end"/>
            </w:r>
            <w:r>
              <w:t>)</w:t>
            </w:r>
            <w:bookmarkEnd w:id="103"/>
            <w:bookmarkEnd w:id="104"/>
          </w:p>
        </w:tc>
      </w:tr>
    </w:tbl>
    <w:p w14:paraId="6ADB2EB4" w14:textId="77777777" w:rsidR="00CF0519" w:rsidRDefault="00691DC4">
      <w:r>
        <w:t>Donde:</w:t>
      </w:r>
    </w:p>
    <w:p w14:paraId="759B92F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6C621D5E"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B0D80EF"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01805F3"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54A90CCC"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745CDFEC" w14:textId="77777777" w:rsidR="00CF0519" w:rsidRDefault="00691DC4">
      <w:pPr>
        <w:pStyle w:val="Ttulo3"/>
        <w:numPr>
          <w:ilvl w:val="2"/>
          <w:numId w:val="19"/>
        </w:numPr>
      </w:pPr>
      <w:bookmarkStart w:id="105" w:name="_Toc233383606"/>
      <w:bookmarkStart w:id="106" w:name="_Toc240016196"/>
      <w:r>
        <w:t>Estrategias de Regularización y Contracción Matemática para la Parsimonia</w:t>
      </w:r>
      <w:bookmarkEnd w:id="105"/>
      <w:bookmarkEnd w:id="106"/>
    </w:p>
    <w:p w14:paraId="2A075D91"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779D4ED3"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8E5FBF8"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5A005B18"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6F64AF">
        <w:t>(</w:t>
      </w:r>
      <w:r w:rsidR="006F64AF">
        <w:rPr>
          <w:noProof/>
        </w:rPr>
        <w:t>3</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4D1EFA9A" w14:textId="77777777" w:rsidTr="007F4326">
        <w:tc>
          <w:tcPr>
            <w:tcW w:w="846" w:type="dxa"/>
          </w:tcPr>
          <w:p w14:paraId="5AB3872D" w14:textId="77777777" w:rsidR="00235DF5" w:rsidRDefault="00235DF5" w:rsidP="007F4326">
            <w:pPr>
              <w:keepNext/>
              <w:jc w:val="center"/>
            </w:pPr>
          </w:p>
        </w:tc>
        <w:tc>
          <w:tcPr>
            <w:tcW w:w="8363" w:type="dxa"/>
          </w:tcPr>
          <w:p w14:paraId="3455B2E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6BDDEF3" w14:textId="77777777" w:rsidR="00235DF5" w:rsidRDefault="00235DF5" w:rsidP="007F4326">
            <w:pPr>
              <w:pStyle w:val="Descripcin"/>
            </w:pPr>
            <w:bookmarkStart w:id="107" w:name="xref_ecuacion_03"/>
            <w:bookmarkStart w:id="108" w:name="_Toc238284270"/>
            <w:r>
              <w:t>(</w:t>
            </w:r>
            <w:bookmarkStart w:id="109" w:name="Ec_RegLasso"/>
            <w:r>
              <w:fldChar w:fldCharType="begin"/>
            </w:r>
            <w:r w:rsidRPr="00787D2C">
              <w:instrText>SEQ Ecuacion \* ARABIC</w:instrText>
            </w:r>
            <w:r>
              <w:fldChar w:fldCharType="separate"/>
            </w:r>
            <w:r w:rsidR="006F64AF">
              <w:rPr>
                <w:noProof/>
              </w:rPr>
              <w:t>3</w:t>
            </w:r>
            <w:r>
              <w:fldChar w:fldCharType="end"/>
            </w:r>
            <w:bookmarkEnd w:id="109"/>
            <w:r>
              <w:t>)</w:t>
            </w:r>
            <w:bookmarkEnd w:id="107"/>
            <w:bookmarkEnd w:id="108"/>
          </w:p>
        </w:tc>
      </w:tr>
    </w:tbl>
    <w:p w14:paraId="3880B61F"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3CD78460"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32FE2ACC" w14:textId="77777777" w:rsidR="00CF0519" w:rsidRDefault="00691DC4">
      <w:pPr>
        <w:pStyle w:val="Ttulo3"/>
        <w:numPr>
          <w:ilvl w:val="2"/>
          <w:numId w:val="19"/>
        </w:numPr>
      </w:pPr>
      <w:bookmarkStart w:id="110" w:name="_Toc233383607"/>
      <w:bookmarkStart w:id="111" w:name="_Toc240016197"/>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10"/>
      <w:bookmarkEnd w:id="111"/>
    </w:p>
    <w:p w14:paraId="5BBC985E"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6D2E3A31"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217B6728"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16313F07"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p>
    <w:p w14:paraId="7A4BACAE" w14:textId="77777777" w:rsidR="00CF0519" w:rsidRDefault="00691DC4">
      <w:r>
        <w:rPr>
          <w:b/>
          <w:bCs/>
        </w:rPr>
        <w:t>B. Transformaciones Cíclicas de Variables Temporales</w:t>
      </w:r>
    </w:p>
    <w:p w14:paraId="442C97CE" w14:textId="77777777" w:rsidR="00CF0519" w:rsidRDefault="00691DC4">
      <w:r>
        <w:t xml:space="preserve">La demanda semanal de </w:t>
      </w:r>
      <w:proofErr w:type="spellStart"/>
      <w:r>
        <w:t>Cup&amp;Cake</w:t>
      </w:r>
      <w:proofErr w:type="spellEnd"/>
      <w:r>
        <w:t xml:space="preserve"> puede presentar dependencia de la semana del año y del mes. La ingeniería de características puede codificar estos ciclos mediante transformaciones seno-coseno, evitando interpretar como distantes periodos temporalmente adyacentes.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2595382" w14:textId="77777777" w:rsidTr="00AD39BA">
        <w:trPr>
          <w:trHeight w:val="748"/>
        </w:trPr>
        <w:tc>
          <w:tcPr>
            <w:tcW w:w="846" w:type="dxa"/>
          </w:tcPr>
          <w:p w14:paraId="7DC898C4" w14:textId="77777777" w:rsidR="00AD39BA" w:rsidRDefault="00AD39BA" w:rsidP="007F4326">
            <w:pPr>
              <w:keepNext/>
              <w:jc w:val="center"/>
            </w:pPr>
          </w:p>
        </w:tc>
        <w:tc>
          <w:tcPr>
            <w:tcW w:w="8363" w:type="dxa"/>
          </w:tcPr>
          <w:p w14:paraId="13999CBA"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71E596D" w14:textId="77777777" w:rsidR="00AD39BA" w:rsidRDefault="00AD39BA" w:rsidP="007F4326">
            <w:pPr>
              <w:pStyle w:val="Descripcin"/>
            </w:pPr>
            <w:bookmarkStart w:id="112" w:name="xref_ecuacion_04"/>
            <w:bookmarkStart w:id="113" w:name="_Toc238284271"/>
            <w:r>
              <w:t>(</w:t>
            </w:r>
            <w:bookmarkStart w:id="114" w:name="Ec_SenoXCosX"/>
            <w:r>
              <w:fldChar w:fldCharType="begin"/>
            </w:r>
            <w:r w:rsidRPr="00787D2C">
              <w:instrText>SEQ Ecuacion \* ARABIC</w:instrText>
            </w:r>
            <w:r>
              <w:fldChar w:fldCharType="separate"/>
            </w:r>
            <w:r w:rsidR="006F64AF">
              <w:rPr>
                <w:noProof/>
              </w:rPr>
              <w:t>4</w:t>
            </w:r>
            <w:r>
              <w:fldChar w:fldCharType="end"/>
            </w:r>
            <w:bookmarkEnd w:id="114"/>
            <w:r>
              <w:t>)</w:t>
            </w:r>
            <w:bookmarkEnd w:id="112"/>
            <w:bookmarkEnd w:id="113"/>
          </w:p>
        </w:tc>
      </w:tr>
    </w:tbl>
    <w:p w14:paraId="27E582D0"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AD81E36" w14:textId="77777777" w:rsidR="00CF0519" w:rsidRDefault="00691DC4">
      <w:r>
        <w:rPr>
          <w:b/>
          <w:bCs/>
        </w:rPr>
        <w:lastRenderedPageBreak/>
        <w:t>C. Variables Exógenas Booleanas (Días Festivos y Dinámica Quincenal)</w:t>
      </w:r>
    </w:p>
    <w:p w14:paraId="400BBD62"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p>
    <w:p w14:paraId="1D6D222F" w14:textId="77777777" w:rsidR="00CF0519" w:rsidRDefault="00691DC4">
      <w:pPr>
        <w:pStyle w:val="Ttulo3"/>
        <w:numPr>
          <w:ilvl w:val="2"/>
          <w:numId w:val="19"/>
        </w:numPr>
      </w:pPr>
      <w:bookmarkStart w:id="115" w:name="_Toc233383608"/>
      <w:bookmarkStart w:id="116" w:name="_Toc240016198"/>
      <w:r>
        <w:t xml:space="preserve">Validación temporal estricta mediante </w:t>
      </w:r>
      <w:proofErr w:type="spellStart"/>
      <w:r>
        <w:t>rolling-window</w:t>
      </w:r>
      <w:proofErr w:type="spellEnd"/>
      <w:r>
        <w:t xml:space="preserve"> (ventana deslizante)</w:t>
      </w:r>
      <w:bookmarkEnd w:id="115"/>
      <w:bookmarkEnd w:id="116"/>
    </w:p>
    <w:p w14:paraId="7EC526C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6C6DD252" w14:textId="77777777" w:rsidR="00CF0519" w:rsidRDefault="00691DC4">
      <w:r>
        <w:t xml:space="preserve">Para garantizar la estabilidad predictiva en la planeación semanal, la evaluación debe respetar el orden cronológico y evitar la validación cruzada aleatoria. La estrategia seleccionada es </w:t>
      </w:r>
      <w:proofErr w:type="spellStart"/>
      <w:r>
        <w:t>rolling-window</w:t>
      </w:r>
      <w:proofErr w:type="spellEnd"/>
      <w:r>
        <w:t xml:space="preserve"> (ventana deslizante): el modelo se entrena con una cantidad fija de semanas recientes y se evalúa en la semana posterior.</w:t>
      </w:r>
    </w:p>
    <w:p w14:paraId="4C2A83CE"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160F64F5"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7A0CCCA" w14:textId="77777777" w:rsidR="00CF0519" w:rsidRDefault="00691DC4">
      <w:pPr>
        <w:numPr>
          <w:ilvl w:val="0"/>
          <w:numId w:val="15"/>
        </w:numPr>
      </w:pPr>
      <w:r>
        <w:rPr>
          <w:b/>
          <w:bCs/>
        </w:rPr>
        <w:lastRenderedPageBreak/>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1EDD4DA8"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p>
    <w:p w14:paraId="2AF8EB91"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2A71E2BC"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6E13FD97"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0FF48C02"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33ABEFD6" w14:textId="77777777" w:rsidR="00CF0519" w:rsidRDefault="00691DC4">
      <w:r>
        <w:lastRenderedPageBreak/>
        <w:t xml:space="preserve">Para contrarrestar estos obstáculos, el diseño predictivo debe regirse por parsimonia, regularización, ingeniería de características y validación estricta. La simulación mediante </w:t>
      </w:r>
      <w:proofErr w:type="spellStart"/>
      <w:r>
        <w:t>rolling-window</w:t>
      </w:r>
      <w:proofErr w:type="spellEnd"/>
      <w:r>
        <w:t xml:space="preserve"> (ventana deslizante) permite comprobar si el desempeño se sostiene al actualizar el conjunto de entrenamiento con información reciente.</w:t>
      </w:r>
    </w:p>
    <w:p w14:paraId="661CA6AD"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433350E" w14:textId="77777777" w:rsidR="00CF0519" w:rsidRDefault="00691DC4">
      <w:pPr>
        <w:pStyle w:val="Ttulo2"/>
        <w:numPr>
          <w:ilvl w:val="1"/>
          <w:numId w:val="19"/>
        </w:numPr>
      </w:pPr>
      <w:bookmarkStart w:id="117" w:name="_Toc233383610"/>
      <w:bookmarkStart w:id="118" w:name="_Toc240016199"/>
      <w:r>
        <w:t>Métricas de evaluación de modelos predictivos</w:t>
      </w:r>
      <w:bookmarkEnd w:id="117"/>
      <w:bookmarkEnd w:id="118"/>
    </w:p>
    <w:p w14:paraId="6B873DBD"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E586BFA"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p>
    <w:p w14:paraId="61333A73"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p>
    <w:p w14:paraId="05562573"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6F64AF">
        <w:t>(</w:t>
      </w:r>
      <w:r w:rsidR="006F64AF">
        <w:rPr>
          <w:noProof/>
        </w:rPr>
        <w:t>13</w:t>
      </w:r>
      <w:r w:rsidR="006F64AF">
        <w:t>)</w:t>
      </w:r>
      <w:r>
        <w:fldChar w:fldCharType="end"/>
      </w:r>
    </w:p>
    <w:p w14:paraId="54E74DD2" w14:textId="77777777" w:rsidR="00CF0519" w:rsidRDefault="00691DC4">
      <w:pPr>
        <w:pStyle w:val="Ttulo3"/>
        <w:numPr>
          <w:ilvl w:val="2"/>
          <w:numId w:val="19"/>
        </w:numPr>
      </w:pPr>
      <w:bookmarkStart w:id="119" w:name="_Toc240016200"/>
      <w:r>
        <w:t>Fundamentos Epistemológicos de la Medición del Error Predictivo</w:t>
      </w:r>
      <w:bookmarkEnd w:id="119"/>
    </w:p>
    <w:p w14:paraId="48A14F19" w14:textId="77777777" w:rsidR="00CF0519" w:rsidRDefault="00691DC4">
      <w:r>
        <w:t xml:space="preserve">En la construcción de modelos estadísticos y de Aprendizaje Automático, la cuantificación de la exactitud algorítmica no es un mero formalismo matemático, sino el núcleo epistemológico </w:t>
      </w:r>
      <w:r>
        <w:lastRenderedPageBreak/>
        <w:t xml:space="preserve">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6F645BCE"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7822D2FC" w14:textId="77777777" w:rsidR="00CF0519" w:rsidRDefault="00691DC4">
      <w:r>
        <w:t xml:space="preserve">En la ciencia de datos contemporánea, la precisión debe evaluarse estrictamente fuera de muestra mediante </w:t>
      </w:r>
      <w:proofErr w:type="spellStart"/>
      <w:r>
        <w:t>rolling-window</w:t>
      </w:r>
      <w:proofErr w:type="spellEnd"/>
      <w:r>
        <w:t xml:space="preserve"> (ventana deslizante). El modelo se juzga por su capacidad para estimar semanas futuras que no formaron parte de su entrenamiento.</w:t>
      </w:r>
    </w:p>
    <w:p w14:paraId="6B051624" w14:textId="77777777" w:rsidR="00CF0519" w:rsidRDefault="00691DC4">
      <w:r>
        <w:t xml:space="preserve">Para la investigación de </w:t>
      </w:r>
      <w:proofErr w:type="spellStart"/>
      <w:r>
        <w:t>Cup&amp;Cake</w:t>
      </w:r>
      <w:proofErr w:type="spellEnd"/>
      <w:r>
        <w:t>,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iy</m:t>
        </m:r>
        <m:r>
          <m:rPr>
            <m:sty m:val="p"/>
          </m:rPr>
          <w:rPr>
            <w:rFonts w:ascii="Cambria Math" w:eastAsia="Cambria Math" w:hAnsi="Cambria Math" w:cs="Cambria Math"/>
          </w:rPr>
          <m:t> ̂_</m:t>
        </m:r>
        <m:r>
          <w:rPr>
            <w:rFonts w:ascii="Cambria Math" w:eastAsia="Cambria Math" w:hAnsi="Cambria Math" w:cs="Cambria Math"/>
          </w:rPr>
          <m:t>i</m:t>
        </m:r>
      </m:oMath>
    </w:p>
    <w:p w14:paraId="3D2F4203" w14:textId="77777777" w:rsidR="00CF0519" w:rsidRDefault="00691DC4">
      <w:pPr>
        <w:pStyle w:val="Ttulo3"/>
        <w:numPr>
          <w:ilvl w:val="2"/>
          <w:numId w:val="19"/>
        </w:numPr>
      </w:pPr>
      <w:bookmarkStart w:id="120" w:name="_Toc233383612"/>
      <w:bookmarkStart w:id="121" w:name="_Toc240016201"/>
      <w:r>
        <w:t>Error Absoluto Medio (</w:t>
      </w:r>
      <w:r w:rsidRPr="003E740D">
        <w:rPr>
          <w:i/>
          <w:iCs/>
        </w:rPr>
        <w:t>MAE</w:t>
      </w:r>
      <w:r>
        <w:t>) y la Magnitud Lineal del Riesgo Operativo</w:t>
      </w:r>
      <w:bookmarkEnd w:id="120"/>
      <w:bookmarkEnd w:id="121"/>
    </w:p>
    <w:p w14:paraId="59044C53"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r w:rsidR="00C27EEA">
        <w:t>)</w:t>
      </w:r>
      <w:r>
        <w:t>:</w:t>
      </w:r>
    </w:p>
    <w:p w14:paraId="14F0E0D3" w14:textId="77777777" w:rsidR="00CF0519" w:rsidRDefault="00691DC4">
      <w:r>
        <w:t xml:space="preserve">La aplicación del valor absoluto asegura que los errores de sobreestimación (pronosticar por encima de la demanda real) y los errores de subestimación (pronosticar por debajo) no se </w:t>
      </w:r>
      <w:r>
        <w:lastRenderedPageBreak/>
        <w:t xml:space="preserve">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7EDBBDE" w14:textId="77777777" w:rsidR="00CF0519" w:rsidRDefault="00691DC4">
      <w:r>
        <w:rPr>
          <w:b/>
          <w:bCs/>
        </w:rPr>
        <w:t>Implicaciones prácticas para la microempresa:</w:t>
      </w:r>
    </w:p>
    <w:p w14:paraId="764D1CD8" w14:textId="77777777" w:rsidR="00CF0519" w:rsidRDefault="00691DC4">
      <w:r>
        <w:t>El MAE es útil por su interpretabilidad: se expresa en las mismas unidades monetarias del importe semanal de compras y comunica el error promedio sin penalizar de forma desproporcionada los valores extremos.</w:t>
      </w:r>
    </w:p>
    <w:p w14:paraId="07588B93"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p>
    <w:p w14:paraId="6AEF38AD" w14:textId="77777777" w:rsidR="00CF0519" w:rsidRDefault="00691DC4">
      <w:pPr>
        <w:pStyle w:val="Ttulo3"/>
        <w:numPr>
          <w:ilvl w:val="2"/>
          <w:numId w:val="19"/>
        </w:numPr>
      </w:pPr>
      <w:bookmarkStart w:id="122" w:name="_Toc233383613"/>
      <w:bookmarkStart w:id="123" w:name="_Toc240016202"/>
      <w:r>
        <w:t>Raíz del Error Cuadrático Medio (</w:t>
      </w:r>
      <w:r w:rsidRPr="005F720F">
        <w:rPr>
          <w:i/>
          <w:iCs/>
        </w:rPr>
        <w:t>RMSE</w:t>
      </w:r>
      <w:r>
        <w:t>) y la Penalización de Errores Catastróficos</w:t>
      </w:r>
      <w:bookmarkEnd w:id="122"/>
      <w:bookmarkEnd w:id="123"/>
    </w:p>
    <w:p w14:paraId="765E407A"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r w:rsidR="00C27EEA">
        <w:t>)</w:t>
      </w:r>
      <w:r>
        <w:t>:</w:t>
      </w:r>
    </w:p>
    <w:p w14:paraId="18DC7D70"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5DC4E191" w14:textId="77777777" w:rsidR="00CF0519" w:rsidRDefault="00691DC4">
      <w:r>
        <w:rPr>
          <w:b/>
          <w:bCs/>
        </w:rPr>
        <w:t>Implicaciones prácticas para la microempresa:</w:t>
      </w:r>
    </w:p>
    <w:p w14:paraId="650E5423"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71BEA219" w14:textId="77777777" w:rsidR="00CF0519" w:rsidRDefault="00691DC4">
      <w:r>
        <w:lastRenderedPageBreak/>
        <w:t xml:space="preserve">El RMSE es sensible a errores atípicos. Cuando dos modelos presentan MAE </w:t>
      </w:r>
      <w:proofErr w:type="gramStart"/>
      <w:r>
        <w:t>similar</w:t>
      </w:r>
      <w:proofErr w:type="gramEnd"/>
      <w:r>
        <w:t xml:space="preserve"> pero RMSE diferente, el modelo con RMSE menor incurre en menos desviaciones grandes; esta información complementa, pero no sustituye, la revisión operativa de los pronósticos.</w:t>
      </w:r>
    </w:p>
    <w:p w14:paraId="395D7BB0" w14:textId="77777777" w:rsidR="00CF0519" w:rsidRDefault="00691DC4">
      <w:pPr>
        <w:pStyle w:val="Ttulo3"/>
        <w:numPr>
          <w:ilvl w:val="2"/>
          <w:numId w:val="19"/>
        </w:numPr>
      </w:pPr>
      <w:bookmarkStart w:id="124" w:name="_Toc233383614"/>
      <w:bookmarkStart w:id="125" w:name="_Toc240016203"/>
      <w:r>
        <w:t>MAPE como métrica diagnóstica en series con valores cero</w:t>
      </w:r>
      <w:bookmarkEnd w:id="124"/>
      <w:bookmarkEnd w:id="125"/>
    </w:p>
    <w:p w14:paraId="525EEA46"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p>
    <w:p w14:paraId="1E4E6961"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p>
    <w:p w14:paraId="412D81EF" w14:textId="77777777" w:rsidR="00CF0519" w:rsidRDefault="00691DC4">
      <w:r>
        <w:rPr>
          <w:b/>
          <w:bCs/>
        </w:rPr>
        <w:t>Ventajas y patologías matemáticas del MAPE:</w:t>
      </w:r>
    </w:p>
    <w:p w14:paraId="09DE838C"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p>
    <w:p w14:paraId="38693D8B"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p>
    <w:p w14:paraId="386AD35D"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p>
    <w:p w14:paraId="753B76C4" w14:textId="77777777" w:rsidR="00CF0519" w:rsidRDefault="00691DC4">
      <w:pPr>
        <w:pStyle w:val="Ttulo3"/>
        <w:numPr>
          <w:ilvl w:val="2"/>
          <w:numId w:val="19"/>
        </w:numPr>
      </w:pPr>
      <w:bookmarkStart w:id="126" w:name="_Toc233383615"/>
      <w:bookmarkStart w:id="127" w:name="_Toc240016204"/>
      <w:r>
        <w:t xml:space="preserve">Validación de modelos semanales mediante </w:t>
      </w:r>
      <w:proofErr w:type="spellStart"/>
      <w:r>
        <w:t>rolling-window</w:t>
      </w:r>
      <w:proofErr w:type="spellEnd"/>
      <w:r>
        <w:t xml:space="preserve"> (ventana deslizante)</w:t>
      </w:r>
      <w:bookmarkEnd w:id="126"/>
      <w:bookmarkEnd w:id="127"/>
    </w:p>
    <w:p w14:paraId="0548313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xml:space="preserve">. Sin embargo, aplicar este método </w:t>
      </w:r>
      <w:r>
        <w:lastRenderedPageBreak/>
        <w:t>tradicional a datos secuenciales (como el registro histórico de ventas semanales de una microempresa) constituye un error metodológico grave.</w:t>
      </w:r>
    </w:p>
    <w:p w14:paraId="3D940589"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2A51F59" w14:textId="77777777" w:rsidR="00CF0519" w:rsidRDefault="00691DC4">
      <w:r>
        <w:t xml:space="preserve">Para mitigar este problema, se utilizará </w:t>
      </w:r>
      <w:proofErr w:type="spellStart"/>
      <w:r>
        <w:t>rolling-window</w:t>
      </w:r>
      <w:proofErr w:type="spellEnd"/>
      <w:r>
        <w:t xml:space="preserve">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p>
    <w:p w14:paraId="43B09D95" w14:textId="77777777" w:rsidR="00CF0519" w:rsidRDefault="00691DC4">
      <w:r>
        <w:t xml:space="preserve">El mecanismo </w:t>
      </w:r>
      <w:proofErr w:type="spellStart"/>
      <w:r>
        <w:t>rolling-window</w:t>
      </w:r>
      <w:proofErr w:type="spellEnd"/>
      <w:r>
        <w:t xml:space="preserve"> (ventana deslizante) opera con una ventana fija de 52 semanas, un horizonte principal de una semana y un desplazamiento de una semana. El horizonte de cuatro semanas se analizará de forma complementaria para consolidar el presupuesto mensual.</w:t>
      </w:r>
    </w:p>
    <w:p w14:paraId="699A2788" w14:textId="77777777" w:rsidR="00CF0519" w:rsidRDefault="00691DC4">
      <w:pPr>
        <w:numPr>
          <w:ilvl w:val="0"/>
          <w:numId w:val="27"/>
        </w:numPr>
      </w:pPr>
      <w:r>
        <w:rPr>
          <w:b/>
          <w:bCs/>
        </w:rPr>
        <w:t>Definición de la ventana de entrenamiento: cada modelo se ajusta con las 52 semanas inmediatamente anteriores al periodo de prueba.</w:t>
      </w:r>
    </w:p>
    <w:p w14:paraId="59EB7468"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p>
    <w:p w14:paraId="38DD981E"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p>
    <w:p w14:paraId="282184AD"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p>
    <w:p w14:paraId="28EBA928" w14:textId="77777777" w:rsidR="00CF0519" w:rsidRDefault="00691DC4">
      <w:r>
        <w:t xml:space="preserve">La característica definitoria del </w:t>
      </w:r>
      <w:proofErr w:type="spellStart"/>
      <w:r>
        <w:t>rolling-window</w:t>
      </w:r>
      <w:proofErr w:type="spellEnd"/>
      <w:r>
        <w:t xml:space="preserve"> es conservar un tamaño de entrenamiento fijo. Esta decisión prioriza los patrones recientes y permite evaluar la adaptación del modelo ante cambios en ventas, compras, precios o comportamiento comercial.</w:t>
      </w:r>
    </w:p>
    <w:p w14:paraId="73C521DE" w14:textId="77777777" w:rsidR="00CF0519" w:rsidRDefault="00691DC4">
      <w:pPr>
        <w:numPr>
          <w:ilvl w:val="0"/>
          <w:numId w:val="2"/>
        </w:numPr>
      </w:pPr>
      <w:r>
        <w:rPr>
          <w:b/>
          <w:bCs/>
        </w:rPr>
        <w:lastRenderedPageBreak/>
        <w:t>La ventana expansiva se reconoce como una alternativa metodológica, pero no se utilizará en el diseño principal porque incorpora de forma permanente datos antiguos que pueden no representar la operación reciente de la microempresa.</w:t>
      </w:r>
    </w:p>
    <w:p w14:paraId="6CB146A5" w14:textId="77777777" w:rsidR="00CF0519" w:rsidRDefault="00691DC4">
      <w:pPr>
        <w:numPr>
          <w:ilvl w:val="0"/>
          <w:numId w:val="2"/>
        </w:numPr>
      </w:pPr>
      <w:r>
        <w:rPr>
          <w:b/>
          <w:bCs/>
        </w:rPr>
        <w:t xml:space="preserve">Ventana deslizante de tamaño fijo o </w:t>
      </w:r>
      <w:proofErr w:type="spellStart"/>
      <w:r>
        <w:rPr>
          <w:b/>
          <w:bCs/>
        </w:rPr>
        <w:t>rolling-window</w:t>
      </w:r>
      <w:proofErr w:type="spellEnd"/>
      <w:r>
        <w:rPr>
          <w:b/>
          <w:bCs/>
        </w:rPr>
        <w:t>: al incorporar una semana reciente se descarta la más antigua, manteniendo constante el tamaño de muestra. En esta investigación se empleará una ventana de 52 semanas para favorecer la adaptación a condiciones recientes sin perder un ciclo anual completo.</w:t>
      </w:r>
    </w:p>
    <w:p w14:paraId="67F011AA" w14:textId="77777777" w:rsidR="00CF0519" w:rsidRDefault="00691DC4">
      <w:r>
        <w:t xml:space="preserve">En el contexto de la planeación presupuestal semanal, </w:t>
      </w:r>
      <w:proofErr w:type="spellStart"/>
      <w:r>
        <w:t>rolling-window</w:t>
      </w:r>
      <w:proofErr w:type="spellEnd"/>
      <w:r>
        <w:t xml:space="preserve"> permite estimar el error promedio en múltiples periodos de prueba simulados. Las métricas resultantes representan el desempeño esperado cuando el modelo se actualiza de forma continua con la información disponible.</w:t>
      </w:r>
    </w:p>
    <w:p w14:paraId="7FE28BFB" w14:textId="77777777" w:rsidR="00CF0519" w:rsidRDefault="00691DC4">
      <w:pPr>
        <w:pStyle w:val="Ttulo3"/>
        <w:numPr>
          <w:ilvl w:val="2"/>
          <w:numId w:val="19"/>
        </w:numPr>
      </w:pPr>
      <w:bookmarkStart w:id="128" w:name="_Toc233383616"/>
      <w:bookmarkStart w:id="129" w:name="_Toc240016205"/>
      <w:r>
        <w:t>Fusión Multicriterio y Evaluación Contra la Línea Base Empírica</w:t>
      </w:r>
      <w:bookmarkEnd w:id="128"/>
      <w:bookmarkEnd w:id="129"/>
    </w:p>
    <w:p w14:paraId="31212B99"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p>
    <w:p w14:paraId="60925988"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981A526" w14:textId="77777777" w:rsidR="00CF0519" w:rsidRDefault="00691DC4">
      <w:r>
        <w:t xml:space="preserve">En la investigación realizada con los datos de </w:t>
      </w:r>
      <w:proofErr w:type="spellStart"/>
      <w:r>
        <w:t>Cup&amp;Cake</w:t>
      </w:r>
      <w:proofErr w:type="spellEnd"/>
      <w:r>
        <w:t>,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DA98E7A" w14:textId="77777777" w:rsidR="00CF0519" w:rsidRDefault="00691DC4">
      <w:r>
        <w:lastRenderedPageBreak/>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6F64AF">
        <w:t>(</w:t>
      </w:r>
      <w:r w:rsidR="006F64AF">
        <w:rPr>
          <w:noProof/>
        </w:rPr>
        <w:t>11</w:t>
      </w:r>
      <w:r w:rsidR="006F64AF">
        <w:t>)</w:t>
      </w:r>
      <w:r>
        <w:fldChar w:fldCharType="end"/>
      </w:r>
      <w:r>
        <w:t>:</w:t>
      </w:r>
    </w:p>
    <w:p w14:paraId="5CCBB8D5"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0E7EAD68" w14:textId="77777777" w:rsidR="00CF0519" w:rsidRDefault="00691DC4">
      <w:r>
        <w:t xml:space="preserve">La comparación de errores mediante este marco experimental permite valorar si existe una mejora predictiva frente a la regla empírica. La simulación con </w:t>
      </w:r>
      <w:proofErr w:type="spellStart"/>
      <w:r>
        <w:t>rolling-window</w:t>
      </w:r>
      <w:proofErr w:type="spellEnd"/>
      <w:r>
        <w:t xml:space="preserve"> (ventana deslizante) evita que las métricas dependan de una única partición temporal.</w:t>
      </w:r>
    </w:p>
    <w:p w14:paraId="2CCF2315"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2181AE3A" w14:textId="77777777" w:rsidR="00CF0519" w:rsidRDefault="00691DC4">
      <w:r>
        <w:t xml:space="preserve">La integración de </w:t>
      </w:r>
      <w:proofErr w:type="spellStart"/>
      <w:r>
        <w:t>rolling-window</w:t>
      </w:r>
      <w:proofErr w:type="spellEnd"/>
      <w:r>
        <w:t xml:space="preserve"> (ventana deslizante) reduce el riesgo de fuga de información al forzar a los modelos a usar únicamente semanas anteriores para estimar semanas futuras. Así se evalúa su capacidad de generalización bajo incertidumbre semanal.</w:t>
      </w:r>
    </w:p>
    <w:p w14:paraId="0705B97F" w14:textId="77777777" w:rsidR="00CF0519" w:rsidRDefault="00691DC4">
      <w:r>
        <w:t xml:space="preserve">Bajo este marco temporal estricto, MAE y RMSE permiten comparar la magnitud media y la penalización de errores grandes en cada modelo. MAPE se utiliza sólo como diagnóstico complementario, pues las series con numerosos valores cero pueden producir porcentajes </w:t>
      </w:r>
      <w:r>
        <w:lastRenderedPageBreak/>
        <w:t>inestables. Las métricas sirven para seleccionar el modelo que mejor anticipa el presupuesto de abastecimiento, no para calcular directamente inventario o liquidez.</w:t>
      </w:r>
    </w:p>
    <w:p w14:paraId="01A9E920"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6E6115A3" w14:textId="77777777" w:rsidR="00CF0519" w:rsidRDefault="00691DC4">
      <w:pPr>
        <w:pStyle w:val="Ttulo2"/>
        <w:numPr>
          <w:ilvl w:val="1"/>
          <w:numId w:val="19"/>
        </w:numPr>
      </w:pPr>
      <w:bookmarkStart w:id="130" w:name="_Toc233383618"/>
      <w:bookmarkStart w:id="131" w:name="_Toc240016206"/>
      <w:r>
        <w:t>Limitaciones en la adopción de Inteligencia Artificial en microempresas</w:t>
      </w:r>
      <w:bookmarkEnd w:id="130"/>
      <w:bookmarkEnd w:id="131"/>
    </w:p>
    <w:p w14:paraId="1D880415"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6114E02"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60EA54ED"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8C8FCC4"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7195978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12E4372C" w14:textId="77777777" w:rsidR="00CF0519" w:rsidRDefault="00691DC4">
      <w:pPr>
        <w:pStyle w:val="Ttulo3"/>
        <w:numPr>
          <w:ilvl w:val="2"/>
          <w:numId w:val="19"/>
        </w:numPr>
      </w:pPr>
      <w:bookmarkStart w:id="132" w:name="_Toc233383619"/>
      <w:bookmarkStart w:id="133" w:name="_Toc240016207"/>
      <w:r>
        <w:t>Asimetrías Tecnológicas y de Conocimiento en el Estrato Microempresarial</w:t>
      </w:r>
      <w:bookmarkEnd w:id="132"/>
      <w:bookmarkEnd w:id="133"/>
    </w:p>
    <w:p w14:paraId="58254DF4"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w:t>
      </w:r>
      <w:r>
        <w:lastRenderedPageBreak/>
        <w:t xml:space="preserve">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2A2C619C"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3A95A98" w14:textId="77777777" w:rsidR="00CF0519" w:rsidRDefault="00691DC4">
      <w:pPr>
        <w:pStyle w:val="Ttulo3"/>
        <w:numPr>
          <w:ilvl w:val="2"/>
          <w:numId w:val="19"/>
        </w:numPr>
      </w:pPr>
      <w:bookmarkStart w:id="134" w:name="_Toc233383620"/>
      <w:bookmarkStart w:id="135" w:name="_Toc240016208"/>
      <w:r>
        <w:t>Barreras de Infraestructura y el Fenómeno de los Silos Informáticos Analógicos</w:t>
      </w:r>
      <w:bookmarkEnd w:id="134"/>
      <w:bookmarkEnd w:id="135"/>
    </w:p>
    <w:p w14:paraId="1305202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46B06FEF"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79C2FAE3" w14:textId="77777777" w:rsidR="00CF0519" w:rsidRDefault="00691DC4">
      <w:r>
        <w:lastRenderedPageBreak/>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481FD937" w14:textId="77777777" w:rsidR="00CF0519" w:rsidRDefault="00691DC4">
      <w:pPr>
        <w:pStyle w:val="Ttulo3"/>
        <w:numPr>
          <w:ilvl w:val="2"/>
          <w:numId w:val="19"/>
        </w:numPr>
      </w:pPr>
      <w:bookmarkStart w:id="136" w:name="_Toc233383621"/>
      <w:bookmarkStart w:id="137" w:name="_Toc240016209"/>
      <w:r>
        <w:t>Restricciones Presupuestarias y el Costo Total de Propiedad (</w:t>
      </w:r>
      <w:r>
        <w:rPr>
          <w:i/>
          <w:iCs/>
        </w:rPr>
        <w:t>TCO</w:t>
      </w:r>
      <w:r>
        <w:t>) de la Analítica Avanzada</w:t>
      </w:r>
      <w:bookmarkEnd w:id="136"/>
      <w:bookmarkEnd w:id="137"/>
    </w:p>
    <w:p w14:paraId="08DCEB79"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1E42484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FDC15B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93A480D"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xml:space="preserve">) que superan por </w:t>
      </w:r>
      <w:r>
        <w:lastRenderedPageBreak/>
        <w:t>amplio margen el hardware comercial disponible en las oficinas o mostradores de la microempresa.</w:t>
      </w:r>
    </w:p>
    <w:p w14:paraId="7BEAFFA6"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15E76D9" w14:textId="77777777" w:rsidR="00CF0519" w:rsidRDefault="00691DC4">
      <w:pPr>
        <w:pStyle w:val="Ttulo3"/>
        <w:numPr>
          <w:ilvl w:val="2"/>
          <w:numId w:val="19"/>
        </w:numPr>
      </w:pPr>
      <w:bookmarkStart w:id="138" w:name="_Toc233383622"/>
      <w:bookmarkStart w:id="139" w:name="_Toc240016210"/>
      <w:r>
        <w:t>Analfabetismo de Datos (</w:t>
      </w:r>
      <w:r>
        <w:rPr>
          <w:i/>
          <w:iCs/>
        </w:rPr>
        <w:t xml:space="preserve">Data </w:t>
      </w:r>
      <w:proofErr w:type="spellStart"/>
      <w:r>
        <w:rPr>
          <w:i/>
          <w:iCs/>
        </w:rPr>
        <w:t>Literacy</w:t>
      </w:r>
      <w:proofErr w:type="spellEnd"/>
      <w:r>
        <w:t>) y la Brecha Organizacional de Capital Humano</w:t>
      </w:r>
      <w:bookmarkEnd w:id="138"/>
      <w:bookmarkEnd w:id="139"/>
    </w:p>
    <w:p w14:paraId="200219E8"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BA8A02B"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5F154A27"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4ECAA906" w14:textId="77777777" w:rsidR="00CF0519" w:rsidRDefault="00691DC4">
      <w:r>
        <w:lastRenderedPageBreak/>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4FC32E16" w14:textId="77777777" w:rsidR="00CF0519" w:rsidRDefault="00691DC4">
      <w:pPr>
        <w:pStyle w:val="Ttulo3"/>
        <w:numPr>
          <w:ilvl w:val="2"/>
          <w:numId w:val="19"/>
        </w:numPr>
      </w:pPr>
      <w:bookmarkStart w:id="140" w:name="_Toc233383623"/>
      <w:bookmarkStart w:id="141" w:name="_Toc240016211"/>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0"/>
      <w:bookmarkEnd w:id="141"/>
    </w:p>
    <w:p w14:paraId="0DCBD2D8"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5F645B91" w14:textId="77777777" w:rsidR="00CF0519" w:rsidRDefault="00691DC4">
      <w:r>
        <w:t>Este enfoque de democratización se fundamenta en la hibridación de tres habilitadores tecnológicos de código abierto y bajo costo:</w:t>
      </w:r>
    </w:p>
    <w:p w14:paraId="2819C53C"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7FB0566D"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w:t>
      </w:r>
      <w:r>
        <w:lastRenderedPageBreak/>
        <w:t>convencionales en fracciones de segundo, anulando la dependencia de costosos servidores en la nube.</w:t>
      </w:r>
    </w:p>
    <w:p w14:paraId="2AF0865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685D887F"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74A5D61" w14:textId="77777777" w:rsidR="00CF0519" w:rsidRDefault="00691DC4">
      <w:pPr>
        <w:pStyle w:val="Ttulo2"/>
        <w:numPr>
          <w:ilvl w:val="1"/>
          <w:numId w:val="19"/>
        </w:numPr>
      </w:pPr>
      <w:bookmarkStart w:id="142" w:name="_Toc233383624"/>
      <w:bookmarkStart w:id="143" w:name="_Toc240016212"/>
      <w:r>
        <w:t>Conclusión del Marco Teórico</w:t>
      </w:r>
      <w:bookmarkEnd w:id="142"/>
      <w:bookmarkEnd w:id="143"/>
    </w:p>
    <w:p w14:paraId="2AED4C00"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6C8955D8"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6BAF21FF" w14:textId="77777777" w:rsidR="00CF0519" w:rsidRDefault="00691DC4">
      <w:r>
        <w:t xml:space="preserve">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w:t>
      </w:r>
      <w:proofErr w:type="spellStart"/>
      <w:r>
        <w:t>rolling-window</w:t>
      </w:r>
      <w:proofErr w:type="spellEnd"/>
      <w:r>
        <w:t xml:space="preserve"> (ventana deslizante).</w:t>
      </w:r>
    </w:p>
    <w:p w14:paraId="38B82E7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CDA9A2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3959136D"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w:t>
      </w:r>
      <w:r>
        <w:lastRenderedPageBreak/>
        <w:t>de los datos para sustentar el crecimiento y la expansión de capital en las pequeñas unidades económicas de nuestro país.</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proofErr w:type="spellStart"/>
      <w:r>
        <w:lastRenderedPageBreak/>
        <w:t>Cup&amp;Cake</w:t>
      </w:r>
      <w:proofErr w:type="spellEnd"/>
      <w:r>
        <w:t>.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 xml:space="preserve">En el escenario operativo de </w:t>
      </w:r>
      <w:proofErr w:type="spellStart"/>
      <w:r>
        <w:t>Cup&amp;Cake</w:t>
      </w:r>
      <w:proofErr w:type="spellEnd"/>
      <w:r>
        <w:t>,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 xml:space="preserve">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w:t>
      </w:r>
      <w:proofErr w:type="gramStart"/>
      <w:r>
        <w:t>el pronóstico ingenuo estacional de 52 semanas se mantendrán</w:t>
      </w:r>
      <w:proofErr w:type="gramEnd"/>
      <w:r>
        <w:t xml:space="preserve"> como comparadores obligatorios en las mismas ventanas futuras.</w:t>
      </w:r>
    </w:p>
    <w:p w14:paraId="181D9BA3"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 xml:space="preserve">La evaluación utilizará </w:t>
      </w:r>
      <w:proofErr w:type="spellStart"/>
      <w:r>
        <w:t>rolling-window</w:t>
      </w:r>
      <w:proofErr w:type="spellEnd"/>
      <w:r>
        <w:t xml:space="preserve">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w:t>
      </w:r>
      <w:r>
        <w:lastRenderedPageBreak/>
        <w:t xml:space="preserve">generados por </w:t>
      </w:r>
      <w:proofErr w:type="spellStart"/>
      <w:r>
        <w:t>rolling-window</w:t>
      </w:r>
      <w:proofErr w:type="spellEnd"/>
      <w:r>
        <w:t xml:space="preserve">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 xml:space="preserve">Para dar cumplimiento a los objetivos de la investigación, el desarrollo operativo se divide en fases secuenciales: recolección, depuración, agregación semanal, ingeniería de características, modelado, validación </w:t>
      </w:r>
      <w:proofErr w:type="spellStart"/>
      <w:r>
        <w:t>rolling-window</w:t>
      </w:r>
      <w:proofErr w:type="spellEnd"/>
      <w:r>
        <w:t xml:space="preserve">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proofErr w:type="spellStart"/>
      <w:r w:rsidR="00E47AD8" w:rsidRPr="00E47AD8">
        <w:rPr>
          <w:i/>
        </w:rPr>
        <w:t>Datasets</w:t>
      </w:r>
      <w:proofErr w:type="spellEnd"/>
      <w:r>
        <w:t>)</w:t>
      </w:r>
      <w:bookmarkEnd w:id="160"/>
      <w:bookmarkEnd w:id="161"/>
    </w:p>
    <w:p w14:paraId="7F1B7235"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 xml:space="preserve">Al tratarse de series temporales, una partición aleatoria clásica invalidaría el orden cronológico. Por ello, se aplicará </w:t>
      </w:r>
      <w:proofErr w:type="spellStart"/>
      <w:r>
        <w:t>rolling-window</w:t>
      </w:r>
      <w:proofErr w:type="spellEnd"/>
      <w:r>
        <w:t xml:space="preserve"> (ventana deslizante) con una ventana fija de 52 semanas.</w:t>
      </w:r>
    </w:p>
    <w:p w14:paraId="62A9E698" w14:textId="77777777" w:rsidR="00CF0519" w:rsidRDefault="00691DC4">
      <w:r>
        <w:t xml:space="preserve">En cada iteración, el modelo se entrenará con las 52 semanas inmediatamente anteriores y pronosticará la semana siguiente. La ventana avanzará una semana, incorporando el dato más reciente y excluyendo el más antiguo. El ajuste de </w:t>
      </w:r>
      <w:proofErr w:type="spellStart"/>
      <w:r>
        <w:t>hiperparámetros</w:t>
      </w:r>
      <w:proofErr w:type="spellEnd"/>
      <w:r>
        <w:t xml:space="preserve">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40016230"/>
      <w:bookmarkStart w:id="175" w:name="_Toc233383641"/>
      <w:r>
        <w:t>El repositorio</w:t>
      </w:r>
      <w:bookmarkEnd w:id="174"/>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w:t>
      </w:r>
      <w:proofErr w:type="spellStart"/>
      <w:r>
        <w:t>github</w:t>
      </w:r>
      <w:bookmarkEnd w:id="176"/>
      <w:proofErr w:type="spellEnd"/>
    </w:p>
    <w:p w14:paraId="26D6CA0C" w14:textId="77777777" w:rsidR="00CF0519" w:rsidRDefault="00691DC4">
      <w:pPr>
        <w:pStyle w:val="Ttulo2"/>
        <w:numPr>
          <w:ilvl w:val="1"/>
          <w:numId w:val="19"/>
        </w:numPr>
      </w:pPr>
      <w:bookmarkStart w:id="178" w:name="_Toc240016231"/>
      <w:r>
        <w:t>El contexto del negocio</w:t>
      </w:r>
      <w:bookmarkEnd w:id="175"/>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proofErr w:type="gramStart"/>
            <w:r w:rsidRPr="0018121B">
              <w:t>Status</w:t>
            </w:r>
            <w:proofErr w:type="gramEnd"/>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proofErr w:type="spellStart"/>
            <w:r w:rsidRPr="0018121B">
              <w:t>Timestamp</w:t>
            </w:r>
            <w:proofErr w:type="spellEnd"/>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personalizados). El dataset está estructurado en formato tabular (.</w:t>
      </w:r>
      <w:proofErr w:type="spellStart"/>
      <w:r>
        <w:t>csv</w:t>
      </w:r>
      <w:proofErr w:type="spellEnd"/>
      <w:r>
        <w:t>)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60FE586"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 xml:space="preserve">Conjunto de datos de variables exógenas (Contexto Tizayuca, </w:t>
      </w:r>
      <w:proofErr w:type="spellStart"/>
      <w:r w:rsidRPr="00DF5A41">
        <w:t>Hgo</w:t>
      </w:r>
      <w:proofErr w:type="spellEnd"/>
      <w:r w:rsidRPr="00DF5A41">
        <w:t>.)</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proofErr w:type="spellStart"/>
            <w:r>
              <w:t>EsFestivoMexicano</w:t>
            </w:r>
            <w:proofErr w:type="spellEnd"/>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proofErr w:type="spellStart"/>
            <w:r>
              <w:t>EsFechaPago</w:t>
            </w:r>
            <w:proofErr w:type="spellEnd"/>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proofErr w:type="spellStart"/>
            <w:r>
              <w:t>TemperaturaMax</w:t>
            </w:r>
            <w:proofErr w:type="spellEnd"/>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proofErr w:type="spellStart"/>
            <w:r>
              <w:t>TemperaturaMin</w:t>
            </w:r>
            <w:proofErr w:type="spellEnd"/>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proofErr w:type="spellStart"/>
            <w:r>
              <w:t>NacimientosIndice</w:t>
            </w:r>
            <w:proofErr w:type="spellEnd"/>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r w:rsidR="006F64AF">
              <w:fldChar w:fldCharType="begin"/>
            </w:r>
            <w:r w:rsidR="006F64AF">
              <w:instrText xml:space="preserve"> SEQ Ecuacion \* ARABIC </w:instrText>
            </w:r>
            <w:r w:rsidR="006F64AF">
              <w:fldChar w:fldCharType="separate"/>
            </w:r>
            <w:r w:rsidR="006F64AF">
              <w:rPr>
                <w:noProof/>
              </w:rPr>
              <w:t>5</w:t>
            </w:r>
            <w:r w:rsidR="006F64AF">
              <w:rPr>
                <w:noProof/>
              </w:rPr>
              <w:fldChar w:fldCharType="end"/>
            </w:r>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w:t>
      </w:r>
      <w:proofErr w:type="spellStart"/>
      <w:r>
        <w:t>Hgo</w:t>
      </w:r>
      <w:proofErr w:type="spellEnd"/>
      <w:r>
        <w:t>.)</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proofErr w:type="spellStart"/>
            <w:r w:rsidRPr="0099356C">
              <w:t>EsFestivoMexicano</w:t>
            </w:r>
            <w:proofErr w:type="spellEnd"/>
          </w:p>
          <w:p w14:paraId="51CA13BA" w14:textId="77777777" w:rsidR="0099356C" w:rsidRPr="0099356C" w:rsidRDefault="002C19AA" w:rsidP="003131E9">
            <w:pPr>
              <w:pStyle w:val="TablaTesis"/>
            </w:pPr>
            <w:proofErr w:type="spellStart"/>
            <w:r w:rsidRPr="0099356C">
              <w:t>EsFechaPago</w:t>
            </w:r>
            <w:proofErr w:type="spellEnd"/>
          </w:p>
          <w:p w14:paraId="50639D56" w14:textId="77777777" w:rsidR="0099356C" w:rsidRPr="0099356C" w:rsidRDefault="002C19AA" w:rsidP="003131E9">
            <w:pPr>
              <w:pStyle w:val="TablaTesis"/>
            </w:pPr>
            <w:proofErr w:type="spellStart"/>
            <w:r w:rsidRPr="0099356C">
              <w:t>TemperaturaMax</w:t>
            </w:r>
            <w:proofErr w:type="spellEnd"/>
          </w:p>
          <w:p w14:paraId="1897D31F" w14:textId="77777777" w:rsidR="0099356C" w:rsidRPr="0099356C" w:rsidRDefault="002C19AA" w:rsidP="003131E9">
            <w:pPr>
              <w:pStyle w:val="TablaTesis"/>
            </w:pPr>
            <w:proofErr w:type="spellStart"/>
            <w:r w:rsidRPr="0099356C">
              <w:t>TemperaturaMin</w:t>
            </w:r>
            <w:proofErr w:type="spellEnd"/>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proofErr w:type="spellStart"/>
            <w:r w:rsidRPr="0099356C">
              <w:t>INPC_mes</w:t>
            </w:r>
            <w:proofErr w:type="spellEnd"/>
          </w:p>
          <w:p w14:paraId="7CF4F94E" w14:textId="77777777" w:rsidR="0099356C" w:rsidRDefault="002C19AA" w:rsidP="003131E9">
            <w:pPr>
              <w:pStyle w:val="TablaTesis"/>
            </w:pPr>
            <w:proofErr w:type="spellStart"/>
            <w:r w:rsidRPr="0099356C">
              <w:t>INPC_base</w:t>
            </w:r>
            <w:proofErr w:type="spellEnd"/>
          </w:p>
          <w:p w14:paraId="5D0D2696" w14:textId="77777777" w:rsidR="002C19AA" w:rsidRPr="0099356C" w:rsidRDefault="002C19AA" w:rsidP="003131E9">
            <w:pPr>
              <w:pStyle w:val="TablaTesis"/>
            </w:pPr>
            <w:proofErr w:type="spellStart"/>
            <w:r w:rsidRPr="0099356C">
              <w:t>FactorAjuste</w:t>
            </w:r>
            <w:proofErr w:type="spellEnd"/>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proofErr w:type="spellStart"/>
            <w:r w:rsidRPr="0099356C">
              <w:lastRenderedPageBreak/>
              <w:t>UnidadMedida</w:t>
            </w:r>
            <w:proofErr w:type="spellEnd"/>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proofErr w:type="spellStart"/>
            <w:r w:rsidRPr="0099356C">
              <w:t>MontoNominal</w:t>
            </w:r>
            <w:proofErr w:type="spellEnd"/>
          </w:p>
          <w:p w14:paraId="5EBD4F30" w14:textId="77777777" w:rsidR="00D53773" w:rsidRDefault="002C19AA" w:rsidP="003131E9">
            <w:pPr>
              <w:pStyle w:val="TablaTesis"/>
            </w:pPr>
            <w:proofErr w:type="spellStart"/>
            <w:r w:rsidRPr="0099356C">
              <w:t>MontoRealAjustado</w:t>
            </w:r>
            <w:proofErr w:type="spellEnd"/>
          </w:p>
          <w:p w14:paraId="1F93DC49" w14:textId="77777777" w:rsidR="00D53773" w:rsidRDefault="002C19AA" w:rsidP="003131E9">
            <w:pPr>
              <w:pStyle w:val="TablaTesis"/>
            </w:pPr>
            <w:proofErr w:type="spellStart"/>
            <w:r w:rsidRPr="0099356C">
              <w:t>PrecioUnitarioNominal</w:t>
            </w:r>
            <w:proofErr w:type="spellEnd"/>
          </w:p>
          <w:p w14:paraId="0676A0B5" w14:textId="77777777" w:rsidR="00D53773" w:rsidRDefault="002C19AA" w:rsidP="003131E9">
            <w:pPr>
              <w:pStyle w:val="TablaTesis"/>
            </w:pPr>
            <w:proofErr w:type="spellStart"/>
            <w:r w:rsidRPr="0099356C">
              <w:t>PrecioUnitarioRealAjustado</w:t>
            </w:r>
            <w:proofErr w:type="spellEnd"/>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proofErr w:type="spellStart"/>
            <w:r w:rsidRPr="0099356C">
              <w:t>NumeroRegistrosCompra</w:t>
            </w:r>
            <w:proofErr w:type="spellEnd"/>
          </w:p>
          <w:p w14:paraId="7288B743" w14:textId="77777777" w:rsidR="00D53773" w:rsidRDefault="002C19AA" w:rsidP="003131E9">
            <w:pPr>
              <w:pStyle w:val="TablaTesis"/>
            </w:pPr>
            <w:proofErr w:type="spellStart"/>
            <w:r w:rsidRPr="0099356C">
              <w:t>TotalNominal</w:t>
            </w:r>
            <w:proofErr w:type="spellEnd"/>
          </w:p>
          <w:p w14:paraId="01EB8A44" w14:textId="77777777" w:rsidR="00D53773" w:rsidRDefault="002C19AA" w:rsidP="003131E9">
            <w:pPr>
              <w:pStyle w:val="TablaTesis"/>
            </w:pPr>
            <w:proofErr w:type="spellStart"/>
            <w:r w:rsidRPr="0099356C">
              <w:t>TotalRealAjustado</w:t>
            </w:r>
            <w:proofErr w:type="spellEnd"/>
          </w:p>
          <w:p w14:paraId="44240F2C"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proofErr w:type="spellStart"/>
            <w:r w:rsidRPr="0099356C">
              <w:t>PedidosUnicos</w:t>
            </w:r>
            <w:proofErr w:type="spellEnd"/>
          </w:p>
          <w:p w14:paraId="741AC430" w14:textId="77777777" w:rsidR="00D53773" w:rsidRDefault="002C19AA" w:rsidP="003131E9">
            <w:pPr>
              <w:pStyle w:val="TablaTesis"/>
            </w:pPr>
            <w:proofErr w:type="spellStart"/>
            <w:r w:rsidRPr="0099356C">
              <w:t>ImporteNominal</w:t>
            </w:r>
            <w:proofErr w:type="spellEnd"/>
          </w:p>
          <w:p w14:paraId="41E5662A" w14:textId="77777777" w:rsidR="00D53773" w:rsidRDefault="002C19AA" w:rsidP="003131E9">
            <w:pPr>
              <w:pStyle w:val="TablaTesis"/>
            </w:pPr>
            <w:proofErr w:type="spellStart"/>
            <w:r w:rsidRPr="0099356C">
              <w:t>ImporteRealAjustado</w:t>
            </w:r>
            <w:proofErr w:type="spellEnd"/>
          </w:p>
          <w:p w14:paraId="188D357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7C4A139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0DF5D01" w14:textId="77777777" w:rsidR="00D53773" w:rsidRDefault="002C19AA" w:rsidP="003131E9">
            <w:pPr>
              <w:pStyle w:val="TablaTesis"/>
            </w:pPr>
            <w:proofErr w:type="spellStart"/>
            <w:r w:rsidRPr="0099356C">
              <w:t>EnvioNominal</w:t>
            </w:r>
            <w:proofErr w:type="spellEnd"/>
          </w:p>
          <w:p w14:paraId="53FFC9A7" w14:textId="77777777" w:rsidR="00D53773" w:rsidRDefault="002C19AA" w:rsidP="003131E9">
            <w:pPr>
              <w:pStyle w:val="TablaTesis"/>
            </w:pPr>
            <w:proofErr w:type="spellStart"/>
            <w:r w:rsidRPr="0099356C">
              <w:t>EnvioReal</w:t>
            </w:r>
            <w:proofErr w:type="spellEnd"/>
          </w:p>
          <w:p w14:paraId="16E7E0C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58A7660B" w14:textId="77777777" w:rsidR="00D53773" w:rsidRDefault="002C19AA" w:rsidP="003131E9">
            <w:pPr>
              <w:pStyle w:val="TablaTesis"/>
            </w:pPr>
            <w:proofErr w:type="spellStart"/>
            <w:r w:rsidRPr="0099356C">
              <w:t>CantidadTotal</w:t>
            </w:r>
            <w:proofErr w:type="spellEnd"/>
          </w:p>
          <w:p w14:paraId="2902AAD6" w14:textId="77777777" w:rsidR="00D53773" w:rsidRDefault="002C19AA" w:rsidP="003131E9">
            <w:pPr>
              <w:pStyle w:val="TablaTesis"/>
            </w:pPr>
            <w:proofErr w:type="spellStart"/>
            <w:r w:rsidRPr="0099356C">
              <w:t>TotalItems</w:t>
            </w:r>
            <w:proofErr w:type="spellEnd"/>
          </w:p>
          <w:p w14:paraId="66608A5D" w14:textId="77777777" w:rsidR="00D53773" w:rsidRDefault="002C19AA" w:rsidP="003131E9">
            <w:pPr>
              <w:pStyle w:val="TablaTesis"/>
            </w:pPr>
            <w:proofErr w:type="spellStart"/>
            <w:r w:rsidRPr="0099356C">
              <w:t>ClientesUnicos</w:t>
            </w:r>
            <w:proofErr w:type="spellEnd"/>
          </w:p>
          <w:p w14:paraId="20A8FB96"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w:t>
      </w:r>
      <w:proofErr w:type="spellStart"/>
      <w:r>
        <w:t>Feature</w:t>
      </w:r>
      <w:proofErr w:type="spellEnd"/>
      <w:r>
        <w:t xml:space="preserve"> </w:t>
      </w:r>
      <w:proofErr w:type="spellStart"/>
      <w:r>
        <w:t>Engineering</w:t>
      </w:r>
      <w:proofErr w:type="spellEnd"/>
      <w:r>
        <w:t>)</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r w:rsidR="006F64AF">
              <w:fldChar w:fldCharType="begin"/>
            </w:r>
            <w:r w:rsidR="006F64AF">
              <w:instrText xml:space="preserve"> SEQ Ecuacion \* ARABIC </w:instrText>
            </w:r>
            <w:r w:rsidR="006F64AF">
              <w:fldChar w:fldCharType="separate"/>
            </w:r>
            <w:r w:rsidR="006F64AF">
              <w:rPr>
                <w:noProof/>
              </w:rPr>
              <w:t>6</w:t>
            </w:r>
            <w:r w:rsidR="006F64AF">
              <w:rPr>
                <w:noProof/>
              </w:rPr>
              <w:fldChar w:fldCharType="end"/>
            </w:r>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r w:rsidR="006F64AF">
              <w:fldChar w:fldCharType="begin"/>
            </w:r>
            <w:r w:rsidR="006F64AF">
              <w:instrText xml:space="preserve"> SEQ Ecuacion \* ARABIC </w:instrText>
            </w:r>
            <w:r w:rsidR="006F64AF">
              <w:fldChar w:fldCharType="separate"/>
            </w:r>
            <w:r w:rsidR="006F64AF">
              <w:rPr>
                <w:noProof/>
              </w:rPr>
              <w:t>7</w:t>
            </w:r>
            <w:r w:rsidR="006F64AF">
              <w:rPr>
                <w:noProof/>
              </w:rPr>
              <w:fldChar w:fldCharType="end"/>
            </w:r>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r w:rsidR="006F64AF">
              <w:fldChar w:fldCharType="begin"/>
            </w:r>
            <w:r w:rsidR="006F64AF">
              <w:instrText xml:space="preserve"> SEQ Ecuacion \* ARABIC </w:instrText>
            </w:r>
            <w:r w:rsidR="006F64AF">
              <w:fldChar w:fldCharType="separate"/>
            </w:r>
            <w:r w:rsidR="006F64AF">
              <w:rPr>
                <w:noProof/>
              </w:rPr>
              <w:t>8</w:t>
            </w:r>
            <w:r w:rsidR="006F64AF">
              <w:rPr>
                <w:noProof/>
              </w:rPr>
              <w:fldChar w:fldCharType="end"/>
            </w:r>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r w:rsidR="006F64AF">
              <w:fldChar w:fldCharType="begin"/>
            </w:r>
            <w:r w:rsidR="006F64AF">
              <w:instrText xml:space="preserve"> SEQ Ecuacion \* ARABIC </w:instrText>
            </w:r>
            <w:r w:rsidR="006F64AF">
              <w:fldChar w:fldCharType="separate"/>
            </w:r>
            <w:r w:rsidR="006F64AF">
              <w:rPr>
                <w:noProof/>
              </w:rPr>
              <w:t>9</w:t>
            </w:r>
            <w:r w:rsidR="006F64AF">
              <w:rPr>
                <w:noProof/>
              </w:rPr>
              <w:fldChar w:fldCharType="end"/>
            </w:r>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 xml:space="preserve">Completa y </w:t>
            </w:r>
            <w:proofErr w:type="spellStart"/>
            <w:r>
              <w:t>univariada</w:t>
            </w:r>
            <w:proofErr w:type="spellEnd"/>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w:t>
      </w:r>
      <w:proofErr w:type="spellStart"/>
      <w:r>
        <w:rPr>
          <w:i w:val="0"/>
        </w:rPr>
        <w:t>Origin</w:t>
      </w:r>
      <w:proofErr w:type="spellEnd"/>
      <w:r>
        <w:rPr>
          <w:i w:val="0"/>
        </w:rPr>
        <w:t>.</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r w:rsidR="006F64AF">
              <w:fldChar w:fldCharType="begin"/>
            </w:r>
            <w:r w:rsidR="006F64AF">
              <w:instrText xml:space="preserve"> SEQ Ecuacion \* ARABIC </w:instrText>
            </w:r>
            <w:r w:rsidR="006F64AF">
              <w:fldChar w:fldCharType="separate"/>
            </w:r>
            <w:r w:rsidR="006F64AF">
              <w:rPr>
                <w:noProof/>
              </w:rPr>
              <w:t>10</w:t>
            </w:r>
            <w:r w:rsidR="006F64AF">
              <w:rPr>
                <w:noProof/>
              </w:rPr>
              <w:fldChar w:fldCharType="end"/>
            </w:r>
            <w:r>
              <w:t>)</w:t>
            </w:r>
            <w:bookmarkEnd w:id="246"/>
          </w:p>
        </w:tc>
      </w:tr>
    </w:tbl>
    <w:p w14:paraId="6E854B4E" w14:textId="77777777" w:rsidR="00801477" w:rsidRDefault="00542948">
      <w:pPr>
        <w:jc w:val="center"/>
      </w:pPr>
      <w:r>
        <w:rPr>
          <w:i/>
        </w:rPr>
        <w:t>Ecuación - Formalización de la validación Rolling-</w:t>
      </w:r>
      <w:proofErr w:type="spellStart"/>
      <w:r>
        <w:rPr>
          <w:i/>
        </w:rPr>
        <w:t>Origin</w:t>
      </w:r>
      <w:proofErr w:type="spellEnd"/>
      <w:r>
        <w:rPr>
          <w:i/>
        </w:rPr>
        <w:t>.</w:t>
      </w:r>
    </w:p>
    <w:p w14:paraId="0AA6E6ED"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w:t>
      </w:r>
      <w:proofErr w:type="spellStart"/>
      <w:r>
        <w:rPr>
          <w:i w:val="0"/>
        </w:rPr>
        <w:t>Cup&amp;Cake</w:t>
      </w:r>
      <w:proofErr w:type="spellEnd"/>
      <w:r>
        <w:rPr>
          <w:i w:val="0"/>
        </w:rPr>
        <w:t>.</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w:t>
      </w:r>
      <w:r>
        <w:lastRenderedPageBreak/>
        <w:t>significativos. En consecuencia, H1 no queda respaldada con la evidencia disponible; el resultado debe comunicarse como comparación descriptiva y no como demostración de superioridad.</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r w:rsidR="006F64AF">
              <w:fldChar w:fldCharType="begin"/>
            </w:r>
            <w:r w:rsidR="006F64AF">
              <w:instrText xml:space="preserve"> SEQ Ecuacion \* ARABIC </w:instrText>
            </w:r>
            <w:r w:rsidR="006F64AF">
              <w:fldChar w:fldCharType="separate"/>
            </w:r>
            <w:r w:rsidR="006F64AF">
              <w:rPr>
                <w:noProof/>
              </w:rPr>
              <w:t>11</w:t>
            </w:r>
            <w:r w:rsidR="006F64AF">
              <w:rPr>
                <w:noProof/>
              </w:rPr>
              <w:fldChar w:fldCharType="end"/>
            </w:r>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r w:rsidR="006F64AF">
              <w:fldChar w:fldCharType="begin"/>
            </w:r>
            <w:r w:rsidR="006F64AF">
              <w:instrText xml:space="preserve"> SEQ Ecuacion \* ARABIC </w:instrText>
            </w:r>
            <w:r w:rsidR="006F64AF">
              <w:fldChar w:fldCharType="separate"/>
            </w:r>
            <w:r w:rsidR="006F64AF">
              <w:rPr>
                <w:noProof/>
              </w:rPr>
              <w:t>12</w:t>
            </w:r>
            <w:r w:rsidR="006F64AF">
              <w:rPr>
                <w:noProof/>
              </w:rPr>
              <w:fldChar w:fldCharType="end"/>
            </w:r>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r w:rsidR="006F64AF">
              <w:fldChar w:fldCharType="begin"/>
            </w:r>
            <w:r w:rsidR="006F64AF">
              <w:instrText xml:space="preserve"> SEQ Ecuacion \* ARABIC </w:instrText>
            </w:r>
            <w:r w:rsidR="006F64AF">
              <w:fldChar w:fldCharType="separate"/>
            </w:r>
            <w:r w:rsidR="006F64AF">
              <w:rPr>
                <w:noProof/>
              </w:rPr>
              <w:t>13</w:t>
            </w:r>
            <w:r w:rsidR="006F64AF">
              <w:rPr>
                <w:noProof/>
              </w:rPr>
              <w:fldChar w:fldCharType="end"/>
            </w:r>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r w:rsidR="006F64AF">
              <w:fldChar w:fldCharType="begin"/>
            </w:r>
            <w:r w:rsidR="006F64AF">
              <w:instrText xml:space="preserve"> SEQ Ecuacion \* ARABIC </w:instrText>
            </w:r>
            <w:r w:rsidR="006F64AF">
              <w:fldChar w:fldCharType="separate"/>
            </w:r>
            <w:r w:rsidR="006F64AF">
              <w:rPr>
                <w:noProof/>
              </w:rPr>
              <w:t>14</w:t>
            </w:r>
            <w:r w:rsidR="006F64AF">
              <w:rPr>
                <w:noProof/>
              </w:rPr>
              <w:fldChar w:fldCharType="end"/>
            </w:r>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r w:rsidR="006F64AF">
              <w:fldChar w:fldCharType="begin"/>
            </w:r>
            <w:r w:rsidR="006F64AF">
              <w:instrText xml:space="preserve"> SEQ Ecuacion \* ARABIC </w:instrText>
            </w:r>
            <w:r w:rsidR="006F64AF">
              <w:fldChar w:fldCharType="separate"/>
            </w:r>
            <w:r w:rsidR="006F64AF">
              <w:rPr>
                <w:noProof/>
              </w:rPr>
              <w:t>15</w:t>
            </w:r>
            <w:r w:rsidR="006F64AF">
              <w:rPr>
                <w:noProof/>
              </w:rPr>
              <w:fldChar w:fldCharType="end"/>
            </w:r>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34C7D3D"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7E4F864"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261A083E"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1324216B"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591E2680"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4B7DA02"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6030AB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2DBE91EE"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17F0E3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AFAC0D8"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6D57B4AC"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4FDF0" w14:textId="77777777" w:rsidR="00DF54B3" w:rsidRDefault="00DF54B3">
      <w:pPr>
        <w:spacing w:before="0" w:after="0" w:line="240" w:lineRule="auto"/>
      </w:pPr>
      <w:r>
        <w:separator/>
      </w:r>
    </w:p>
  </w:endnote>
  <w:endnote w:type="continuationSeparator" w:id="0">
    <w:p w14:paraId="57D27BC8" w14:textId="77777777" w:rsidR="00DF54B3" w:rsidRDefault="00DF54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E2FC9FF9-F154-41B6-B026-8B20C622B9BC}"/>
  </w:font>
  <w:font w:name="Cambria">
    <w:panose1 w:val="02040503050406030204"/>
    <w:charset w:val="00"/>
    <w:family w:val="roman"/>
    <w:pitch w:val="variable"/>
    <w:sig w:usb0="E00006FF" w:usb1="420024FF" w:usb2="02000000" w:usb3="00000000" w:csb0="0000019F" w:csb1="00000000"/>
    <w:embedRegular r:id="rId2" w:fontKey="{D8CF4538-405B-470A-8A4C-850110C059D1}"/>
  </w:font>
  <w:font w:name="Cambria Math">
    <w:panose1 w:val="02040503050406030204"/>
    <w:charset w:val="00"/>
    <w:family w:val="roman"/>
    <w:pitch w:val="variable"/>
    <w:sig w:usb0="E00006FF" w:usb1="420024FF" w:usb2="02000000" w:usb3="00000000" w:csb0="0000019F" w:csb1="00000000"/>
    <w:embedRegular r:id="rId3" w:fontKey="{D5DF6149-8D45-4A61-8131-5B28F9CCF38D}"/>
    <w:embedItalic r:id="rId4" w:fontKey="{CBEDA83A-B5E7-427C-A0EB-87AAD4BE8C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62BE6" w14:textId="77777777" w:rsidR="00DF54B3" w:rsidRDefault="00DF54B3">
      <w:pPr>
        <w:spacing w:before="0" w:after="0" w:line="240" w:lineRule="auto"/>
      </w:pPr>
      <w:r>
        <w:separator/>
      </w:r>
    </w:p>
  </w:footnote>
  <w:footnote w:type="continuationSeparator" w:id="0">
    <w:p w14:paraId="5DA930AA" w14:textId="77777777" w:rsidR="00DF54B3" w:rsidRDefault="00DF54B3">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1"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3"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3"/>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8"/>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0"/>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5"/>
  </w:num>
  <w:num w:numId="26" w16cid:durableId="2069528142">
    <w:abstractNumId w:val="33"/>
  </w:num>
  <w:num w:numId="27" w16cid:durableId="1822041441">
    <w:abstractNumId w:val="34"/>
  </w:num>
  <w:num w:numId="28" w16cid:durableId="614556133">
    <w:abstractNumId w:val="2"/>
  </w:num>
  <w:num w:numId="29" w16cid:durableId="735010310">
    <w:abstractNumId w:val="51"/>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49"/>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2"/>
  </w:num>
  <w:num w:numId="54" w16cid:durableId="125468384">
    <w:abstractNumId w:val="17"/>
  </w:num>
  <w:num w:numId="55" w16cid:durableId="1805005026">
    <w:abstractNumId w:val="54"/>
  </w:num>
  <w:num w:numId="56" w16cid:durableId="1675911240">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74A29"/>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E7F68"/>
    <w:rsid w:val="006F0A2C"/>
    <w:rsid w:val="006F64AF"/>
    <w:rsid w:val="00703A58"/>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467"/>
    <w:rsid w:val="00DF4F34"/>
    <w:rsid w:val="00DF54B3"/>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Pages>
  <Words>45366</Words>
  <Characters>249513</Characters>
  <Application>Microsoft Office Word</Application>
  <DocSecurity>0</DocSecurity>
  <Lines>2079</Lines>
  <Paragraphs>588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10</cp:revision>
  <cp:lastPrinted>2026-08-23T00:43:00Z</cp:lastPrinted>
  <dcterms:created xsi:type="dcterms:W3CDTF">2026-09-11T21:14:00Z</dcterms:created>
  <dcterms:modified xsi:type="dcterms:W3CDTF">2026-09-12T03:12:00Z</dcterms:modified>
</cp:coreProperties>
</file>