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5DE5C248"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525B2C3B"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0EBCB8BD"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7907F450" w14:textId="77777777" w:rsidR="00CF0519" w:rsidRDefault="00691DC4">
      <w:r>
        <w:t xml:space="preserve">En este sentido, la presente investigación contribuye mediante un estudio de caso aplicado en </w:t>
      </w:r>
      <w:proofErr w:type="spellStart"/>
      <w:r>
        <w:t>Cup&amp;Cake</w:t>
      </w:r>
      <w:proofErr w:type="spellEnd"/>
      <w:r>
        <w:t>,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4134901B" w14:textId="77777777" w:rsidR="00CF0519" w:rsidRDefault="00691DC4">
      <w:pPr>
        <w:pStyle w:val="Ttulo2"/>
        <w:numPr>
          <w:ilvl w:val="1"/>
          <w:numId w:val="19"/>
        </w:numPr>
      </w:pPr>
      <w:bookmarkStart w:id="26" w:name="_Toc233383568"/>
      <w:bookmarkStart w:id="27" w:name="_Toc240016156"/>
      <w:r>
        <w:lastRenderedPageBreak/>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lastRenderedPageBreak/>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w:t>
      </w:r>
      <w:r>
        <w:lastRenderedPageBreak/>
        <w:t xml:space="preserve">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w:t>
      </w:r>
      <w:r w:rsidRPr="00F4529E">
        <w:rPr>
          <w:highlight w:val="yellow"/>
        </w:rPr>
        <w:t xml:space="preserve">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Desarrollar un modelo híbrido que integra métodos estadísticos y aprendizaje automático, mediante evaluación temporal de su precisión frente a modelos de referencia, para el pronóstico del importe total semanal de compras y su distribución porcentual entre los principales insumos, como apoyo a la planeación del presupuesto de abastecimiento de una microempresa de repostería creativa de Tizayuca, Hidalgo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Pr>
          <w:color w:val="000000"/>
          <w:highlight w:val="yellow"/>
        </w:rPr>
        <w:t>Analizar los registros históricos de ventas y compras mediante depuración, agregación semanal y caracterización temporal del importe total y de la participación de los principales insumos.</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Pr>
          <w:color w:val="000000"/>
          <w:highlight w:val="green"/>
        </w:rPr>
        <w:t>Desarrollar la estructura del modelo híbrido mediante la integración de componentes estadísticos y de aprendizaje automático, con variables históricas y exógenas disponibles al momento del pronóstico.</w:t>
      </w:r>
    </w:p>
    <w:p w14:paraId="6823915F" w14:textId="77777777" w:rsidR="00B302B0" w:rsidRDefault="00000000">
      <w:r>
        <w:t>Determinar la distribución porcentual del importe semanal pronosticado entre los principales insumos, a partir de su composición histórica y variación temporal.</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Pr>
          <w:color w:val="000000"/>
          <w:highlight w:val="green"/>
        </w:rPr>
        <w:t>Contrastar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 xml:space="preserve">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w:t>
      </w:r>
      <w:r>
        <w:lastRenderedPageBreak/>
        <w:t>internos contribuye a identificar alternativas técnicamente accesibles para apoyar decisiones basadas en datos (</w:t>
      </w:r>
      <w:proofErr w:type="spellStart"/>
      <w:r>
        <w:t>Alekseeva</w:t>
      </w:r>
      <w:proofErr w:type="spellEnd"/>
      <w:r>
        <w:t xml:space="preserve"> et al., 2021; Poveda-Valverde &amp; Fierro Barragán, 2026).</w:t>
      </w:r>
    </w:p>
    <w:p w14:paraId="1B46B447" w14:textId="77777777" w:rsidR="00CF0519" w:rsidRDefault="00691DC4">
      <w:r>
        <w:t xml:space="preserve">En el caso de </w:t>
      </w:r>
      <w:proofErr w:type="spellStart"/>
      <w:r>
        <w:t>Cup&amp;Cake</w:t>
      </w:r>
      <w:proofErr w:type="spellEnd"/>
      <w:r>
        <w:t>,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 xml:space="preserve">La investigación es conveniente porque responde a una necesidad operativa concreta de </w:t>
      </w:r>
      <w:proofErr w:type="spellStart"/>
      <w:r>
        <w:t>Cup&amp;Cake</w:t>
      </w:r>
      <w:proofErr w:type="spellEnd"/>
      <w:r>
        <w:t>: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w:t>
      </w:r>
      <w:proofErr w:type="spellStart"/>
      <w:r>
        <w:t>Makridakis</w:t>
      </w:r>
      <w:proofErr w:type="spellEnd"/>
      <w:r>
        <w:t xml:space="preserve">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w:t>
      </w:r>
      <w:proofErr w:type="spellStart"/>
      <w:r>
        <w:t>Hewamalage</w:t>
      </w:r>
      <w:proofErr w:type="spellEnd"/>
      <w:r>
        <w:t xml:space="preserve"> et al., 2021; Giannopoulos et al., 2025).</w:t>
      </w:r>
    </w:p>
    <w:p w14:paraId="7A662A1E" w14:textId="77777777" w:rsidR="00CF0519" w:rsidRDefault="00691DC4">
      <w:r>
        <w:t xml:space="preserve">El estudio aporta evidencia comparativa en una microempresa de repostería creativa al contrastar líneas base empíricas, modelos estadísticos y modelos de aprendizaje automático mediante validación temporal de ventana deslizante. Asimismo, permite examinar si las </w:t>
      </w:r>
      <w:r>
        <w:lastRenderedPageBreak/>
        <w:t>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lastRenderedPageBreak/>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2ED4D53D"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360561B3"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0781D005"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 xml:space="preserve">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w:t>
      </w:r>
      <w:proofErr w:type="gramStart"/>
      <w:r>
        <w:t>Una racha prolongada sin compras mientras continúan</w:t>
      </w:r>
      <w:proofErr w:type="gramEnd"/>
      <w:r>
        <w:t xml:space="preserve">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 xml:space="preserve">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w:t>
      </w:r>
      <w:proofErr w:type="spellStart"/>
      <w:r>
        <w:t>lumpy</w:t>
      </w:r>
      <w:proofErr w:type="spellEnd"/>
      <w:r>
        <w:t xml:space="preserve"> (</w:t>
      </w:r>
      <w:proofErr w:type="spellStart"/>
      <w:r>
        <w:t>Syntetos</w:t>
      </w:r>
      <w:proofErr w:type="spellEnd"/>
      <w:r>
        <w:t xml:space="preserve">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w:t>
      </w:r>
      <w:proofErr w:type="spellStart"/>
      <w:r>
        <w:t>Makridakis</w:t>
      </w:r>
      <w:proofErr w:type="spellEnd"/>
      <w:r>
        <w:t xml:space="preserve">, Spiliotis, &amp; </w:t>
      </w:r>
      <w:proofErr w:type="spellStart"/>
      <w:r>
        <w:t>Assimakopoulos</w:t>
      </w:r>
      <w:proofErr w:type="spellEnd"/>
      <w:r>
        <w:t>,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 xml:space="preserve">En series con compras intermitentes, el pronóstico puede descomponerse en dos preguntas: si ocurrirá una compra y cuál será su importe condicionado a que ocurra. El modelo </w:t>
      </w:r>
      <w:proofErr w:type="spellStart"/>
      <w:r>
        <w:t>hurdle</w:t>
      </w:r>
      <w:proofErr w:type="spellEnd"/>
      <w:r>
        <w:t xml:space="preserv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 xml:space="preserve">En una microempresa como </w:t>
      </w:r>
      <w:proofErr w:type="spellStart"/>
      <w:r>
        <w:t>Cup&amp;Cake</w:t>
      </w:r>
      <w:proofErr w:type="spellEnd"/>
      <w:r>
        <w:t xml:space="preserv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 xml:space="preserve">El Paradigma del Aprendizaje Automático (Machine </w:t>
      </w:r>
      <w:proofErr w:type="spellStart"/>
      <w:r>
        <w:t>Learning</w:t>
      </w:r>
      <w:proofErr w:type="spellEnd"/>
      <w:r>
        <w:t>) en el Pronóstico de Demanda</w:t>
      </w:r>
      <w:bookmarkEnd w:id="74"/>
      <w:bookmarkEnd w:id="75"/>
    </w:p>
    <w:p w14:paraId="4D63D8BC" w14:textId="77777777" w:rsidR="00B302B0" w:rsidRDefault="00000000">
      <w:r>
        <w:t xml:space="preserve">Para la comparación semanal se considerarán modelos parsimoniosos y trazables: regresión Ridge o Lasso, Random Forest y </w:t>
      </w:r>
      <w:proofErr w:type="spellStart"/>
      <w:r>
        <w:t>XGBoost</w:t>
      </w:r>
      <w:proofErr w:type="spellEnd"/>
      <w:r>
        <w:t xml:space="preserve"> o </w:t>
      </w:r>
      <w:proofErr w:type="spellStart"/>
      <w:r>
        <w:t>LightGBM</w:t>
      </w:r>
      <w:proofErr w:type="spellEnd"/>
      <w:r>
        <w:t>.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 xml:space="preserve">Arquitecturas de Aprendizaje Profundo (Deep </w:t>
      </w:r>
      <w:proofErr w:type="spellStart"/>
      <w:r>
        <w:t>Learning</w:t>
      </w:r>
      <w:proofErr w:type="spellEnd"/>
      <w:r>
        <w:t>)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 xml:space="preserve">Confrontación Empírica: Métodos Estadísticos Avanzados vs. Algoritmos de Machine </w:t>
      </w:r>
      <w:proofErr w:type="spellStart"/>
      <w:r>
        <w:t>Learning</w:t>
      </w:r>
      <w:bookmarkEnd w:id="78"/>
      <w:bookmarkEnd w:id="79"/>
      <w:proofErr w:type="spellEnd"/>
    </w:p>
    <w:p w14:paraId="1A5BDF72"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 xml:space="preserve">Protocolos estrictos de validación temporal mediante </w:t>
      </w:r>
      <w:proofErr w:type="spellStart"/>
      <w:r>
        <w:t>rolling-window</w:t>
      </w:r>
      <w:proofErr w:type="spellEnd"/>
      <w:r>
        <w:t xml:space="preserve">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B1A627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 xml:space="preserve">Variabilidad de la Demanda y </w:t>
      </w:r>
      <w:proofErr w:type="spellStart"/>
      <w:r>
        <w:t>Micro-estacionalidad</w:t>
      </w:r>
      <w:proofErr w:type="spellEnd"/>
      <w:r>
        <w:t xml:space="preserve">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A82B060"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 xml:space="preserve">La coexistencia de eventos calendáricos, variabilidad de montos y posibles relaciones no lineales justifica comparar métodos </w:t>
      </w:r>
      <w:proofErr w:type="spellStart"/>
      <w:r>
        <w:t>univariados</w:t>
      </w:r>
      <w:proofErr w:type="spellEnd"/>
      <w:r>
        <w:t xml:space="preserve">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0F567F8F"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101"/>
      <w:bookmarkEnd w:id="102"/>
    </w:p>
    <w:p w14:paraId="2D8C187D"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6C621D5E"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 xml:space="preserve">La demanda semanal de </w:t>
      </w:r>
      <w:proofErr w:type="spellStart"/>
      <w:r>
        <w:t>Cup&amp;Cake</w:t>
      </w:r>
      <w:proofErr w:type="spellEnd"/>
      <w:r>
        <w:t xml:space="preserv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 xml:space="preserve">Validación temporal estricta mediante </w:t>
      </w:r>
      <w:proofErr w:type="spellStart"/>
      <w:r>
        <w:t>rolling-window</w:t>
      </w:r>
      <w:proofErr w:type="spellEnd"/>
      <w:r>
        <w:t xml:space="preserve">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 xml:space="preserve">Para garantizar la estabilidad predictiva en la planeación semanal, la evaluación debe respetar el orden cronológico y evitar la validación cruzada aleatoria. La estrategia seleccionada es </w:t>
      </w:r>
      <w:proofErr w:type="spellStart"/>
      <w:r>
        <w:t>rolling-window</w:t>
      </w:r>
      <w:proofErr w:type="spellEnd"/>
      <w:r>
        <w:t xml:space="preserve">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 xml:space="preserve">Para contrarrestar estos obstáculos, el diseño predictivo debe regirse por parsimonia, regularización, ingeniería de características y validación estricta. La simulación mediante </w:t>
      </w:r>
      <w:proofErr w:type="spellStart"/>
      <w:r>
        <w:t>rolling-window</w:t>
      </w:r>
      <w:proofErr w:type="spellEnd"/>
      <w:r>
        <w:t xml:space="preserve"> (ventana deslizante) permite comprobar si el desempeño se sostiene al actualizar el conjunto de entrenamiento con información reciente.</w:t>
      </w:r>
    </w:p>
    <w:p w14:paraId="661CA6AD"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 xml:space="preserve">En la ciencia de datos contemporánea, la precisión debe evaluarse estrictamente fuera de muestra mediante </w:t>
      </w:r>
      <w:proofErr w:type="spellStart"/>
      <w:r>
        <w:t>rolling-window</w:t>
      </w:r>
      <w:proofErr w:type="spellEnd"/>
      <w:r>
        <w:t xml:space="preserve"> (ventana deslizante). El modelo se juzga por su capacidad para estimar semanas futuras que no formaron parte de su entrenamiento.</w:t>
      </w:r>
    </w:p>
    <w:p w14:paraId="6B051624" w14:textId="77777777" w:rsidR="00CF0519" w:rsidRDefault="00691DC4">
      <w:r>
        <w:t xml:space="preserve">Para la investigación de </w:t>
      </w:r>
      <w:proofErr w:type="spellStart"/>
      <w:r>
        <w:t>Cup&amp;Cake</w:t>
      </w:r>
      <w:proofErr w:type="spellEnd"/>
      <w:r>
        <w:t>,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 xml:space="preserve">El RMSE es sensible a errores atípicos. Cuando dos modelos presentan MAE </w:t>
      </w:r>
      <w:proofErr w:type="gramStart"/>
      <w:r>
        <w:t>similar</w:t>
      </w:r>
      <w:proofErr w:type="gramEnd"/>
      <w:r>
        <w:t xml:space="preserve">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 xml:space="preserve">Validación de modelos semanales mediante </w:t>
      </w:r>
      <w:proofErr w:type="spellStart"/>
      <w:r>
        <w:t>rolling-window</w:t>
      </w:r>
      <w:proofErr w:type="spellEnd"/>
      <w:r>
        <w:t xml:space="preserve">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xml:space="preserve">.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2A51F59" w14:textId="77777777" w:rsidR="00CF0519" w:rsidRDefault="00691DC4">
      <w:r>
        <w:t xml:space="preserve">Para mitigar este problema, se utilizará </w:t>
      </w:r>
      <w:proofErr w:type="spellStart"/>
      <w:r>
        <w:t>rolling-window</w:t>
      </w:r>
      <w:proofErr w:type="spellEnd"/>
      <w:r>
        <w:t xml:space="preserve">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 xml:space="preserve">El mecanismo </w:t>
      </w:r>
      <w:proofErr w:type="spellStart"/>
      <w:r>
        <w:t>rolling-window</w:t>
      </w:r>
      <w:proofErr w:type="spellEnd"/>
      <w:r>
        <w:t xml:space="preserve">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 xml:space="preserve">La característica definitoria del </w:t>
      </w:r>
      <w:proofErr w:type="spellStart"/>
      <w:r>
        <w:t>rolling-window</w:t>
      </w:r>
      <w:proofErr w:type="spellEnd"/>
      <w:r>
        <w:t xml:space="preserve">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 xml:space="preserve">Ventana deslizante de tamaño fijo o </w:t>
      </w:r>
      <w:proofErr w:type="spellStart"/>
      <w:r>
        <w:rPr>
          <w:b/>
          <w:bCs/>
        </w:rPr>
        <w:t>rolling-window</w:t>
      </w:r>
      <w:proofErr w:type="spellEnd"/>
      <w:r>
        <w:rPr>
          <w:b/>
          <w:bCs/>
        </w:rPr>
        <w:t>: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 xml:space="preserve">En el contexto de la planeación presupuestal semanal, </w:t>
      </w:r>
      <w:proofErr w:type="spellStart"/>
      <w:r>
        <w:t>rolling-window</w:t>
      </w:r>
      <w:proofErr w:type="spellEnd"/>
      <w:r>
        <w:t xml:space="preserve">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 xml:space="preserve">En la investigación realizada con los datos de </w:t>
      </w:r>
      <w:proofErr w:type="spellStart"/>
      <w:r>
        <w:t>Cup&amp;Cake</w:t>
      </w:r>
      <w:proofErr w:type="spellEnd"/>
      <w:r>
        <w:t>,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 xml:space="preserve">La comparación de errores mediante este marco experimental permite valorar si existe una mejora predictiva frente a la regla empírica. La simulación con </w:t>
      </w:r>
      <w:proofErr w:type="spellStart"/>
      <w:r>
        <w:t>rolling-window</w:t>
      </w:r>
      <w:proofErr w:type="spellEnd"/>
      <w:r>
        <w:t xml:space="preserve"> (ventana deslizante) evita que las métricas dependan de una única partición temporal.</w:t>
      </w:r>
    </w:p>
    <w:p w14:paraId="2CCF2315"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2181AE3A" w14:textId="77777777" w:rsidR="00CF0519" w:rsidRDefault="00691DC4">
      <w:r>
        <w:t xml:space="preserve">La integración de </w:t>
      </w:r>
      <w:proofErr w:type="spellStart"/>
      <w:r>
        <w:t>rolling-window</w:t>
      </w:r>
      <w:proofErr w:type="spellEnd"/>
      <w:r>
        <w:t xml:space="preserve">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 xml:space="preserve">Data </w:t>
      </w:r>
      <w:proofErr w:type="spellStart"/>
      <w:r>
        <w:rPr>
          <w:i/>
          <w:iCs/>
        </w:rPr>
        <w:t>Literacy</w:t>
      </w:r>
      <w:proofErr w:type="spellEnd"/>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6BAF21FF" w14:textId="77777777" w:rsidR="00CF0519" w:rsidRDefault="00691DC4">
      <w:r>
        <w:t xml:space="preserve">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w:t>
      </w:r>
      <w:proofErr w:type="spellStart"/>
      <w:r>
        <w:t>rolling-window</w:t>
      </w:r>
      <w:proofErr w:type="spellEnd"/>
      <w:r>
        <w:t xml:space="preserve">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 xml:space="preserve">generados por </w:t>
      </w:r>
      <w:proofErr w:type="spellStart"/>
      <w:r>
        <w:t>rolling-window</w:t>
      </w:r>
      <w:proofErr w:type="spellEnd"/>
      <w:r>
        <w:t xml:space="preserve">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33383641"/>
      <w:bookmarkStart w:id="175" w:name="_Toc240016230"/>
      <w:r>
        <w:t>El repositorio</w:t>
      </w:r>
      <w:bookmarkEnd w:id="175"/>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4"/>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lastRenderedPageBreak/>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4AD6" w14:textId="77777777" w:rsidR="00B71BD6" w:rsidRDefault="00B71BD6">
      <w:pPr>
        <w:spacing w:before="0" w:after="0" w:line="240" w:lineRule="auto"/>
      </w:pPr>
      <w:r>
        <w:separator/>
      </w:r>
    </w:p>
  </w:endnote>
  <w:endnote w:type="continuationSeparator" w:id="0">
    <w:p w14:paraId="5558E756" w14:textId="77777777" w:rsidR="00B71BD6" w:rsidRDefault="00B71B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86EC369A-7E69-4B93-996F-62D1BD0AA8E8}"/>
  </w:font>
  <w:font w:name="Cambria">
    <w:panose1 w:val="02040503050406030204"/>
    <w:charset w:val="00"/>
    <w:family w:val="roman"/>
    <w:pitch w:val="variable"/>
    <w:sig w:usb0="E00006FF" w:usb1="420024FF" w:usb2="02000000" w:usb3="00000000" w:csb0="0000019F" w:csb1="00000000"/>
    <w:embedRegular r:id="rId2" w:fontKey="{D60CED66-8A87-45CD-B0DE-0B2575F4F0AF}"/>
  </w:font>
  <w:font w:name="Cambria Math">
    <w:panose1 w:val="02040503050406030204"/>
    <w:charset w:val="00"/>
    <w:family w:val="roman"/>
    <w:pitch w:val="variable"/>
    <w:sig w:usb0="E00006FF" w:usb1="420024FF" w:usb2="02000000" w:usb3="00000000" w:csb0="0000019F" w:csb1="00000000"/>
    <w:embedRegular r:id="rId3" w:fontKey="{5DC36F2E-8579-45E8-BC3C-4D6924BBAB22}"/>
    <w:embedItalic r:id="rId4" w:fontKey="{7A4A838C-E5E5-46B0-B3A2-5E7FD5C896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8026" w14:textId="77777777" w:rsidR="00B71BD6" w:rsidRDefault="00B71BD6">
      <w:pPr>
        <w:spacing w:before="0" w:after="0" w:line="240" w:lineRule="auto"/>
      </w:pPr>
      <w:r>
        <w:separator/>
      </w:r>
    </w:p>
  </w:footnote>
  <w:footnote w:type="continuationSeparator" w:id="0">
    <w:p w14:paraId="6407BF60" w14:textId="77777777" w:rsidR="00B71BD6" w:rsidRDefault="00B71BD6">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6449B"/>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D2C"/>
    <w:rsid w:val="00796B63"/>
    <w:rsid w:val="007A4539"/>
    <w:rsid w:val="007C180C"/>
    <w:rsid w:val="007C1DCA"/>
    <w:rsid w:val="007E16C1"/>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45368</Words>
  <Characters>249524</Characters>
  <Application>Microsoft Office Word</Application>
  <DocSecurity>0</DocSecurity>
  <Lines>2079</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2026-09-11T22:57:00Z</dcterms:modified>
</cp:coreProperties>
</file>