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eastAsia="Times New Roman" w:cs="Times New Roman"/>
          <w:sz w:val="22"/>
        </w:rPr>
        <w:t>OBJETIVOS, ACTIVIDADES E HIPÓTESIS</w:t>
      </w:r>
    </w:p>
    <w:p>
      <w:pPr>
        <w:pStyle w:val="Subtitle"/>
        <w:jc w:val="left"/>
      </w:pPr>
      <w:r>
        <w:rPr>
          <w:rFonts w:ascii="Times New Roman" w:hAnsi="Times New Roman" w:eastAsia="Times New Roman" w:cs="Times New Roman"/>
          <w:sz w:val="22"/>
        </w:rPr>
        <w:t>Análisis de la tesis de Rodrigo Adrián Martínez Flores · Caso Cup&amp;Cake</w:t>
      </w:r>
    </w:p>
    <w:p>
      <w:pPr>
        <w:spacing w:after="100"/>
        <w:jc w:val="both"/>
      </w:pPr>
      <w:r>
        <w:rPr>
          <w:rFonts w:ascii="Times New Roman" w:hAnsi="Times New Roman" w:eastAsia="Times New Roman" w:cs="Times New Roman"/>
          <w:b/>
          <w:sz w:val="22"/>
        </w:rPr>
        <w:t>Fuente y paginación.</w:t>
      </w:r>
      <w:r>
        <w:rPr>
          <w:rFonts w:ascii="Times New Roman" w:hAnsi="Times New Roman" w:eastAsia="Times New Roman" w:cs="Times New Roman"/>
          <w:sz w:val="22"/>
        </w:rPr>
        <w:t xml:space="preserve"> Se examina exclusivamente la tesis adjunta, versión Rev61. Todas las referencias corresponden al número impreso al pie de sus páginas, no al índice: por ejemplo, la p. 29 es la hoja 30 del archivo, contando la portada. La revisión valora la evidencia presentada; no reproduce las ejecuciones computacionales.</w:t>
      </w:r>
    </w:p>
    <w:p>
      <w:pPr>
        <w:pStyle w:val="Heading1"/>
        <w:jc w:val="left"/>
      </w:pPr>
      <w:r>
        <w:rPr>
          <w:rFonts w:ascii="Times New Roman" w:hAnsi="Times New Roman" w:eastAsia="Times New Roman" w:cs="Times New Roman"/>
          <w:sz w:val="22"/>
        </w:rPr>
        <w:t>1. Objetivo general: cumplimiento y alcance</w:t>
      </w:r>
    </w:p>
    <w:p>
      <w:pPr>
        <w:jc w:val="both"/>
      </w:pPr>
      <w:r>
        <w:rPr>
          <w:rFonts w:ascii="Times New Roman" w:hAnsi="Times New Roman" w:eastAsia="Times New Roman" w:cs="Times New Roman"/>
          <w:sz w:val="22"/>
        </w:rPr>
        <w:t>El objetivo consiste en determinar la precisión del modelo híbrido frente a referencias, mediante validación temporal, para estimar el importe semanal de compras y su distribución porcentual en Cup&amp;Cake. Delimita los datos al 5 de diciembre de 2016–11 de mayo de 2026 y la evaluación final al 24 de marzo–28 de julio de 2025 (</w:t>
      </w:r>
      <w:r>
        <w:rPr>
          <w:rFonts w:ascii="Times New Roman" w:hAnsi="Times New Roman" w:eastAsia="Times New Roman" w:cs="Times New Roman"/>
          <w:b/>
          <w:sz w:val="22"/>
        </w:rPr>
        <w:t>p. 29; síntesis del enunciado</w:t>
      </w:r>
      <w:r>
        <w:rPr>
          <w:rFonts w:ascii="Times New Roman" w:hAnsi="Times New Roman" w:eastAsia="Times New Roman" w:cs="Times New Roman"/>
          <w:sz w:val="22"/>
        </w:rPr>
        <w:t>).</w:t>
      </w:r>
    </w:p>
    <w:p>
      <w:pPr>
        <w:jc w:val="both"/>
      </w:pPr>
      <w:r>
        <w:rPr>
          <w:rFonts w:ascii="Times New Roman" w:hAnsi="Times New Roman" w:eastAsia="Times New Roman" w:cs="Times New Roman"/>
          <w:b/>
          <w:sz w:val="22"/>
        </w:rPr>
        <w:t>Se atendió en su alcance evaluativo exploratorio.</w:t>
      </w:r>
      <w:r>
        <w:rPr>
          <w:rFonts w:ascii="Times New Roman" w:hAnsi="Times New Roman" w:eastAsia="Times New Roman" w:cs="Times New Roman"/>
          <w:sz w:val="22"/>
        </w:rPr>
        <w:t xml:space="preserve"> Se construyó el procedimiento, se seleccionaron configuraciones por horizonte y se midieron errores monetarios y de participación. Las acciones constan en las </w:t>
      </w:r>
      <w:r>
        <w:rPr>
          <w:rFonts w:ascii="Times New Roman" w:hAnsi="Times New Roman" w:eastAsia="Times New Roman" w:cs="Times New Roman"/>
          <w:b/>
          <w:sz w:val="22"/>
        </w:rPr>
        <w:t>pp. 68–71</w:t>
      </w:r>
      <w:r>
        <w:rPr>
          <w:rFonts w:ascii="Times New Roman" w:hAnsi="Times New Roman" w:eastAsia="Times New Roman" w:cs="Times New Roman"/>
          <w:sz w:val="22"/>
        </w:rPr>
        <w:t xml:space="preserve">; los resultados comparativos, en las </w:t>
      </w:r>
      <w:r>
        <w:rPr>
          <w:rFonts w:ascii="Times New Roman" w:hAnsi="Times New Roman" w:eastAsia="Times New Roman" w:cs="Times New Roman"/>
          <w:b/>
          <w:sz w:val="22"/>
        </w:rPr>
        <w:t>pp. 75–80</w:t>
      </w:r>
      <w:r>
        <w:rPr>
          <w:rFonts w:ascii="Times New Roman" w:hAnsi="Times New Roman" w:eastAsia="Times New Roman" w:cs="Times New Roman"/>
          <w:sz w:val="22"/>
        </w:rPr>
        <w:t xml:space="preserve">; y el balance, en las </w:t>
      </w:r>
      <w:r>
        <w:rPr>
          <w:rFonts w:ascii="Times New Roman" w:hAnsi="Times New Roman" w:eastAsia="Times New Roman" w:cs="Times New Roman"/>
          <w:b/>
          <w:sz w:val="22"/>
        </w:rPr>
        <w:t>pp. 82 y 85</w:t>
      </w:r>
      <w:r>
        <w:rPr>
          <w:rFonts w:ascii="Times New Roman" w:hAnsi="Times New Roman" w:eastAsia="Times New Roman" w:cs="Times New Roman"/>
          <w:sz w:val="22"/>
        </w:rPr>
        <w:t>. Determinar la precisión no exige demostrar superioridad: encontrar límites o resultados desfavorables también responde a este objetivo.</w:t>
      </w:r>
    </w:p>
    <w:p>
      <w:pPr>
        <w:pStyle w:val="Heading1"/>
        <w:jc w:val="left"/>
      </w:pPr>
      <w:r>
        <w:rPr>
          <w:rFonts w:ascii="Times New Roman" w:hAnsi="Times New Roman" w:eastAsia="Times New Roman" w:cs="Times New Roman"/>
          <w:sz w:val="22"/>
        </w:rPr>
        <w:t>2. Objetivos específicos: acciones y respaldo documental</w:t>
      </w:r>
    </w:p>
    <w:p>
      <w:pPr>
        <w:spacing w:after="80"/>
        <w:jc w:val="both"/>
      </w:pPr>
      <w:r>
        <w:rPr>
          <w:rFonts w:ascii="Times New Roman" w:hAnsi="Times New Roman" w:eastAsia="Times New Roman" w:cs="Times New Roman"/>
          <w:sz w:val="22"/>
        </w:rPr>
        <w:t>La Tabla 1 conserva los cuatro enunciados de la p. 29 y los vincula con actividades y resultados, no solo con lo anunciado en la metodología.</w:t>
      </w:r>
    </w:p>
    <w:p>
      <w:pPr>
        <w:pStyle w:val="Caption"/>
        <w:jc w:val="left"/>
      </w:pPr>
      <w:r>
        <w:rPr>
          <w:rFonts w:ascii="Times New Roman" w:hAnsi="Times New Roman" w:eastAsia="Times New Roman" w:cs="Times New Roman"/>
          <w:sz w:val="22"/>
        </w:rPr>
        <w:t>Tabla 1. Correspondencia entre objetivos, actividades y evidencia (primera parte).</w:t>
      </w:r>
    </w:p>
    <w:tbl>
      <w:tblPr>
        <w:tblW w:type="dxa" w:w="10312"/>
        <w:jc w:val="center"/>
        <w:tblLayout w:type="fixed"/>
        <w:tblLook w:firstColumn="1" w:firstRow="1" w:lastColumn="0" w:lastRow="0" w:noHBand="0" w:noVBand="1" w:val="04A0"/>
        <w:tblCellMar>
          <w:top w:w="90" w:type="dxa"/>
          <w:bottom w:w="90" w:type="dxa"/>
          <w:left w:w="95" w:type="dxa"/>
          <w:right w:w="95" w:type="dxa"/>
        </w:tblCellMar>
        <w:tblBorders>
          <w:top w:val="single" w:sz="4" w:color="C9B7D6"/>
          <w:left w:val="single" w:sz="4" w:color="C9B7D6"/>
          <w:bottom w:val="single" w:sz="4" w:color="C9B7D6"/>
          <w:right w:val="single" w:sz="4" w:color="C9B7D6"/>
          <w:insideH w:val="single" w:sz="4" w:color="C9B7D6"/>
          <w:insideV w:val="single" w:sz="4" w:color="C9B7D6"/>
        </w:tblBorders>
      </w:tblPr>
      <w:tblGrid>
        <w:gridCol w:w="2608"/>
        <w:gridCol w:w="4706"/>
        <w:gridCol w:w="2999"/>
      </w:tblGrid>
      <w:tr>
        <w:trPr>
          <w:tblHeader w:val="true"/>
          <w:cantSplit/>
        </w:trPr>
        <w:tc>
          <w:tcPr>
            <w:tcW w:type="dxa" w:w="2608"/>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Objetivo definido</w:t>
            </w:r>
          </w:p>
        </w:tc>
        <w:tc>
          <w:tcPr>
            <w:tcW w:type="dxa" w:w="4706"/>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Actividades y productos documentados</w:t>
            </w:r>
          </w:p>
        </w:tc>
        <w:tc>
          <w:tcPr>
            <w:tcW w:type="dxa" w:w="2999"/>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Páginas y valoración</w:t>
            </w:r>
          </w:p>
        </w:tc>
      </w:tr>
      <w:tr>
        <w:trPr>
          <w:cantSplit/>
        </w:trPr>
        <w:tc>
          <w:tcPr>
            <w:tcW w:type="dxa" w:w="2608"/>
            <w:vAlign w:val="top"/>
            <w:shd w:fill="F3EEF7"/>
          </w:tcPr>
          <w:p>
            <w:pPr>
              <w:widowControl/>
              <w:spacing w:before="0" w:after="0" w:line="256" w:lineRule="exact"/>
              <w:jc w:val="left"/>
            </w:pPr>
            <w:r>
              <w:rPr>
                <w:rFonts w:ascii="Times New Roman" w:hAnsi="Times New Roman" w:eastAsia="Times New Roman" w:cs="Times New Roman"/>
                <w:b/>
                <w:color w:val="432153"/>
                <w:sz w:val="22"/>
              </w:rPr>
              <w:t>Objetivo 1.</w:t>
            </w:r>
            <w:r>
              <w:rPr>
                <w:rFonts w:ascii="Times New Roman" w:hAnsi="Times New Roman" w:eastAsia="Times New Roman" w:cs="Times New Roman"/>
                <w:color w:val="432153"/>
                <w:sz w:val="22"/>
              </w:rPr>
              <w:t xml:space="preserve"> Analizar los registros históricos de ventas y compras mediante depuración, agregación semanal y caracterización temporal del importe total y de la participación de los principales insumos.</w:t>
            </w:r>
          </w:p>
        </w:tc>
        <w:tc>
          <w:tcPr>
            <w:tcW w:type="dxa" w:w="4706"/>
            <w:vAlign w:val="top"/>
            <w:shd w:fill="F3EEF7"/>
          </w:tcPr>
          <w:p>
            <w:pPr>
              <w:widowControl/>
              <w:spacing w:before="0" w:after="0" w:line="256" w:lineRule="exact"/>
              <w:jc w:val="left"/>
            </w:pPr>
            <w:r>
              <w:rPr>
                <w:rFonts w:ascii="Times New Roman" w:hAnsi="Times New Roman" w:eastAsia="Times New Roman" w:cs="Times New Roman"/>
                <w:color w:val="432153"/>
                <w:sz w:val="22"/>
              </w:rPr>
              <w:t>Se homologaron fechas, importes y categorías; se integraron compras y ventas por semana; y se distinguieron ceros de ausencia de captura. Se caracterizaron importes y participaciones mediante gráficas. La auditoría del tramo autorizado identificó 128 semanas observadas de compras y 29 estimadas, conservadas solo en archivos derivados. La prueba de sensibilidad reportó que estas últimas no intervinieron en el modelado.</w:t>
            </w:r>
          </w:p>
        </w:tc>
        <w:tc>
          <w:tcPr>
            <w:tcW w:type="dxa" w:w="2999"/>
            <w:vAlign w:val="top"/>
            <w:shd w:fill="F3EEF7"/>
          </w:tcPr>
          <w:p>
            <w:pPr>
              <w:widowControl/>
              <w:spacing w:before="0" w:after="0" w:line="256" w:lineRule="exact"/>
              <w:jc w:val="left"/>
            </w:pPr>
            <w:r>
              <w:rPr>
                <w:rFonts w:ascii="Times New Roman" w:hAnsi="Times New Roman" w:eastAsia="Times New Roman" w:cs="Times New Roman"/>
                <w:b/>
                <w:color w:val="432153"/>
                <w:sz w:val="22"/>
              </w:rPr>
              <w:t>Evidencia:</w:t>
            </w:r>
            <w:r>
              <w:rPr>
                <w:rFonts w:ascii="Times New Roman" w:hAnsi="Times New Roman" w:eastAsia="Times New Roman" w:cs="Times New Roman"/>
                <w:color w:val="432153"/>
                <w:sz w:val="22"/>
              </w:rPr>
              <w:t xml:space="preserve"> pp. 62–68, Figuras 1–7; pp. 74–75, Tabla 5.</w:t>
            </w:r>
          </w:p>
          <w:p>
            <w:pPr>
              <w:spacing w:before="60" w:after="0" w:line="256" w:lineRule="exact"/>
              <w:jc w:val="left"/>
            </w:pPr>
            <w:r>
              <w:rPr>
                <w:rFonts w:ascii="Times New Roman" w:hAnsi="Times New Roman" w:eastAsia="Times New Roman" w:cs="Times New Roman"/>
                <w:b/>
                <w:color w:val="432153"/>
                <w:sz w:val="22"/>
              </w:rPr>
              <w:t>Valoración:</w:t>
            </w:r>
            <w:r>
              <w:rPr>
                <w:rFonts w:ascii="Times New Roman" w:hAnsi="Times New Roman" w:eastAsia="Times New Roman" w:cs="Times New Roman"/>
                <w:color w:val="432153"/>
                <w:sz w:val="22"/>
              </w:rPr>
              <w:t xml:space="preserve"> atendido en el nivel descriptivo y de preparación. Persiste la falta de certificación de cobertura completa (p. 83).</w:t>
            </w:r>
          </w:p>
        </w:tc>
      </w:tr>
      <w:tr>
        <w:trPr>
          <w:cantSplit/>
        </w:trPr>
        <w:tc>
          <w:tcPr>
            <w:tcW w:type="dxa" w:w="2608"/>
            <w:vAlign w:val="top"/>
            <w:shd w:fill="FAF8FC"/>
          </w:tcPr>
          <w:p>
            <w:pPr>
              <w:widowControl/>
              <w:spacing w:before="0" w:after="0" w:line="256" w:lineRule="exact"/>
              <w:jc w:val="left"/>
            </w:pPr>
            <w:r>
              <w:rPr>
                <w:rFonts w:ascii="Times New Roman" w:hAnsi="Times New Roman" w:eastAsia="Times New Roman" w:cs="Times New Roman"/>
                <w:b/>
                <w:color w:val="432153"/>
                <w:sz w:val="22"/>
              </w:rPr>
              <w:t>Objetivo 2.</w:t>
            </w:r>
            <w:r>
              <w:rPr>
                <w:rFonts w:ascii="Times New Roman" w:hAnsi="Times New Roman" w:eastAsia="Times New Roman" w:cs="Times New Roman"/>
                <w:color w:val="432153"/>
                <w:sz w:val="22"/>
              </w:rPr>
              <w:t xml:space="preserve"> Desarrollar la estructura del modelo híbrido mediante la integración de componentes estadísticos y de aprendizaje automático, con variables históricas y exógenas disponibles al momento del pronóstico.</w:t>
            </w:r>
          </w:p>
        </w:tc>
        <w:tc>
          <w:tcPr>
            <w:tcW w:type="dxa" w:w="4706"/>
            <w:vAlign w:val="top"/>
            <w:shd w:fill="FAF8FC"/>
          </w:tcPr>
          <w:p>
            <w:pPr>
              <w:widowControl/>
              <w:spacing w:before="0" w:after="0" w:line="256" w:lineRule="exact"/>
              <w:jc w:val="left"/>
            </w:pPr>
            <w:r>
              <w:rPr>
                <w:rFonts w:ascii="Times New Roman" w:hAnsi="Times New Roman" w:eastAsia="Times New Roman" w:cs="Times New Roman"/>
                <w:color w:val="432153"/>
                <w:sz w:val="22"/>
              </w:rPr>
              <w:t>Se implementaron componentes estadísticos y de aprendizaje automático, combinaciones ponderadas y correcciones residuales. Se incorporaron ventas históricas e indicadores de semana festiva y de pago. Cinco orígenes de validación interna permitieron seleccionar una combinación por horizonte; las configuraciones finales integraron SES o ARIMA con Random Forest, HistGradientBoosting o MLP.</w:t>
            </w:r>
          </w:p>
        </w:tc>
        <w:tc>
          <w:tcPr>
            <w:tcW w:type="dxa" w:w="2999"/>
            <w:vAlign w:val="top"/>
            <w:shd w:fill="FAF8FC"/>
          </w:tcPr>
          <w:p>
            <w:pPr>
              <w:widowControl/>
              <w:spacing w:before="0" w:after="0" w:line="256" w:lineRule="exact"/>
              <w:jc w:val="left"/>
            </w:pPr>
            <w:r>
              <w:rPr>
                <w:rFonts w:ascii="Times New Roman" w:hAnsi="Times New Roman" w:eastAsia="Times New Roman" w:cs="Times New Roman"/>
                <w:b/>
                <w:color w:val="432153"/>
                <w:sz w:val="22"/>
              </w:rPr>
              <w:t>Evidencia:</w:t>
            </w:r>
            <w:r>
              <w:rPr>
                <w:rFonts w:ascii="Times New Roman" w:hAnsi="Times New Roman" w:eastAsia="Times New Roman" w:cs="Times New Roman"/>
                <w:color w:val="432153"/>
                <w:sz w:val="22"/>
              </w:rPr>
              <w:t xml:space="preserve"> p. 65; pp. 68–71, ecuaciones 37–39, Figuras 8–9 y Tabla 3.</w:t>
            </w:r>
          </w:p>
          <w:p>
            <w:pPr>
              <w:spacing w:before="60" w:after="0" w:line="256" w:lineRule="exact"/>
              <w:jc w:val="left"/>
            </w:pPr>
            <w:r>
              <w:rPr>
                <w:rFonts w:ascii="Times New Roman" w:hAnsi="Times New Roman" w:eastAsia="Times New Roman" w:cs="Times New Roman"/>
                <w:b/>
                <w:color w:val="432153"/>
                <w:sz w:val="22"/>
              </w:rPr>
              <w:t>Valoración:</w:t>
            </w:r>
            <w:r>
              <w:rPr>
                <w:rFonts w:ascii="Times New Roman" w:hAnsi="Times New Roman" w:eastAsia="Times New Roman" w:cs="Times New Roman"/>
                <w:color w:val="432153"/>
                <w:sz w:val="22"/>
              </w:rPr>
              <w:t xml:space="preserve"> desarrollo documentado. No se ejecutaron RNN ni LSTM (p. 68).</w:t>
            </w:r>
          </w:p>
        </w:tc>
      </w:tr>
    </w:tbl>
    <w:p>
      <w:pPr>
        <w:pStyle w:val="Heading1"/>
        <w:pageBreakBefore/>
        <w:spacing w:before="0"/>
        <w:jc w:val="left"/>
      </w:pPr>
      <w:r>
        <w:rPr>
          <w:rFonts w:ascii="Times New Roman" w:hAnsi="Times New Roman" w:eastAsia="Times New Roman" w:cs="Times New Roman"/>
          <w:sz w:val="22"/>
        </w:rPr>
        <w:t>2. Objetivos específicos: acciones y respaldo documental</w:t>
      </w:r>
    </w:p>
    <w:p>
      <w:pPr>
        <w:pStyle w:val="Caption"/>
        <w:jc w:val="left"/>
      </w:pPr>
      <w:r>
        <w:rPr>
          <w:rFonts w:ascii="Times New Roman" w:hAnsi="Times New Roman" w:eastAsia="Times New Roman" w:cs="Times New Roman"/>
          <w:sz w:val="22"/>
        </w:rPr>
        <w:t>Tabla 1. Correspondencia entre objetivos, actividades y evidencia (continuación).</w:t>
      </w:r>
    </w:p>
    <w:tbl>
      <w:tblPr>
        <w:tblW w:type="dxa" w:w="10312"/>
        <w:jc w:val="center"/>
        <w:tblLayout w:type="fixed"/>
        <w:tblLook w:firstColumn="1" w:firstRow="1" w:lastColumn="0" w:lastRow="0" w:noHBand="0" w:noVBand="1" w:val="04A0"/>
        <w:tblCellMar>
          <w:top w:w="90" w:type="dxa"/>
          <w:bottom w:w="90" w:type="dxa"/>
          <w:left w:w="95" w:type="dxa"/>
          <w:right w:w="95" w:type="dxa"/>
        </w:tblCellMar>
        <w:tblBorders>
          <w:top w:val="single" w:sz="4" w:color="C9B7D6"/>
          <w:left w:val="single" w:sz="4" w:color="C9B7D6"/>
          <w:bottom w:val="single" w:sz="4" w:color="C9B7D6"/>
          <w:right w:val="single" w:sz="4" w:color="C9B7D6"/>
          <w:insideH w:val="single" w:sz="4" w:color="C9B7D6"/>
          <w:insideV w:val="single" w:sz="4" w:color="C9B7D6"/>
        </w:tblBorders>
      </w:tblPr>
      <w:tblGrid>
        <w:gridCol w:w="2608"/>
        <w:gridCol w:w="4706"/>
        <w:gridCol w:w="2999"/>
      </w:tblGrid>
      <w:tr>
        <w:trPr>
          <w:tblHeader w:val="true"/>
          <w:cantSplit/>
        </w:trPr>
        <w:tc>
          <w:tcPr>
            <w:tcW w:type="dxa" w:w="2608"/>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Objetivo definido</w:t>
            </w:r>
          </w:p>
        </w:tc>
        <w:tc>
          <w:tcPr>
            <w:tcW w:type="dxa" w:w="4706"/>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Actividades y productos documentados</w:t>
            </w:r>
          </w:p>
        </w:tc>
        <w:tc>
          <w:tcPr>
            <w:tcW w:type="dxa" w:w="2999"/>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Páginas y valoración</w:t>
            </w:r>
          </w:p>
        </w:tc>
      </w:tr>
      <w:tr>
        <w:trPr>
          <w:cantSplit/>
        </w:trPr>
        <w:tc>
          <w:tcPr>
            <w:tcW w:type="dxa" w:w="2608"/>
            <w:vAlign w:val="top"/>
            <w:shd w:fill="F3EEF7"/>
          </w:tcPr>
          <w:p>
            <w:pPr>
              <w:widowControl/>
              <w:spacing w:before="0" w:after="0" w:line="256" w:lineRule="exact"/>
              <w:jc w:val="left"/>
            </w:pPr>
            <w:r>
              <w:rPr>
                <w:rFonts w:ascii="Times New Roman" w:hAnsi="Times New Roman" w:eastAsia="Times New Roman" w:cs="Times New Roman"/>
                <w:b/>
                <w:color w:val="432153"/>
                <w:sz w:val="22"/>
              </w:rPr>
              <w:t>Objetivo 3.</w:t>
            </w:r>
            <w:r>
              <w:rPr>
                <w:rFonts w:ascii="Times New Roman" w:hAnsi="Times New Roman" w:eastAsia="Times New Roman" w:cs="Times New Roman"/>
                <w:color w:val="432153"/>
                <w:sz w:val="22"/>
              </w:rPr>
              <w:t xml:space="preserve"> Determinar la distribución porcentual del importe semanal pronosticado entre los principales insumos, a partir de su composición histórica y variación temporal.</w:t>
            </w:r>
          </w:p>
        </w:tc>
        <w:tc>
          <w:tcPr>
            <w:tcW w:type="dxa" w:w="4706"/>
            <w:vAlign w:val="top"/>
            <w:shd w:fill="F3EEF7"/>
          </w:tcPr>
          <w:p>
            <w:pPr>
              <w:widowControl/>
              <w:spacing w:before="0" w:after="0" w:line="256" w:lineRule="exact"/>
              <w:jc w:val="left"/>
            </w:pPr>
            <w:r>
              <w:rPr>
                <w:rFonts w:ascii="Times New Roman" w:hAnsi="Times New Roman" w:eastAsia="Times New Roman" w:cs="Times New Roman"/>
                <w:color w:val="432153"/>
                <w:sz w:val="22"/>
              </w:rPr>
              <w:t>Se calcularon participaciones sobre el total elegible; se conservaron las categorías restantes en RESTO_ELEGIBLE y se estimó una distribución histórica ponderada exponencialmente. Las participaciones se multiplicaron por el total pronosticado y se conciliaron los importes. La emisión histórica de cuatro semanas distribuyó $1,855.61 MXN; por ejemplo, HARINA recibió 25.24 % ($468.33).</w:t>
            </w:r>
          </w:p>
        </w:tc>
        <w:tc>
          <w:tcPr>
            <w:tcW w:type="dxa" w:w="2999"/>
            <w:vAlign w:val="top"/>
            <w:shd w:fill="F3EEF7"/>
          </w:tcPr>
          <w:p>
            <w:pPr>
              <w:widowControl/>
              <w:spacing w:before="0" w:after="0" w:line="256" w:lineRule="exact"/>
              <w:jc w:val="left"/>
            </w:pPr>
            <w:r>
              <w:rPr>
                <w:rFonts w:ascii="Times New Roman" w:hAnsi="Times New Roman" w:eastAsia="Times New Roman" w:cs="Times New Roman"/>
                <w:b/>
                <w:color w:val="432153"/>
                <w:sz w:val="22"/>
              </w:rPr>
              <w:t>Evidencia:</w:t>
            </w:r>
            <w:r>
              <w:rPr>
                <w:rFonts w:ascii="Times New Roman" w:hAnsi="Times New Roman" w:eastAsia="Times New Roman" w:cs="Times New Roman"/>
                <w:color w:val="432153"/>
                <w:sz w:val="22"/>
              </w:rPr>
              <w:t xml:space="preserve"> pp. 66–67, ecuaciones 34–36; pp. 71–73, Tabla 4 y Figuras 10–11; p. 78.</w:t>
            </w:r>
          </w:p>
          <w:p>
            <w:pPr>
              <w:spacing w:before="60" w:after="0" w:line="256" w:lineRule="exact"/>
              <w:jc w:val="left"/>
            </w:pPr>
            <w:r>
              <w:rPr>
                <w:rFonts w:ascii="Times New Roman" w:hAnsi="Times New Roman" w:eastAsia="Times New Roman" w:cs="Times New Roman"/>
                <w:b/>
                <w:color w:val="432153"/>
                <w:sz w:val="22"/>
              </w:rPr>
              <w:t>Valoración:</w:t>
            </w:r>
            <w:r>
              <w:rPr>
                <w:rFonts w:ascii="Times New Roman" w:hAnsi="Times New Roman" w:eastAsia="Times New Roman" w:cs="Times New Roman"/>
                <w:color w:val="432153"/>
                <w:sz w:val="22"/>
              </w:rPr>
              <w:t xml:space="preserve"> distribución implementada. Sumar 100 % acredita coherencia aritmética, no mayor precisión.</w:t>
            </w:r>
          </w:p>
        </w:tc>
      </w:tr>
      <w:tr>
        <w:trPr>
          <w:cantSplit/>
        </w:trPr>
        <w:tc>
          <w:tcPr>
            <w:tcW w:type="dxa" w:w="2608"/>
            <w:vAlign w:val="top"/>
            <w:shd w:fill="FAF8FC"/>
          </w:tcPr>
          <w:p>
            <w:pPr>
              <w:widowControl/>
              <w:spacing w:before="0" w:after="0" w:line="256" w:lineRule="exact"/>
              <w:jc w:val="left"/>
            </w:pPr>
            <w:r>
              <w:rPr>
                <w:rFonts w:ascii="Times New Roman" w:hAnsi="Times New Roman" w:eastAsia="Times New Roman" w:cs="Times New Roman"/>
                <w:b/>
                <w:color w:val="432153"/>
                <w:sz w:val="22"/>
              </w:rPr>
              <w:t>Objetivo 4.</w:t>
            </w:r>
            <w:r>
              <w:rPr>
                <w:rFonts w:ascii="Times New Roman" w:hAnsi="Times New Roman" w:eastAsia="Times New Roman" w:cs="Times New Roman"/>
                <w:color w:val="432153"/>
                <w:sz w:val="22"/>
              </w:rPr>
              <w:t xml:space="preserve"> Contrastar la precisión del modelo híbrido y del procedimiento de distribución porcentual frente a modelos de referencia, mediante evaluación temporal y métricas de error monetario y de participación.</w:t>
            </w:r>
          </w:p>
        </w:tc>
        <w:tc>
          <w:tcPr>
            <w:tcW w:type="dxa" w:w="4706"/>
            <w:vAlign w:val="top"/>
            <w:shd w:fill="FAF8FC"/>
          </w:tcPr>
          <w:p>
            <w:pPr>
              <w:widowControl/>
              <w:spacing w:before="0" w:after="0" w:line="256" w:lineRule="exact"/>
              <w:jc w:val="left"/>
            </w:pPr>
            <w:r>
              <w:rPr>
                <w:rFonts w:ascii="Times New Roman" w:hAnsi="Times New Roman" w:eastAsia="Times New Roman" w:cs="Times New Roman"/>
                <w:color w:val="432153"/>
                <w:sz w:val="22"/>
              </w:rPr>
              <w:t>Se aplicó una ventana deslizante de 52 semanas, avance de tres semanas y horizontes de una a cuatro semanas. Se obtuvieron seis orígenes monetarios por horizonte y entre tres y cinco observaciones composicionales válidas. Se compararon RMSE, MAE, MASE y errores de participación. También se repitió la corrida sin parámetros de imputación y se examinó H1.</w:t>
            </w:r>
          </w:p>
        </w:tc>
        <w:tc>
          <w:tcPr>
            <w:tcW w:type="dxa" w:w="2999"/>
            <w:vAlign w:val="top"/>
            <w:shd w:fill="FAF8FC"/>
          </w:tcPr>
          <w:p>
            <w:pPr>
              <w:widowControl/>
              <w:spacing w:before="0" w:after="0" w:line="256" w:lineRule="exact"/>
              <w:jc w:val="left"/>
            </w:pPr>
            <w:r>
              <w:rPr>
                <w:rFonts w:ascii="Times New Roman" w:hAnsi="Times New Roman" w:eastAsia="Times New Roman" w:cs="Times New Roman"/>
                <w:b/>
                <w:color w:val="432153"/>
                <w:sz w:val="22"/>
              </w:rPr>
              <w:t>Evidencia:</w:t>
            </w:r>
            <w:r>
              <w:rPr>
                <w:rFonts w:ascii="Times New Roman" w:hAnsi="Times New Roman" w:eastAsia="Times New Roman" w:cs="Times New Roman"/>
                <w:color w:val="432153"/>
                <w:sz w:val="22"/>
              </w:rPr>
              <w:t xml:space="preserve"> pp. 74–80, Tabla 5 y Figuras 12–15; pp. 83–85.</w:t>
            </w:r>
          </w:p>
          <w:p>
            <w:pPr>
              <w:spacing w:before="60" w:after="0" w:line="256" w:lineRule="exact"/>
              <w:jc w:val="left"/>
            </w:pPr>
            <w:r>
              <w:rPr>
                <w:rFonts w:ascii="Times New Roman" w:hAnsi="Times New Roman" w:eastAsia="Times New Roman" w:cs="Times New Roman"/>
                <w:b/>
                <w:color w:val="432153"/>
                <w:sz w:val="22"/>
              </w:rPr>
              <w:t>Valoración:</w:t>
            </w:r>
            <w:r>
              <w:rPr>
                <w:rFonts w:ascii="Times New Roman" w:hAnsi="Times New Roman" w:eastAsia="Times New Roman" w:cs="Times New Roman"/>
                <w:color w:val="432153"/>
                <w:sz w:val="22"/>
              </w:rPr>
              <w:t xml:space="preserve"> contraste efectuado con alcance exploratorio; no se acreditó superioridad conjunta ni estable.</w:t>
            </w:r>
          </w:p>
        </w:tc>
      </w:tr>
    </w:tbl>
    <w:p>
      <w:pPr>
        <w:pStyle w:val="Heading1"/>
        <w:jc w:val="left"/>
      </w:pPr>
      <w:r>
        <w:rPr>
          <w:rFonts w:ascii="Times New Roman" w:hAnsi="Times New Roman" w:eastAsia="Times New Roman" w:cs="Times New Roman"/>
          <w:sz w:val="22"/>
        </w:rPr>
        <w:t>Precisiones que delimitan el cumplimiento</w:t>
      </w:r>
    </w:p>
    <w:p>
      <w:pPr>
        <w:jc w:val="both"/>
      </w:pPr>
      <w:r>
        <w:rPr>
          <w:rFonts w:ascii="Times New Roman" w:hAnsi="Times New Roman" w:eastAsia="Times New Roman" w:cs="Times New Roman"/>
          <w:b/>
          <w:sz w:val="22"/>
        </w:rPr>
        <w:t>El total modelado no equivale a todas las compras del negocio.</w:t>
      </w:r>
      <w:r>
        <w:rPr>
          <w:rFonts w:ascii="Times New Roman" w:hAnsi="Times New Roman" w:eastAsia="Times New Roman" w:cs="Times New Roman"/>
          <w:sz w:val="22"/>
        </w:rPr>
        <w:t xml:space="preserve"> Se excluyeron COMBUSTIBLE, MUEBLES, HERRAMIENTA, IMPUTADO, IMPUTADOS y OTROS; por ello, la evidencia corresponde al importe registrado de categorías elegibles, no al gasto íntegro certificado (</w:t>
      </w:r>
      <w:r>
        <w:rPr>
          <w:rFonts w:ascii="Times New Roman" w:hAnsi="Times New Roman" w:eastAsia="Times New Roman" w:cs="Times New Roman"/>
          <w:b/>
          <w:sz w:val="22"/>
        </w:rPr>
        <w:t>pp. 64 y 74</w:t>
      </w:r>
      <w:r>
        <w:rPr>
          <w:rFonts w:ascii="Times New Roman" w:hAnsi="Times New Roman" w:eastAsia="Times New Roman" w:cs="Times New Roman"/>
          <w:sz w:val="22"/>
        </w:rPr>
        <w:t>). Esta delimitación debería quedar igualmente visible al formular el objetivo general y al interpretar sus resultados.</w:t>
      </w:r>
    </w:p>
    <w:p>
      <w:pPr>
        <w:jc w:val="both"/>
      </w:pPr>
      <w:r>
        <w:rPr>
          <w:rFonts w:ascii="Times New Roman" w:hAnsi="Times New Roman" w:eastAsia="Times New Roman" w:cs="Times New Roman"/>
          <w:b/>
          <w:sz w:val="22"/>
        </w:rPr>
        <w:t>La selección de insumos necesita una explicación de enlace.</w:t>
      </w:r>
      <w:r>
        <w:rPr>
          <w:rFonts w:ascii="Times New Roman" w:hAnsi="Times New Roman" w:eastAsia="Times New Roman" w:cs="Times New Roman"/>
          <w:sz w:val="22"/>
        </w:rPr>
        <w:t xml:space="preserve"> La Figura 7 presenta 15 categorías principales (</w:t>
      </w:r>
      <w:r>
        <w:rPr>
          <w:rFonts w:ascii="Times New Roman" w:hAnsi="Times New Roman" w:eastAsia="Times New Roman" w:cs="Times New Roman"/>
          <w:b/>
          <w:sz w:val="22"/>
        </w:rPr>
        <w:t>p. 68</w:t>
      </w:r>
      <w:r>
        <w:rPr>
          <w:rFonts w:ascii="Times New Roman" w:hAnsi="Times New Roman" w:eastAsia="Times New Roman" w:cs="Times New Roman"/>
          <w:sz w:val="22"/>
        </w:rPr>
        <w:t>), mientras que los resultados declaran 11 insumos y RESTO_ELEGIBLE (</w:t>
      </w:r>
      <w:r>
        <w:rPr>
          <w:rFonts w:ascii="Times New Roman" w:hAnsi="Times New Roman" w:eastAsia="Times New Roman" w:cs="Times New Roman"/>
          <w:b/>
          <w:sz w:val="22"/>
        </w:rPr>
        <w:t>p. 74</w:t>
      </w:r>
      <w:r>
        <w:rPr>
          <w:rFonts w:ascii="Times New Roman" w:hAnsi="Times New Roman" w:eastAsia="Times New Roman" w:cs="Times New Roman"/>
          <w:sz w:val="22"/>
        </w:rPr>
        <w:t>). Conviene aclarar cómo se pasó del conjunto mostrado en desarrollo al conjunto final. La diferencia no prueba un error del algoritmo, pero dificulta reconstruir el cumplimiento del tercer objetivo.</w:t>
      </w:r>
    </w:p>
    <w:p>
      <w:pPr>
        <w:jc w:val="both"/>
      </w:pPr>
      <w:r>
        <w:rPr>
          <w:rFonts w:ascii="Times New Roman" w:hAnsi="Times New Roman" w:eastAsia="Times New Roman" w:cs="Times New Roman"/>
          <w:b/>
          <w:sz w:val="22"/>
        </w:rPr>
        <w:t>Incorporar predictores no demuestra cuánto aportan.</w:t>
      </w:r>
      <w:r>
        <w:rPr>
          <w:rFonts w:ascii="Times New Roman" w:hAnsi="Times New Roman" w:eastAsia="Times New Roman" w:cs="Times New Roman"/>
          <w:sz w:val="22"/>
        </w:rPr>
        <w:t xml:space="preserve"> Las ventas y el calendario se integraron, pero no se aisló su contribución mediante una comparación controlada con y sin ellos (</w:t>
      </w:r>
      <w:r>
        <w:rPr>
          <w:rFonts w:ascii="Times New Roman" w:hAnsi="Times New Roman" w:eastAsia="Times New Roman" w:cs="Times New Roman"/>
          <w:b/>
          <w:sz w:val="22"/>
        </w:rPr>
        <w:t>pp. 82 y 85</w:t>
      </w:r>
      <w:r>
        <w:rPr>
          <w:rFonts w:ascii="Times New Roman" w:hAnsi="Times New Roman" w:eastAsia="Times New Roman" w:cs="Times New Roman"/>
          <w:sz w:val="22"/>
        </w:rPr>
        <w:t>). Esto no invalida el desarrollo requerido por el objetivo 2; sí impide atribuirles una reducción específica del error.</w:t>
      </w:r>
    </w:p>
    <w:p>
      <w:pPr>
        <w:jc w:val="both"/>
      </w:pPr>
      <w:r>
        <w:rPr>
          <w:rFonts w:ascii="Times New Roman" w:hAnsi="Times New Roman" w:eastAsia="Times New Roman" w:cs="Times New Roman"/>
          <w:b/>
          <w:sz w:val="22"/>
        </w:rPr>
        <w:t>Lo pendiente no debe contarse como realizado.</w:t>
      </w:r>
      <w:r>
        <w:rPr>
          <w:rFonts w:ascii="Times New Roman" w:hAnsi="Times New Roman" w:eastAsia="Times New Roman" w:cs="Times New Roman"/>
          <w:sz w:val="22"/>
        </w:rPr>
        <w:t xml:space="preserve"> Actualizar los registros, estimar intervalos predictivos futuros y validar el uso del tablero se plantean como trabajo posterior (</w:t>
      </w:r>
      <w:r>
        <w:rPr>
          <w:rFonts w:ascii="Times New Roman" w:hAnsi="Times New Roman" w:eastAsia="Times New Roman" w:cs="Times New Roman"/>
          <w:b/>
          <w:sz w:val="22"/>
        </w:rPr>
        <w:t>pp. 86–87</w:t>
      </w:r>
      <w:r>
        <w:rPr>
          <w:rFonts w:ascii="Times New Roman" w:hAnsi="Times New Roman" w:eastAsia="Times New Roman" w:cs="Times New Roman"/>
          <w:sz w:val="22"/>
        </w:rPr>
        <w:t>). El pronóstico exhibido parte del 4 de agosto de 2025 y no constituye un presupuesto vigente (</w:t>
      </w:r>
      <w:r>
        <w:rPr>
          <w:rFonts w:ascii="Times New Roman" w:hAnsi="Times New Roman" w:eastAsia="Times New Roman" w:cs="Times New Roman"/>
          <w:b/>
          <w:sz w:val="22"/>
        </w:rPr>
        <w:t>pp. 73 y 78</w:t>
      </w:r>
      <w:r>
        <w:rPr>
          <w:rFonts w:ascii="Times New Roman" w:hAnsi="Times New Roman" w:eastAsia="Times New Roman" w:cs="Times New Roman"/>
          <w:sz w:val="22"/>
        </w:rPr>
        <w:t>).</w:t>
      </w:r>
    </w:p>
    <w:p>
      <w:pPr>
        <w:pStyle w:val="Heading1"/>
        <w:pageBreakBefore/>
        <w:spacing w:before="0"/>
        <w:jc w:val="left"/>
      </w:pPr>
      <w:r>
        <w:rPr>
          <w:rFonts w:ascii="Times New Roman" w:hAnsi="Times New Roman" w:eastAsia="Times New Roman" w:cs="Times New Roman"/>
          <w:sz w:val="22"/>
        </w:rPr>
        <w:t>3. Hipótesis: qué exige y qué muestran los resultados</w:t>
      </w:r>
    </w:p>
    <w:p>
      <w:pPr>
        <w:jc w:val="both"/>
      </w:pPr>
      <w:r>
        <w:rPr>
          <w:rFonts w:ascii="Times New Roman" w:hAnsi="Times New Roman" w:eastAsia="Times New Roman" w:cs="Times New Roman"/>
          <w:sz w:val="22"/>
        </w:rPr>
        <w:t xml:space="preserve">La hipótesis de investigación se formula en la </w:t>
      </w:r>
      <w:r>
        <w:rPr>
          <w:rFonts w:ascii="Times New Roman" w:hAnsi="Times New Roman" w:eastAsia="Times New Roman" w:cs="Times New Roman"/>
          <w:b/>
          <w:sz w:val="22"/>
        </w:rPr>
        <w:t>p. 32</w:t>
      </w:r>
      <w:r>
        <w:rPr>
          <w:rFonts w:ascii="Times New Roman" w:hAnsi="Times New Roman" w:eastAsia="Times New Roman" w:cs="Times New Roman"/>
          <w:sz w:val="22"/>
        </w:rPr>
        <w:t>:</w:t>
      </w:r>
    </w:p>
    <w:p>
      <w:pPr>
        <w:ind w:left="142" w:right="142"/>
        <w:jc w:val="both"/>
      </w:pPr>
      <w:r>
        <w:rPr>
          <w:rFonts w:ascii="Times New Roman" w:hAnsi="Times New Roman" w:eastAsia="Times New Roman" w:cs="Times New Roman"/>
          <w:i/>
          <w:sz w:val="22"/>
        </w:rPr>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pPr>
        <w:jc w:val="both"/>
      </w:pPr>
      <w:r>
        <w:rPr>
          <w:rFonts w:ascii="Times New Roman" w:hAnsi="Times New Roman" w:eastAsia="Times New Roman" w:cs="Times New Roman"/>
          <w:sz w:val="22"/>
        </w:rPr>
        <w:t xml:space="preserve">H1 exige una mejora </w:t>
      </w:r>
      <w:r>
        <w:rPr>
          <w:rFonts w:ascii="Times New Roman" w:hAnsi="Times New Roman" w:eastAsia="Times New Roman" w:cs="Times New Roman"/>
          <w:b/>
          <w:sz w:val="22"/>
        </w:rPr>
        <w:t>en ambos componentes</w:t>
      </w:r>
      <w:r>
        <w:rPr>
          <w:rFonts w:ascii="Times New Roman" w:hAnsi="Times New Roman" w:eastAsia="Times New Roman" w:cs="Times New Roman"/>
          <w:sz w:val="22"/>
        </w:rPr>
        <w:t xml:space="preserve">, no únicamente en el importe. El propio estudio fija esta condición en las </w:t>
      </w:r>
      <w:r>
        <w:rPr>
          <w:rFonts w:ascii="Times New Roman" w:hAnsi="Times New Roman" w:eastAsia="Times New Roman" w:cs="Times New Roman"/>
          <w:b/>
          <w:sz w:val="22"/>
        </w:rPr>
        <w:t>pp. 49 y 54</w:t>
      </w:r>
      <w:r>
        <w:rPr>
          <w:rFonts w:ascii="Times New Roman" w:hAnsi="Times New Roman" w:eastAsia="Times New Roman" w:cs="Times New Roman"/>
          <w:sz w:val="22"/>
        </w:rPr>
        <w:t>, y establece una semana como horizonte principal (</w:t>
      </w:r>
      <w:r>
        <w:rPr>
          <w:rFonts w:ascii="Times New Roman" w:hAnsi="Times New Roman" w:eastAsia="Times New Roman" w:cs="Times New Roman"/>
          <w:b/>
          <w:sz w:val="22"/>
        </w:rPr>
        <w:t>p. 53</w:t>
      </w:r>
      <w:r>
        <w:rPr>
          <w:rFonts w:ascii="Times New Roman" w:hAnsi="Times New Roman" w:eastAsia="Times New Roman" w:cs="Times New Roman"/>
          <w:sz w:val="22"/>
        </w:rPr>
        <w:t>). La Tabla 2 permite ver por qué los resultados favorables aislados no bastan para confirmar esa afirmación conjunta.</w:t>
      </w:r>
    </w:p>
    <w:p>
      <w:pPr>
        <w:pStyle w:val="Caption"/>
        <w:jc w:val="left"/>
      </w:pPr>
      <w:r>
        <w:rPr>
          <w:rFonts w:ascii="Times New Roman" w:hAnsi="Times New Roman" w:eastAsia="Times New Roman" w:cs="Times New Roman"/>
          <w:sz w:val="22"/>
        </w:rPr>
        <w:t>Tabla 2. Resultados fuera de muestra reportados en la tesis.</w:t>
      </w:r>
    </w:p>
    <w:tbl>
      <w:tblPr>
        <w:tblW w:type="dxa" w:w="10312"/>
        <w:jc w:val="center"/>
        <w:tblLayout w:type="fixed"/>
        <w:tblLook w:firstColumn="1" w:firstRow="1" w:lastColumn="0" w:lastRow="0" w:noHBand="0" w:noVBand="1" w:val="04A0"/>
        <w:tblCellMar>
          <w:top w:w="90" w:type="dxa"/>
          <w:bottom w:w="90" w:type="dxa"/>
          <w:left w:w="95" w:type="dxa"/>
          <w:right w:w="95" w:type="dxa"/>
        </w:tblCellMar>
        <w:tblBorders>
          <w:top w:val="single" w:sz="4" w:color="C9B7D6"/>
          <w:left w:val="single" w:sz="4" w:color="C9B7D6"/>
          <w:bottom w:val="single" w:sz="4" w:color="C9B7D6"/>
          <w:right w:val="single" w:sz="4" w:color="C9B7D6"/>
          <w:insideH w:val="single" w:sz="4" w:color="C9B7D6"/>
          <w:insideV w:val="single" w:sz="4" w:color="C9B7D6"/>
        </w:tblBorders>
      </w:tblPr>
      <w:tblGrid>
        <w:gridCol w:w="1276"/>
        <w:gridCol w:w="1729"/>
        <w:gridCol w:w="3566"/>
        <w:gridCol w:w="1871"/>
        <w:gridCol w:w="1871"/>
      </w:tblGrid>
      <w:tr>
        <w:trPr>
          <w:tblHeader w:val="true"/>
          <w:cantSplit/>
        </w:trPr>
        <w:tc>
          <w:tcPr>
            <w:tcW w:type="dxa" w:w="1276"/>
            <w:vAlign w:val="top"/>
            <w:shd w:fill="643780"/>
          </w:tcPr>
          <w:p>
            <w:pPr>
              <w:keepNext/>
              <w:widowControl/>
              <w:spacing w:before="0" w:after="0" w:line="256" w:lineRule="exact"/>
              <w:jc w:val="center"/>
            </w:pPr>
            <w:r>
              <w:rPr>
                <w:rFonts w:ascii="Times New Roman" w:hAnsi="Times New Roman" w:eastAsia="Times New Roman" w:cs="Times New Roman"/>
                <w:b/>
                <w:color w:val="FFFFFF"/>
                <w:sz w:val="22"/>
              </w:rPr>
              <w:t>Horizonte</w:t>
            </w:r>
          </w:p>
        </w:tc>
        <w:tc>
          <w:tcPr>
            <w:tcW w:type="dxa" w:w="1729"/>
            <w:vAlign w:val="top"/>
            <w:shd w:fill="643780"/>
          </w:tcPr>
          <w:p>
            <w:pPr>
              <w:keepNext/>
              <w:widowControl/>
              <w:spacing w:before="0" w:after="0" w:line="256" w:lineRule="exact"/>
              <w:jc w:val="center"/>
            </w:pPr>
            <w:r>
              <w:rPr>
                <w:rFonts w:ascii="Times New Roman" w:hAnsi="Times New Roman" w:eastAsia="Times New Roman" w:cs="Times New Roman"/>
                <w:b/>
                <w:color w:val="FFFFFF"/>
                <w:sz w:val="22"/>
              </w:rPr>
              <w:t>RMSE del híbrido (MXN)</w:t>
            </w:r>
          </w:p>
        </w:tc>
        <w:tc>
          <w:tcPr>
            <w:tcW w:type="dxa" w:w="3566"/>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Método con menor RMSE y valor (MXN)</w:t>
            </w:r>
          </w:p>
        </w:tc>
        <w:tc>
          <w:tcPr>
            <w:tcW w:type="dxa" w:w="1871"/>
            <w:vAlign w:val="top"/>
            <w:shd w:fill="643780"/>
          </w:tcPr>
          <w:p>
            <w:pPr>
              <w:keepNext/>
              <w:widowControl/>
              <w:spacing w:before="0" w:after="0" w:line="256" w:lineRule="exact"/>
              <w:jc w:val="center"/>
            </w:pPr>
            <w:r>
              <w:rPr>
                <w:rFonts w:ascii="Times New Roman" w:hAnsi="Times New Roman" w:eastAsia="Times New Roman" w:cs="Times New Roman"/>
                <w:b/>
                <w:color w:val="FFFFFF"/>
                <w:sz w:val="22"/>
              </w:rPr>
              <w:t>MAE histórico (pp)</w:t>
            </w:r>
          </w:p>
        </w:tc>
        <w:tc>
          <w:tcPr>
            <w:tcW w:type="dxa" w:w="1871"/>
            <w:vAlign w:val="top"/>
            <w:shd w:fill="643780"/>
          </w:tcPr>
          <w:p>
            <w:pPr>
              <w:keepNext/>
              <w:widowControl/>
              <w:spacing w:before="0" w:after="0" w:line="256" w:lineRule="exact"/>
              <w:jc w:val="center"/>
            </w:pPr>
            <w:r>
              <w:rPr>
                <w:rFonts w:ascii="Times New Roman" w:hAnsi="Times New Roman" w:eastAsia="Times New Roman" w:cs="Times New Roman"/>
                <w:b/>
                <w:color w:val="FFFFFF"/>
                <w:sz w:val="22"/>
              </w:rPr>
              <w:t>MAE ponderado (pp)</w:t>
            </w:r>
          </w:p>
        </w:tc>
      </w:tr>
      <w:tr>
        <w:trPr>
          <w:cantSplit/>
        </w:trPr>
        <w:tc>
          <w:tcPr>
            <w:tcW w:type="dxa" w:w="1276"/>
            <w:vAlign w:val="top"/>
            <w:shd w:fill="F3EEF7"/>
          </w:tcPr>
          <w:p>
            <w:pPr>
              <w:widowControl/>
              <w:spacing w:before="0" w:after="0" w:line="256" w:lineRule="exact"/>
              <w:jc w:val="center"/>
            </w:pPr>
            <w:r>
              <w:rPr>
                <w:rFonts w:ascii="Times New Roman" w:hAnsi="Times New Roman" w:eastAsia="Times New Roman" w:cs="Times New Roman"/>
                <w:color w:val="432153"/>
                <w:sz w:val="22"/>
              </w:rPr>
              <w:t>1 semana</w:t>
            </w:r>
          </w:p>
        </w:tc>
        <w:tc>
          <w:tcPr>
            <w:tcW w:type="dxa" w:w="1729"/>
            <w:vAlign w:val="top"/>
            <w:shd w:fill="F3EEF7"/>
          </w:tcPr>
          <w:p>
            <w:pPr>
              <w:widowControl/>
              <w:spacing w:before="0" w:after="0" w:line="256" w:lineRule="exact"/>
              <w:jc w:val="center"/>
            </w:pPr>
            <w:r>
              <w:rPr>
                <w:rFonts w:ascii="Times New Roman" w:hAnsi="Times New Roman" w:eastAsia="Times New Roman" w:cs="Times New Roman"/>
                <w:color w:val="432153"/>
                <w:sz w:val="22"/>
              </w:rPr>
              <w:t>521.60</w:t>
            </w:r>
          </w:p>
        </w:tc>
        <w:tc>
          <w:tcPr>
            <w:tcW w:type="dxa" w:w="3566"/>
            <w:vAlign w:val="top"/>
            <w:shd w:fill="F3EEF7"/>
          </w:tcPr>
          <w:p>
            <w:pPr>
              <w:widowControl/>
              <w:spacing w:before="0" w:after="0" w:line="256" w:lineRule="exact"/>
              <w:jc w:val="left"/>
            </w:pPr>
            <w:r>
              <w:rPr>
                <w:rFonts w:ascii="Times New Roman" w:hAnsi="Times New Roman" w:eastAsia="Times New Roman" w:cs="Times New Roman"/>
                <w:color w:val="432153"/>
                <w:sz w:val="22"/>
              </w:rPr>
              <w:t>Random Forest</w:t>
            </w:r>
          </w:p>
          <w:p>
            <w:pPr>
              <w:spacing w:before="60" w:after="0" w:line="256" w:lineRule="exact"/>
              <w:jc w:val="left"/>
            </w:pPr>
            <w:r>
              <w:rPr>
                <w:rFonts w:ascii="Times New Roman" w:hAnsi="Times New Roman" w:eastAsia="Times New Roman" w:cs="Times New Roman"/>
                <w:color w:val="432153"/>
                <w:sz w:val="22"/>
              </w:rPr>
              <w:t>446.21</w:t>
            </w:r>
          </w:p>
        </w:tc>
        <w:tc>
          <w:tcPr>
            <w:tcW w:type="dxa" w:w="1871"/>
            <w:vAlign w:val="top"/>
            <w:shd w:fill="F3EEF7"/>
          </w:tcPr>
          <w:p>
            <w:pPr>
              <w:widowControl/>
              <w:spacing w:before="0" w:after="0" w:line="256" w:lineRule="exact"/>
              <w:jc w:val="center"/>
            </w:pPr>
            <w:r>
              <w:rPr>
                <w:rFonts w:ascii="Times New Roman" w:hAnsi="Times New Roman" w:eastAsia="Times New Roman" w:cs="Times New Roman"/>
                <w:color w:val="432153"/>
                <w:sz w:val="22"/>
              </w:rPr>
              <w:t>10.34</w:t>
            </w:r>
          </w:p>
        </w:tc>
        <w:tc>
          <w:tcPr>
            <w:tcW w:type="dxa" w:w="1871"/>
            <w:vAlign w:val="top"/>
            <w:shd w:fill="F3EEF7"/>
          </w:tcPr>
          <w:p>
            <w:pPr>
              <w:widowControl/>
              <w:spacing w:before="0" w:after="0" w:line="256" w:lineRule="exact"/>
              <w:jc w:val="center"/>
            </w:pPr>
            <w:r>
              <w:rPr>
                <w:rFonts w:ascii="Times New Roman" w:hAnsi="Times New Roman" w:eastAsia="Times New Roman" w:cs="Times New Roman"/>
                <w:color w:val="432153"/>
                <w:sz w:val="22"/>
              </w:rPr>
              <w:t>11.73</w:t>
            </w:r>
          </w:p>
        </w:tc>
      </w:tr>
      <w:tr>
        <w:trPr>
          <w:cantSplit/>
        </w:trPr>
        <w:tc>
          <w:tcPr>
            <w:tcW w:type="dxa" w:w="1276"/>
            <w:vAlign w:val="top"/>
            <w:shd w:fill="FAF8FC"/>
          </w:tcPr>
          <w:p>
            <w:pPr>
              <w:widowControl/>
              <w:spacing w:before="0" w:after="0" w:line="256" w:lineRule="exact"/>
              <w:jc w:val="center"/>
            </w:pPr>
            <w:r>
              <w:rPr>
                <w:rFonts w:ascii="Times New Roman" w:hAnsi="Times New Roman" w:eastAsia="Times New Roman" w:cs="Times New Roman"/>
                <w:color w:val="432153"/>
                <w:sz w:val="22"/>
              </w:rPr>
              <w:t>2 semanas</w:t>
            </w:r>
          </w:p>
        </w:tc>
        <w:tc>
          <w:tcPr>
            <w:tcW w:type="dxa" w:w="1729"/>
            <w:vAlign w:val="top"/>
            <w:shd w:fill="FAF8FC"/>
          </w:tcPr>
          <w:p>
            <w:pPr>
              <w:widowControl/>
              <w:spacing w:before="0" w:after="0" w:line="256" w:lineRule="exact"/>
              <w:jc w:val="center"/>
            </w:pPr>
            <w:r>
              <w:rPr>
                <w:rFonts w:ascii="Times New Roman" w:hAnsi="Times New Roman" w:eastAsia="Times New Roman" w:cs="Times New Roman"/>
                <w:color w:val="432153"/>
                <w:sz w:val="22"/>
              </w:rPr>
              <w:t>695.41</w:t>
            </w:r>
          </w:p>
        </w:tc>
        <w:tc>
          <w:tcPr>
            <w:tcW w:type="dxa" w:w="3566"/>
            <w:vAlign w:val="top"/>
            <w:shd w:fill="FAF8FC"/>
          </w:tcPr>
          <w:p>
            <w:pPr>
              <w:widowControl/>
              <w:spacing w:before="0" w:after="0" w:line="256" w:lineRule="exact"/>
              <w:jc w:val="left"/>
            </w:pPr>
            <w:r>
              <w:rPr>
                <w:rFonts w:ascii="Times New Roman" w:hAnsi="Times New Roman" w:eastAsia="Times New Roman" w:cs="Times New Roman"/>
                <w:color w:val="432153"/>
                <w:sz w:val="22"/>
              </w:rPr>
              <w:t>HistGradientBoosting</w:t>
            </w:r>
          </w:p>
          <w:p>
            <w:pPr>
              <w:spacing w:before="60" w:after="0" w:line="256" w:lineRule="exact"/>
              <w:jc w:val="left"/>
            </w:pPr>
            <w:r>
              <w:rPr>
                <w:rFonts w:ascii="Times New Roman" w:hAnsi="Times New Roman" w:eastAsia="Times New Roman" w:cs="Times New Roman"/>
                <w:color w:val="432153"/>
                <w:sz w:val="22"/>
              </w:rPr>
              <w:t>596.17</w:t>
            </w:r>
          </w:p>
        </w:tc>
        <w:tc>
          <w:tcPr>
            <w:tcW w:type="dxa" w:w="1871"/>
            <w:vAlign w:val="top"/>
            <w:shd w:fill="FAF8FC"/>
          </w:tcPr>
          <w:p>
            <w:pPr>
              <w:widowControl/>
              <w:spacing w:before="0" w:after="0" w:line="256" w:lineRule="exact"/>
              <w:jc w:val="center"/>
            </w:pPr>
            <w:r>
              <w:rPr>
                <w:rFonts w:ascii="Times New Roman" w:hAnsi="Times New Roman" w:eastAsia="Times New Roman" w:cs="Times New Roman"/>
                <w:color w:val="432153"/>
                <w:sz w:val="22"/>
              </w:rPr>
              <w:t>7.14</w:t>
            </w:r>
          </w:p>
        </w:tc>
        <w:tc>
          <w:tcPr>
            <w:tcW w:type="dxa" w:w="1871"/>
            <w:vAlign w:val="top"/>
            <w:shd w:fill="FAF8FC"/>
          </w:tcPr>
          <w:p>
            <w:pPr>
              <w:widowControl/>
              <w:spacing w:before="0" w:after="0" w:line="256" w:lineRule="exact"/>
              <w:jc w:val="center"/>
            </w:pPr>
            <w:r>
              <w:rPr>
                <w:rFonts w:ascii="Times New Roman" w:hAnsi="Times New Roman" w:eastAsia="Times New Roman" w:cs="Times New Roman"/>
                <w:color w:val="432153"/>
                <w:sz w:val="22"/>
              </w:rPr>
              <w:t>6.93</w:t>
            </w:r>
          </w:p>
        </w:tc>
      </w:tr>
      <w:tr>
        <w:trPr>
          <w:cantSplit/>
        </w:trPr>
        <w:tc>
          <w:tcPr>
            <w:tcW w:type="dxa" w:w="1276"/>
            <w:vAlign w:val="top"/>
            <w:shd w:fill="F3EEF7"/>
          </w:tcPr>
          <w:p>
            <w:pPr>
              <w:widowControl/>
              <w:spacing w:before="0" w:after="0" w:line="256" w:lineRule="exact"/>
              <w:jc w:val="center"/>
            </w:pPr>
            <w:r>
              <w:rPr>
                <w:rFonts w:ascii="Times New Roman" w:hAnsi="Times New Roman" w:eastAsia="Times New Roman" w:cs="Times New Roman"/>
                <w:color w:val="432153"/>
                <w:sz w:val="22"/>
              </w:rPr>
              <w:t>3 semanas</w:t>
            </w:r>
          </w:p>
        </w:tc>
        <w:tc>
          <w:tcPr>
            <w:tcW w:type="dxa" w:w="1729"/>
            <w:vAlign w:val="top"/>
            <w:shd w:fill="F3EEF7"/>
          </w:tcPr>
          <w:p>
            <w:pPr>
              <w:widowControl/>
              <w:spacing w:before="0" w:after="0" w:line="256" w:lineRule="exact"/>
              <w:jc w:val="center"/>
            </w:pPr>
            <w:r>
              <w:rPr>
                <w:rFonts w:ascii="Times New Roman" w:hAnsi="Times New Roman" w:eastAsia="Times New Roman" w:cs="Times New Roman"/>
                <w:color w:val="432153"/>
                <w:sz w:val="22"/>
              </w:rPr>
              <w:t>801.62</w:t>
            </w:r>
          </w:p>
        </w:tc>
        <w:tc>
          <w:tcPr>
            <w:tcW w:type="dxa" w:w="3566"/>
            <w:vAlign w:val="top"/>
            <w:shd w:fill="F3EEF7"/>
          </w:tcPr>
          <w:p>
            <w:pPr>
              <w:widowControl/>
              <w:spacing w:before="0" w:after="0" w:line="256" w:lineRule="exact"/>
              <w:jc w:val="left"/>
            </w:pPr>
            <w:r>
              <w:rPr>
                <w:rFonts w:ascii="Times New Roman" w:hAnsi="Times New Roman" w:eastAsia="Times New Roman" w:cs="Times New Roman"/>
                <w:color w:val="432153"/>
                <w:sz w:val="22"/>
              </w:rPr>
              <w:t>Híbrido</w:t>
            </w:r>
          </w:p>
          <w:p>
            <w:pPr>
              <w:spacing w:before="60" w:after="0" w:line="256" w:lineRule="exact"/>
              <w:jc w:val="left"/>
            </w:pPr>
            <w:r>
              <w:rPr>
                <w:rFonts w:ascii="Times New Roman" w:hAnsi="Times New Roman" w:eastAsia="Times New Roman" w:cs="Times New Roman"/>
                <w:color w:val="432153"/>
                <w:sz w:val="22"/>
              </w:rPr>
              <w:t>801.62</w:t>
            </w:r>
          </w:p>
        </w:tc>
        <w:tc>
          <w:tcPr>
            <w:tcW w:type="dxa" w:w="1871"/>
            <w:vAlign w:val="top"/>
            <w:shd w:fill="F3EEF7"/>
          </w:tcPr>
          <w:p>
            <w:pPr>
              <w:widowControl/>
              <w:spacing w:before="0" w:after="0" w:line="256" w:lineRule="exact"/>
              <w:jc w:val="center"/>
            </w:pPr>
            <w:r>
              <w:rPr>
                <w:rFonts w:ascii="Times New Roman" w:hAnsi="Times New Roman" w:eastAsia="Times New Roman" w:cs="Times New Roman"/>
                <w:color w:val="432153"/>
                <w:sz w:val="22"/>
              </w:rPr>
              <w:t>10.77</w:t>
            </w:r>
          </w:p>
        </w:tc>
        <w:tc>
          <w:tcPr>
            <w:tcW w:type="dxa" w:w="1871"/>
            <w:vAlign w:val="top"/>
            <w:shd w:fill="F3EEF7"/>
          </w:tcPr>
          <w:p>
            <w:pPr>
              <w:widowControl/>
              <w:spacing w:before="0" w:after="0" w:line="256" w:lineRule="exact"/>
              <w:jc w:val="center"/>
            </w:pPr>
            <w:r>
              <w:rPr>
                <w:rFonts w:ascii="Times New Roman" w:hAnsi="Times New Roman" w:eastAsia="Times New Roman" w:cs="Times New Roman"/>
                <w:color w:val="432153"/>
                <w:sz w:val="22"/>
              </w:rPr>
              <w:t>10.37</w:t>
            </w:r>
          </w:p>
        </w:tc>
      </w:tr>
      <w:tr>
        <w:trPr>
          <w:cantSplit/>
        </w:trPr>
        <w:tc>
          <w:tcPr>
            <w:tcW w:type="dxa" w:w="1276"/>
            <w:vAlign w:val="top"/>
            <w:shd w:fill="FAF8FC"/>
          </w:tcPr>
          <w:p>
            <w:pPr>
              <w:widowControl/>
              <w:spacing w:before="0" w:after="0" w:line="256" w:lineRule="exact"/>
              <w:jc w:val="center"/>
            </w:pPr>
            <w:r>
              <w:rPr>
                <w:rFonts w:ascii="Times New Roman" w:hAnsi="Times New Roman" w:eastAsia="Times New Roman" w:cs="Times New Roman"/>
                <w:color w:val="432153"/>
                <w:sz w:val="22"/>
              </w:rPr>
              <w:t>4 semanas</w:t>
            </w:r>
          </w:p>
        </w:tc>
        <w:tc>
          <w:tcPr>
            <w:tcW w:type="dxa" w:w="1729"/>
            <w:vAlign w:val="top"/>
            <w:shd w:fill="FAF8FC"/>
          </w:tcPr>
          <w:p>
            <w:pPr>
              <w:widowControl/>
              <w:spacing w:before="0" w:after="0" w:line="256" w:lineRule="exact"/>
              <w:jc w:val="center"/>
            </w:pPr>
            <w:r>
              <w:rPr>
                <w:rFonts w:ascii="Times New Roman" w:hAnsi="Times New Roman" w:eastAsia="Times New Roman" w:cs="Times New Roman"/>
                <w:color w:val="432153"/>
                <w:sz w:val="22"/>
              </w:rPr>
              <w:t>700.88</w:t>
            </w:r>
          </w:p>
        </w:tc>
        <w:tc>
          <w:tcPr>
            <w:tcW w:type="dxa" w:w="3566"/>
            <w:vAlign w:val="top"/>
            <w:shd w:fill="FAF8FC"/>
          </w:tcPr>
          <w:p>
            <w:pPr>
              <w:widowControl/>
              <w:spacing w:before="0" w:after="0" w:line="256" w:lineRule="exact"/>
              <w:jc w:val="left"/>
            </w:pPr>
            <w:r>
              <w:rPr>
                <w:rFonts w:ascii="Times New Roman" w:hAnsi="Times New Roman" w:eastAsia="Times New Roman" w:cs="Times New Roman"/>
                <w:color w:val="432153"/>
                <w:sz w:val="22"/>
              </w:rPr>
              <w:t>RF residual + ARIMA estacional</w:t>
            </w:r>
          </w:p>
          <w:p>
            <w:pPr>
              <w:spacing w:before="60" w:after="0" w:line="256" w:lineRule="exact"/>
              <w:jc w:val="left"/>
            </w:pPr>
            <w:r>
              <w:rPr>
                <w:rFonts w:ascii="Times New Roman" w:hAnsi="Times New Roman" w:eastAsia="Times New Roman" w:cs="Times New Roman"/>
                <w:color w:val="432153"/>
                <w:sz w:val="22"/>
              </w:rPr>
              <w:t>578.95</w:t>
            </w:r>
          </w:p>
        </w:tc>
        <w:tc>
          <w:tcPr>
            <w:tcW w:type="dxa" w:w="1871"/>
            <w:vAlign w:val="top"/>
            <w:shd w:fill="FAF8FC"/>
          </w:tcPr>
          <w:p>
            <w:pPr>
              <w:widowControl/>
              <w:spacing w:before="0" w:after="0" w:line="256" w:lineRule="exact"/>
              <w:jc w:val="center"/>
            </w:pPr>
            <w:r>
              <w:rPr>
                <w:rFonts w:ascii="Times New Roman" w:hAnsi="Times New Roman" w:eastAsia="Times New Roman" w:cs="Times New Roman"/>
                <w:color w:val="432153"/>
                <w:sz w:val="22"/>
              </w:rPr>
              <w:t>11.80</w:t>
            </w:r>
          </w:p>
        </w:tc>
        <w:tc>
          <w:tcPr>
            <w:tcW w:type="dxa" w:w="1871"/>
            <w:vAlign w:val="top"/>
            <w:shd w:fill="FAF8FC"/>
          </w:tcPr>
          <w:p>
            <w:pPr>
              <w:widowControl/>
              <w:spacing w:before="0" w:after="0" w:line="256" w:lineRule="exact"/>
              <w:jc w:val="center"/>
            </w:pPr>
            <w:r>
              <w:rPr>
                <w:rFonts w:ascii="Times New Roman" w:hAnsi="Times New Roman" w:eastAsia="Times New Roman" w:cs="Times New Roman"/>
                <w:color w:val="432153"/>
                <w:sz w:val="22"/>
              </w:rPr>
              <w:t>12.23</w:t>
            </w:r>
          </w:p>
        </w:tc>
      </w:tr>
    </w:tbl>
    <w:p>
      <w:pPr>
        <w:spacing w:after="100" w:before="60"/>
        <w:jc w:val="both"/>
      </w:pPr>
      <w:r>
        <w:rPr>
          <w:rFonts w:ascii="Times New Roman" w:hAnsi="Times New Roman" w:eastAsia="Times New Roman" w:cs="Times New Roman"/>
          <w:b/>
          <w:sz w:val="22"/>
        </w:rPr>
        <w:t>Fuente:</w:t>
      </w:r>
      <w:r>
        <w:rPr>
          <w:rFonts w:ascii="Times New Roman" w:hAnsi="Times New Roman" w:eastAsia="Times New Roman" w:cs="Times New Roman"/>
          <w:sz w:val="22"/>
        </w:rPr>
        <w:t xml:space="preserve"> pp. 76–78, cuadro comparativo monetario, cuadro de composición y Figuras 12–13. RMSE: raíz del error cuadrático medio; MAE: error absoluto medio; pp: puntos porcentuales. Los dos últimos indicadores corresponden a las participaciones; un valor menor es mejor.</w:t>
      </w:r>
    </w:p>
    <w:p>
      <w:pPr>
        <w:pStyle w:val="Heading1"/>
        <w:jc w:val="left"/>
      </w:pPr>
      <w:r>
        <w:rPr>
          <w:rFonts w:ascii="Times New Roman" w:hAnsi="Times New Roman" w:eastAsia="Times New Roman" w:cs="Times New Roman"/>
          <w:sz w:val="22"/>
        </w:rPr>
        <w:t>Lectura de los dos componentes</w:t>
      </w:r>
    </w:p>
    <w:p>
      <w:pPr>
        <w:jc w:val="both"/>
      </w:pPr>
      <w:r>
        <w:rPr>
          <w:rFonts w:ascii="Times New Roman" w:hAnsi="Times New Roman" w:eastAsia="Times New Roman" w:cs="Times New Roman"/>
          <w:b/>
          <w:sz w:val="22"/>
        </w:rPr>
        <w:t>Importe monetario.</w:t>
      </w:r>
      <w:r>
        <w:rPr>
          <w:rFonts w:ascii="Times New Roman" w:hAnsi="Times New Roman" w:eastAsia="Times New Roman" w:cs="Times New Roman"/>
          <w:sz w:val="22"/>
        </w:rPr>
        <w:t xml:space="preserve"> El híbrido consiguió el menor RMSE entre los comparadores principales solo a tres semanas; no lideró a una, dos ni cuatro semanas. Incluso a tres semanas, la red neuronal residual tuvo menor MAE: 421.00 frente a 458.80 MXN, aunque su RMSE fue mayor (</w:t>
      </w:r>
      <w:r>
        <w:rPr>
          <w:rFonts w:ascii="Times New Roman" w:hAnsi="Times New Roman" w:eastAsia="Times New Roman" w:cs="Times New Roman"/>
          <w:b/>
          <w:sz w:val="22"/>
        </w:rPr>
        <w:t>p. 76</w:t>
      </w:r>
      <w:r>
        <w:rPr>
          <w:rFonts w:ascii="Times New Roman" w:hAnsi="Times New Roman" w:eastAsia="Times New Roman" w:cs="Times New Roman"/>
          <w:sz w:val="22"/>
        </w:rPr>
        <w:t>). La ventaja observada depende, por tanto, del horizonte y de la métrica.</w:t>
      </w:r>
    </w:p>
    <w:p>
      <w:pPr>
        <w:jc w:val="both"/>
      </w:pPr>
      <w:r>
        <w:rPr>
          <w:rFonts w:ascii="Times New Roman" w:hAnsi="Times New Roman" w:eastAsia="Times New Roman" w:cs="Times New Roman"/>
          <w:b/>
          <w:sz w:val="22"/>
        </w:rPr>
        <w:t>Distribución porcentual.</w:t>
      </w:r>
      <w:r>
        <w:rPr>
          <w:rFonts w:ascii="Times New Roman" w:hAnsi="Times New Roman" w:eastAsia="Times New Roman" w:cs="Times New Roman"/>
          <w:sz w:val="22"/>
        </w:rPr>
        <w:t xml:space="preserve"> La referencia histórica obtuvo menor error a una y cuatro semanas; la ponderación temporal, a dos y tres semanas (</w:t>
      </w:r>
      <w:r>
        <w:rPr>
          <w:rFonts w:ascii="Times New Roman" w:hAnsi="Times New Roman" w:eastAsia="Times New Roman" w:cs="Times New Roman"/>
          <w:b/>
          <w:sz w:val="22"/>
        </w:rPr>
        <w:t>pp. 77–78</w:t>
      </w:r>
      <w:r>
        <w:rPr>
          <w:rFonts w:ascii="Times New Roman" w:hAnsi="Times New Roman" w:eastAsia="Times New Roman" w:cs="Times New Roman"/>
          <w:sz w:val="22"/>
        </w:rPr>
        <w:t>). En el horizonte principal, 11.73 puntos porcentuales del procedimiento ponderado superan los 10.34 de la referencia: la distribución propuesta fue menos precisa en esa comparación.</w:t>
      </w:r>
    </w:p>
    <w:p>
      <w:pPr>
        <w:jc w:val="both"/>
      </w:pPr>
      <w:r>
        <w:rPr>
          <w:rFonts w:ascii="Times New Roman" w:hAnsi="Times New Roman" w:eastAsia="Times New Roman" w:cs="Times New Roman"/>
          <w:b/>
          <w:sz w:val="22"/>
        </w:rPr>
        <w:t>No son la misma pregunta el liderazgo y el contraste principal.</w:t>
      </w:r>
      <w:r>
        <w:rPr>
          <w:rFonts w:ascii="Times New Roman" w:hAnsi="Times New Roman" w:eastAsia="Times New Roman" w:cs="Times New Roman"/>
          <w:sz w:val="22"/>
        </w:rPr>
        <w:t xml:space="preserve"> Para el importe, la referencia primaria fue el último valor observado (</w:t>
      </w:r>
      <w:r>
        <w:rPr>
          <w:rFonts w:ascii="Times New Roman" w:hAnsi="Times New Roman" w:eastAsia="Times New Roman" w:cs="Times New Roman"/>
          <w:b/>
          <w:sz w:val="22"/>
        </w:rPr>
        <w:t>p. 52</w:t>
      </w:r>
      <w:r>
        <w:rPr>
          <w:rFonts w:ascii="Times New Roman" w:hAnsi="Times New Roman" w:eastAsia="Times New Roman" w:cs="Times New Roman"/>
          <w:sz w:val="22"/>
        </w:rPr>
        <w:t>). Que Random Forest tenga menor RMSE a una semana no sustituye ese contraste. La comparación pareada con la referencia predefinida y sus limitaciones se presentan a continuación. Tampoco procede elegir retrospectivamente las tres semanas solo porque allí los dos componentes resultan favorables: la tesis excluye esa práctica (</w:t>
      </w:r>
      <w:r>
        <w:rPr>
          <w:rFonts w:ascii="Times New Roman" w:hAnsi="Times New Roman" w:eastAsia="Times New Roman" w:cs="Times New Roman"/>
          <w:b/>
          <w:sz w:val="22"/>
        </w:rPr>
        <w:t>pp. 47–48</w:t>
      </w:r>
      <w:r>
        <w:rPr>
          <w:rFonts w:ascii="Times New Roman" w:hAnsi="Times New Roman" w:eastAsia="Times New Roman" w:cs="Times New Roman"/>
          <w:sz w:val="22"/>
        </w:rPr>
        <w:t>).</w:t>
      </w:r>
    </w:p>
    <w:p>
      <w:pPr>
        <w:pStyle w:val="Heading1"/>
        <w:pageBreakBefore/>
        <w:spacing w:before="0"/>
        <w:jc w:val="left"/>
      </w:pPr>
      <w:r>
        <w:rPr>
          <w:rFonts w:ascii="Times New Roman" w:hAnsi="Times New Roman" w:eastAsia="Times New Roman" w:cs="Times New Roman"/>
          <w:sz w:val="22"/>
        </w:rPr>
        <w:t>4. Dictamen sobre H1 y observaciones decisivas</w:t>
      </w:r>
    </w:p>
    <w:p>
      <w:pPr>
        <w:jc w:val="both"/>
      </w:pPr>
      <w:r>
        <w:rPr>
          <w:rFonts w:ascii="Times New Roman" w:hAnsi="Times New Roman" w:eastAsia="Times New Roman" w:cs="Times New Roman"/>
          <w:b/>
          <w:sz w:val="22"/>
        </w:rPr>
        <w:t>La hipótesis no queda confirmada.</w:t>
      </w:r>
      <w:r>
        <w:rPr>
          <w:rFonts w:ascii="Times New Roman" w:hAnsi="Times New Roman" w:eastAsia="Times New Roman" w:cs="Times New Roman"/>
          <w:sz w:val="22"/>
        </w:rPr>
        <w:t xml:space="preserve"> No hay páginas que acrediten el cumplimiento conjunto de H1. Las </w:t>
      </w:r>
      <w:r>
        <w:rPr>
          <w:rFonts w:ascii="Times New Roman" w:hAnsi="Times New Roman" w:eastAsia="Times New Roman" w:cs="Times New Roman"/>
          <w:b/>
          <w:sz w:val="22"/>
        </w:rPr>
        <w:t>pp. 79–80</w:t>
      </w:r>
      <w:r>
        <w:rPr>
          <w:rFonts w:ascii="Times New Roman" w:hAnsi="Times New Roman" w:eastAsia="Times New Roman" w:cs="Times New Roman"/>
          <w:sz w:val="22"/>
        </w:rPr>
        <w:t xml:space="preserve"> presentan el contraste no confirmatorio; las </w:t>
      </w:r>
      <w:r>
        <w:rPr>
          <w:rFonts w:ascii="Times New Roman" w:hAnsi="Times New Roman" w:eastAsia="Times New Roman" w:cs="Times New Roman"/>
          <w:b/>
          <w:sz w:val="22"/>
        </w:rPr>
        <w:t>pp. 83–85</w:t>
      </w:r>
      <w:r>
        <w:rPr>
          <w:rFonts w:ascii="Times New Roman" w:hAnsi="Times New Roman" w:eastAsia="Times New Roman" w:cs="Times New Roman"/>
          <w:sz w:val="22"/>
        </w:rPr>
        <w:t xml:space="preserve"> explican sus límites y mantienen esa conclusión. No se trata de afirmar que la hipótesis sea imposible, sino de reconocer que esta evaluación no aporta el respaldo exigido.</w:t>
      </w:r>
    </w:p>
    <w:p>
      <w:pPr>
        <w:pStyle w:val="Caption"/>
        <w:jc w:val="left"/>
      </w:pPr>
      <w:r>
        <w:rPr>
          <w:rFonts w:ascii="Times New Roman" w:hAnsi="Times New Roman" w:eastAsia="Times New Roman" w:cs="Times New Roman"/>
          <w:sz w:val="22"/>
        </w:rPr>
        <w:t>Tabla 3. Evidencia del contraste principal a una semana.</w:t>
      </w:r>
    </w:p>
    <w:tbl>
      <w:tblPr>
        <w:tblW w:type="dxa" w:w="10312"/>
        <w:jc w:val="center"/>
        <w:tblLayout w:type="fixed"/>
        <w:tblLook w:firstColumn="1" w:firstRow="1" w:lastColumn="0" w:lastRow="0" w:noHBand="0" w:noVBand="1" w:val="04A0"/>
        <w:tblCellMar>
          <w:top w:w="90" w:type="dxa"/>
          <w:bottom w:w="90" w:type="dxa"/>
          <w:left w:w="95" w:type="dxa"/>
          <w:right w:w="95" w:type="dxa"/>
        </w:tblCellMar>
        <w:tblBorders>
          <w:top w:val="single" w:sz="4" w:color="C9B7D6"/>
          <w:left w:val="single" w:sz="4" w:color="C9B7D6"/>
          <w:bottom w:val="single" w:sz="4" w:color="C9B7D6"/>
          <w:right w:val="single" w:sz="4" w:color="C9B7D6"/>
          <w:insideH w:val="single" w:sz="4" w:color="C9B7D6"/>
          <w:insideV w:val="single" w:sz="4" w:color="C9B7D6"/>
        </w:tblBorders>
      </w:tblPr>
      <w:tblGrid>
        <w:gridCol w:w="1474"/>
        <w:gridCol w:w="4365"/>
        <w:gridCol w:w="4473"/>
      </w:tblGrid>
      <w:tr>
        <w:trPr>
          <w:tblHeader w:val="true"/>
          <w:cantSplit/>
        </w:trPr>
        <w:tc>
          <w:tcPr>
            <w:tcW w:type="dxa" w:w="1474"/>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Componente</w:t>
            </w:r>
          </w:p>
        </w:tc>
        <w:tc>
          <w:tcPr>
            <w:tcW w:type="dxa" w:w="4365"/>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Resultado documentado</w:t>
            </w:r>
          </w:p>
        </w:tc>
        <w:tc>
          <w:tcPr>
            <w:tcW w:type="dxa" w:w="4473"/>
            <w:vAlign w:val="top"/>
            <w:shd w:fill="643780"/>
          </w:tcPr>
          <w:p>
            <w:pPr>
              <w:keepNext/>
              <w:widowControl/>
              <w:spacing w:before="0" w:after="0" w:line="256" w:lineRule="exact"/>
              <w:jc w:val="left"/>
            </w:pPr>
            <w:r>
              <w:rPr>
                <w:rFonts w:ascii="Times New Roman" w:hAnsi="Times New Roman" w:eastAsia="Times New Roman" w:cs="Times New Roman"/>
                <w:b/>
                <w:color w:val="FFFFFF"/>
                <w:sz w:val="22"/>
              </w:rPr>
              <w:t>Interpretación de la revisión</w:t>
            </w:r>
          </w:p>
        </w:tc>
      </w:tr>
      <w:tr>
        <w:trPr>
          <w:cantSplit/>
        </w:trPr>
        <w:tc>
          <w:tcPr>
            <w:tcW w:type="dxa" w:w="1474"/>
            <w:vAlign w:val="top"/>
            <w:shd w:fill="F3EEF7"/>
          </w:tcPr>
          <w:p>
            <w:pPr>
              <w:widowControl/>
              <w:spacing w:before="0" w:after="0" w:line="256" w:lineRule="exact"/>
              <w:jc w:val="left"/>
            </w:pPr>
            <w:r>
              <w:rPr>
                <w:rFonts w:ascii="Times New Roman" w:hAnsi="Times New Roman" w:eastAsia="Times New Roman" w:cs="Times New Roman"/>
                <w:b/>
                <w:color w:val="432153"/>
                <w:sz w:val="22"/>
              </w:rPr>
              <w:t>Importe</w:t>
            </w:r>
          </w:p>
        </w:tc>
        <w:tc>
          <w:tcPr>
            <w:tcW w:type="dxa" w:w="4365"/>
            <w:vAlign w:val="top"/>
            <w:shd w:fill="F3EEF7"/>
          </w:tcPr>
          <w:p>
            <w:pPr>
              <w:widowControl/>
              <w:spacing w:before="0" w:after="0" w:line="256" w:lineRule="exact"/>
              <w:jc w:val="left"/>
            </w:pPr>
            <w:r>
              <w:rPr>
                <w:rFonts w:ascii="Times New Roman" w:hAnsi="Times New Roman" w:eastAsia="Times New Roman" w:cs="Times New Roman"/>
                <w:color w:val="432153"/>
                <w:sz w:val="22"/>
              </w:rPr>
              <w:t xml:space="preserve">Seis pares. Diferencia media de errores cuadrados: último valor menos híbrido = </w:t>
            </w:r>
            <w:r>
              <w:rPr>
                <w:rFonts w:ascii="Times New Roman" w:hAnsi="Times New Roman" w:eastAsia="Times New Roman" w:cs="Times New Roman"/>
                <w:b/>
                <w:color w:val="432153"/>
                <w:sz w:val="22"/>
              </w:rPr>
              <w:t>161,798.64 MXN²</w:t>
            </w:r>
            <w:r>
              <w:rPr>
                <w:rFonts w:ascii="Times New Roman" w:hAnsi="Times New Roman" w:eastAsia="Times New Roman" w:cs="Times New Roman"/>
                <w:color w:val="432153"/>
                <w:sz w:val="22"/>
              </w:rPr>
              <w:t>.</w:t>
            </w:r>
          </w:p>
        </w:tc>
        <w:tc>
          <w:tcPr>
            <w:tcW w:type="dxa" w:w="4473"/>
            <w:vAlign w:val="top"/>
            <w:shd w:fill="F3EEF7"/>
          </w:tcPr>
          <w:p>
            <w:pPr>
              <w:widowControl/>
              <w:spacing w:before="0" w:after="0" w:line="256" w:lineRule="exact"/>
              <w:jc w:val="left"/>
            </w:pPr>
            <w:r>
              <w:rPr>
                <w:rFonts w:ascii="Times New Roman" w:hAnsi="Times New Roman" w:eastAsia="Times New Roman" w:cs="Times New Roman"/>
                <w:color w:val="432153"/>
                <w:sz w:val="22"/>
              </w:rPr>
              <w:t>La diferencia positiva favorece descriptivamente al híbrido frente al último valor; no se generó intervalo inferencial (</w:t>
            </w:r>
            <w:r>
              <w:rPr>
                <w:rFonts w:ascii="Times New Roman" w:hAnsi="Times New Roman" w:eastAsia="Times New Roman" w:cs="Times New Roman"/>
                <w:b/>
                <w:color w:val="432153"/>
                <w:sz w:val="22"/>
              </w:rPr>
              <w:t>p. 79</w:t>
            </w:r>
            <w:r>
              <w:rPr>
                <w:rFonts w:ascii="Times New Roman" w:hAnsi="Times New Roman" w:eastAsia="Times New Roman" w:cs="Times New Roman"/>
                <w:color w:val="432153"/>
                <w:sz w:val="22"/>
              </w:rPr>
              <w:t>).</w:t>
            </w:r>
          </w:p>
        </w:tc>
      </w:tr>
      <w:tr>
        <w:trPr>
          <w:cantSplit/>
        </w:trPr>
        <w:tc>
          <w:tcPr>
            <w:tcW w:type="dxa" w:w="1474"/>
            <w:vAlign w:val="top"/>
            <w:shd w:fill="FAF8FC"/>
          </w:tcPr>
          <w:p>
            <w:pPr>
              <w:widowControl/>
              <w:spacing w:before="0" w:after="0" w:line="256" w:lineRule="exact"/>
              <w:jc w:val="left"/>
            </w:pPr>
            <w:r>
              <w:rPr>
                <w:rFonts w:ascii="Times New Roman" w:hAnsi="Times New Roman" w:eastAsia="Times New Roman" w:cs="Times New Roman"/>
                <w:b/>
                <w:color w:val="432153"/>
                <w:sz w:val="22"/>
              </w:rPr>
              <w:t>Composición</w:t>
            </w:r>
          </w:p>
        </w:tc>
        <w:tc>
          <w:tcPr>
            <w:tcW w:type="dxa" w:w="4365"/>
            <w:vAlign w:val="top"/>
            <w:shd w:fill="FAF8FC"/>
          </w:tcPr>
          <w:p>
            <w:pPr>
              <w:widowControl/>
              <w:spacing w:before="0" w:after="0" w:line="256" w:lineRule="exact"/>
              <w:jc w:val="left"/>
            </w:pPr>
            <w:r>
              <w:rPr>
                <w:rFonts w:ascii="Times New Roman" w:hAnsi="Times New Roman" w:eastAsia="Times New Roman" w:cs="Times New Roman"/>
                <w:color w:val="432153"/>
                <w:sz w:val="22"/>
              </w:rPr>
              <w:t xml:space="preserve">Tres pares. Diferencia media de errores de participación: histórico menos ponderado = </w:t>
            </w:r>
            <w:r>
              <w:rPr>
                <w:rFonts w:ascii="Times New Roman" w:hAnsi="Times New Roman" w:eastAsia="Times New Roman" w:cs="Times New Roman"/>
                <w:b/>
                <w:color w:val="432153"/>
                <w:sz w:val="22"/>
              </w:rPr>
              <w:t>−1.39 pp</w:t>
            </w:r>
            <w:r>
              <w:rPr>
                <w:rFonts w:ascii="Times New Roman" w:hAnsi="Times New Roman" w:eastAsia="Times New Roman" w:cs="Times New Roman"/>
                <w:color w:val="432153"/>
                <w:sz w:val="22"/>
              </w:rPr>
              <w:t>.</w:t>
            </w:r>
          </w:p>
        </w:tc>
        <w:tc>
          <w:tcPr>
            <w:tcW w:type="dxa" w:w="4473"/>
            <w:vAlign w:val="top"/>
            <w:shd w:fill="FAF8FC"/>
          </w:tcPr>
          <w:p>
            <w:pPr>
              <w:widowControl/>
              <w:spacing w:before="0" w:after="0" w:line="256" w:lineRule="exact"/>
              <w:jc w:val="left"/>
            </w:pPr>
            <w:r>
              <w:rPr>
                <w:rFonts w:ascii="Times New Roman" w:hAnsi="Times New Roman" w:eastAsia="Times New Roman" w:cs="Times New Roman"/>
                <w:color w:val="432153"/>
                <w:sz w:val="22"/>
              </w:rPr>
              <w:t>El signo negativo favorece al histórico, no al ponderado. El componente composicional no respalda H1 en el horizonte principal (</w:t>
            </w:r>
            <w:r>
              <w:rPr>
                <w:rFonts w:ascii="Times New Roman" w:hAnsi="Times New Roman" w:eastAsia="Times New Roman" w:cs="Times New Roman"/>
                <w:b/>
                <w:color w:val="432153"/>
                <w:sz w:val="22"/>
              </w:rPr>
              <w:t>pp. 77 y 79</w:t>
            </w:r>
            <w:r>
              <w:rPr>
                <w:rFonts w:ascii="Times New Roman" w:hAnsi="Times New Roman" w:eastAsia="Times New Roman" w:cs="Times New Roman"/>
                <w:color w:val="432153"/>
                <w:sz w:val="22"/>
              </w:rPr>
              <w:t>).</w:t>
            </w:r>
          </w:p>
        </w:tc>
      </w:tr>
      <w:tr>
        <w:trPr>
          <w:cantSplit/>
        </w:trPr>
        <w:tc>
          <w:tcPr>
            <w:tcW w:type="dxa" w:w="1474"/>
            <w:vAlign w:val="top"/>
            <w:shd w:fill="F3EEF7"/>
          </w:tcPr>
          <w:p>
            <w:pPr>
              <w:widowControl/>
              <w:spacing w:before="0" w:after="0" w:line="256" w:lineRule="exact"/>
              <w:jc w:val="left"/>
            </w:pPr>
            <w:r>
              <w:rPr>
                <w:rFonts w:ascii="Times New Roman" w:hAnsi="Times New Roman" w:eastAsia="Times New Roman" w:cs="Times New Roman"/>
                <w:b/>
                <w:color w:val="432153"/>
                <w:sz w:val="22"/>
              </w:rPr>
              <w:t>Inferencia conjunta</w:t>
            </w:r>
          </w:p>
        </w:tc>
        <w:tc>
          <w:tcPr>
            <w:tcW w:type="dxa" w:w="4365"/>
            <w:vAlign w:val="top"/>
            <w:shd w:fill="F3EEF7"/>
          </w:tcPr>
          <w:p>
            <w:pPr>
              <w:widowControl/>
              <w:spacing w:before="0" w:after="0" w:line="256" w:lineRule="exact"/>
              <w:jc w:val="left"/>
            </w:pPr>
            <w:r>
              <w:rPr>
                <w:rFonts w:ascii="Times New Roman" w:hAnsi="Times New Roman" w:eastAsia="Times New Roman" w:cs="Times New Roman"/>
                <w:color w:val="432153"/>
                <w:sz w:val="22"/>
              </w:rPr>
              <w:t>El tamaño observado no alcanzó el mínimo inferencial configurado; no se obtuvieron los intervalos previstos.</w:t>
            </w:r>
          </w:p>
        </w:tc>
        <w:tc>
          <w:tcPr>
            <w:tcW w:type="dxa" w:w="4473"/>
            <w:vAlign w:val="top"/>
            <w:shd w:fill="F3EEF7"/>
          </w:tcPr>
          <w:p>
            <w:pPr>
              <w:widowControl/>
              <w:spacing w:before="0" w:after="0" w:line="256" w:lineRule="exact"/>
              <w:jc w:val="left"/>
            </w:pPr>
            <w:r>
              <w:rPr>
                <w:rFonts w:ascii="Times New Roman" w:hAnsi="Times New Roman" w:eastAsia="Times New Roman" w:cs="Times New Roman"/>
                <w:color w:val="432153"/>
                <w:sz w:val="22"/>
              </w:rPr>
              <w:t>No hay base confirmatoria para la mejora conjunta. Tampoco se demuestra equivalencia ni un rechazo definitivo (</w:t>
            </w:r>
            <w:r>
              <w:rPr>
                <w:rFonts w:ascii="Times New Roman" w:hAnsi="Times New Roman" w:eastAsia="Times New Roman" w:cs="Times New Roman"/>
                <w:b/>
                <w:color w:val="432153"/>
                <w:sz w:val="22"/>
              </w:rPr>
              <w:t>pp. 79–80 y 83–85</w:t>
            </w:r>
            <w:r>
              <w:rPr>
                <w:rFonts w:ascii="Times New Roman" w:hAnsi="Times New Roman" w:eastAsia="Times New Roman" w:cs="Times New Roman"/>
                <w:color w:val="432153"/>
                <w:sz w:val="22"/>
              </w:rPr>
              <w:t>).</w:t>
            </w:r>
          </w:p>
        </w:tc>
      </w:tr>
    </w:tbl>
    <w:p>
      <w:pPr>
        <w:pStyle w:val="Heading1"/>
        <w:jc w:val="left"/>
      </w:pPr>
      <w:r>
        <w:rPr>
          <w:rFonts w:ascii="Times New Roman" w:hAnsi="Times New Roman" w:eastAsia="Times New Roman" w:cs="Times New Roman"/>
          <w:sz w:val="22"/>
        </w:rPr>
        <w:t>Corrección necesaria en la interpretación del signo</w:t>
      </w:r>
    </w:p>
    <w:p>
      <w:pPr>
        <w:jc w:val="both"/>
      </w:pPr>
      <w:r>
        <w:rPr>
          <w:rFonts w:ascii="Times New Roman" w:hAnsi="Times New Roman" w:eastAsia="Times New Roman" w:cs="Times New Roman"/>
          <w:sz w:val="22"/>
        </w:rPr>
        <w:t xml:space="preserve">En la </w:t>
      </w:r>
      <w:r>
        <w:rPr>
          <w:rFonts w:ascii="Times New Roman" w:hAnsi="Times New Roman" w:eastAsia="Times New Roman" w:cs="Times New Roman"/>
          <w:b/>
          <w:sz w:val="22"/>
        </w:rPr>
        <w:t>p. 79</w:t>
      </w:r>
      <w:r>
        <w:rPr>
          <w:rFonts w:ascii="Times New Roman" w:hAnsi="Times New Roman" w:eastAsia="Times New Roman" w:cs="Times New Roman"/>
          <w:sz w:val="22"/>
        </w:rPr>
        <w:t xml:space="preserve"> se afirma que la diferencia negativa favorece al promedio temporal ponderado. Esa lectura contradice la resta definida y el cuadro de la </w:t>
      </w:r>
      <w:r>
        <w:rPr>
          <w:rFonts w:ascii="Times New Roman" w:hAnsi="Times New Roman" w:eastAsia="Times New Roman" w:cs="Times New Roman"/>
          <w:b/>
          <w:sz w:val="22"/>
        </w:rPr>
        <w:t>p. 77</w:t>
      </w:r>
      <w:r>
        <w:rPr>
          <w:rFonts w:ascii="Times New Roman" w:hAnsi="Times New Roman" w:eastAsia="Times New Roman" w:cs="Times New Roman"/>
          <w:sz w:val="22"/>
        </w:rPr>
        <w:t xml:space="preserve">: </w:t>
      </w:r>
      <w:r>
        <w:rPr>
          <w:rFonts w:ascii="Times New Roman" w:hAnsi="Times New Roman" w:eastAsia="Times New Roman" w:cs="Times New Roman"/>
          <w:b/>
          <w:sz w:val="22"/>
        </w:rPr>
        <w:t>10.34 menos 11.73 es −1.39</w:t>
      </w:r>
      <w:r>
        <w:rPr>
          <w:rFonts w:ascii="Times New Roman" w:hAnsi="Times New Roman" w:eastAsia="Times New Roman" w:cs="Times New Roman"/>
          <w:sz w:val="22"/>
        </w:rPr>
        <w:t>. Como el error histórico es menor, el resultado favorece a la referencia histórica. Debe corregirse esa explicación; no los valores reportados. La corrección mantiene el dictamen no confirmatorio y evita atribuir al procedimiento propuesto una ventaja que no obtuvo.</w:t>
      </w:r>
    </w:p>
    <w:p>
      <w:pPr>
        <w:pStyle w:val="Heading1"/>
        <w:jc w:val="left"/>
      </w:pPr>
      <w:r>
        <w:rPr>
          <w:rFonts w:ascii="Times New Roman" w:hAnsi="Times New Roman" w:eastAsia="Times New Roman" w:cs="Times New Roman"/>
          <w:sz w:val="22"/>
        </w:rPr>
        <w:t>Qué limita una conclusión más fuerte</w:t>
      </w:r>
    </w:p>
    <w:p>
      <w:pPr>
        <w:jc w:val="both"/>
      </w:pPr>
      <w:r>
        <w:rPr>
          <w:rFonts w:ascii="Times New Roman" w:hAnsi="Times New Roman" w:eastAsia="Times New Roman" w:cs="Times New Roman"/>
          <w:sz w:val="22"/>
        </w:rPr>
        <w:t>La evaluación dispone de seis orígenes monetarios por horizonte y solo tres a cinco observaciones composicionales; además, la cobertura no certifica la totalidad de las compras (</w:t>
      </w:r>
      <w:r>
        <w:rPr>
          <w:rFonts w:ascii="Times New Roman" w:hAnsi="Times New Roman" w:eastAsia="Times New Roman" w:cs="Times New Roman"/>
          <w:b/>
          <w:sz w:val="22"/>
        </w:rPr>
        <w:t>pp. 75 y 83</w:t>
      </w:r>
      <w:r>
        <w:rPr>
          <w:rFonts w:ascii="Times New Roman" w:hAnsi="Times New Roman" w:eastAsia="Times New Roman" w:cs="Times New Roman"/>
          <w:sz w:val="22"/>
        </w:rPr>
        <w:t>). Las siete verificaciones de software aprobadas acreditan consistencia computacional, no precisión ni confirmación de H1 (</w:t>
      </w:r>
      <w:r>
        <w:rPr>
          <w:rFonts w:ascii="Times New Roman" w:hAnsi="Times New Roman" w:eastAsia="Times New Roman" w:cs="Times New Roman"/>
          <w:b/>
          <w:sz w:val="22"/>
        </w:rPr>
        <w:t>pp. 72–74</w:t>
      </w:r>
      <w:r>
        <w:rPr>
          <w:rFonts w:ascii="Times New Roman" w:hAnsi="Times New Roman" w:eastAsia="Times New Roman" w:cs="Times New Roman"/>
          <w:sz w:val="22"/>
        </w:rPr>
        <w:t>). El propio texto también reconoce la ausencia de intervalos predictivos futuros (</w:t>
      </w:r>
      <w:r>
        <w:rPr>
          <w:rFonts w:ascii="Times New Roman" w:hAnsi="Times New Roman" w:eastAsia="Times New Roman" w:cs="Times New Roman"/>
          <w:b/>
          <w:sz w:val="22"/>
        </w:rPr>
        <w:t>p. 80</w:t>
      </w:r>
      <w:r>
        <w:rPr>
          <w:rFonts w:ascii="Times New Roman" w:hAnsi="Times New Roman" w:eastAsia="Times New Roman" w:cs="Times New Roman"/>
          <w:sz w:val="22"/>
        </w:rPr>
        <w:t>).</w:t>
      </w:r>
    </w:p>
    <w:p>
      <w:pPr>
        <w:jc w:val="both"/>
      </w:pPr>
      <w:r>
        <w:rPr>
          <w:rFonts w:ascii="Times New Roman" w:hAnsi="Times New Roman" w:eastAsia="Times New Roman" w:cs="Times New Roman"/>
          <w:sz w:val="22"/>
        </w:rPr>
        <w:t xml:space="preserve">Para hacer verificable el contraste conviene explicitar, junto al resultado, el mínimo inferencial configurado, el nivel de confianza, la regla de decisión y el tratamiento de comparaciones múltiples anunciado en la </w:t>
      </w:r>
      <w:r>
        <w:rPr>
          <w:rFonts w:ascii="Times New Roman" w:hAnsi="Times New Roman" w:eastAsia="Times New Roman" w:cs="Times New Roman"/>
          <w:b/>
          <w:sz w:val="22"/>
        </w:rPr>
        <w:t>p. 54</w:t>
      </w:r>
      <w:r>
        <w:rPr>
          <w:rFonts w:ascii="Times New Roman" w:hAnsi="Times New Roman" w:eastAsia="Times New Roman" w:cs="Times New Roman"/>
          <w:sz w:val="22"/>
        </w:rPr>
        <w:t xml:space="preserve">. Las </w:t>
      </w:r>
      <w:r>
        <w:rPr>
          <w:rFonts w:ascii="Times New Roman" w:hAnsi="Times New Roman" w:eastAsia="Times New Roman" w:cs="Times New Roman"/>
          <w:b/>
          <w:sz w:val="22"/>
        </w:rPr>
        <w:t>pp. 79–80 y 83</w:t>
      </w:r>
      <w:r>
        <w:rPr>
          <w:rFonts w:ascii="Times New Roman" w:hAnsi="Times New Roman" w:eastAsia="Times New Roman" w:cs="Times New Roman"/>
          <w:sz w:val="22"/>
        </w:rPr>
        <w:t xml:space="preserve"> no bastan para reconstruir todos esos parámetros, y el </w:t>
      </w:r>
      <w:r>
        <w:rPr>
          <w:rFonts w:ascii="Times New Roman" w:hAnsi="Times New Roman" w:eastAsia="Times New Roman" w:cs="Times New Roman"/>
          <w:b/>
          <w:sz w:val="22"/>
        </w:rPr>
        <w:t>Anexo B, pp. 99–100</w:t>
      </w:r>
      <w:r>
        <w:rPr>
          <w:rFonts w:ascii="Times New Roman" w:hAnsi="Times New Roman" w:eastAsia="Times New Roman" w:cs="Times New Roman"/>
          <w:sz w:val="22"/>
        </w:rPr>
        <w:t>, remite a archivos no incluidos en la tesis. Ampliar y certificar los registros permitiría una nueva evaluación independiente, sin garantizar de antemano un resultado favorable.</w:t>
      </w:r>
    </w:p>
    <w:p>
      <w:pPr>
        <w:pStyle w:val="Heading1"/>
        <w:jc w:val="left"/>
      </w:pPr>
      <w:r>
        <w:rPr>
          <w:rFonts w:ascii="Times New Roman" w:hAnsi="Times New Roman" w:eastAsia="Times New Roman" w:cs="Times New Roman"/>
          <w:sz w:val="22"/>
        </w:rPr>
        <w:t>Balance final</w:t>
      </w:r>
    </w:p>
    <w:p>
      <w:pPr>
        <w:jc w:val="both"/>
      </w:pPr>
      <w:r>
        <w:rPr>
          <w:rFonts w:ascii="Times New Roman" w:hAnsi="Times New Roman" w:eastAsia="Times New Roman" w:cs="Times New Roman"/>
          <w:b/>
          <w:sz w:val="22"/>
        </w:rPr>
        <w:t>Los objetivos tienen respaldo documental dentro de un estudio exploratorio; H1 no tiene respaldo confirmatorio.</w:t>
      </w:r>
      <w:r>
        <w:rPr>
          <w:rFonts w:ascii="Times New Roman" w:hAnsi="Times New Roman" w:eastAsia="Times New Roman" w:cs="Times New Roman"/>
          <w:sz w:val="22"/>
        </w:rPr>
        <w:t xml:space="preserve"> Se realizó el trabajo de preparación, desarrollo, distribución y comparación, como sintetizan las </w:t>
      </w:r>
      <w:r>
        <w:rPr>
          <w:rFonts w:ascii="Times New Roman" w:hAnsi="Times New Roman" w:eastAsia="Times New Roman" w:cs="Times New Roman"/>
          <w:b/>
          <w:sz w:val="22"/>
        </w:rPr>
        <w:t>pp. 82 y 85</w:t>
      </w:r>
      <w:r>
        <w:rPr>
          <w:rFonts w:ascii="Times New Roman" w:hAnsi="Times New Roman" w:eastAsia="Times New Roman" w:cs="Times New Roman"/>
          <w:sz w:val="22"/>
        </w:rPr>
        <w:t>. La aportación defendible es haber construido y evaluado el procedimiento y haber identificado sus límites. No sería correcto convertir ese cumplimiento metodológico en una afirmación de superioridad predictiva o de beneficio operativo demostrado.</w:t>
      </w:r>
    </w:p>
    <w:sectPr w:rsidR="00FC693F" w:rsidRPr="0006063C" w:rsidSect="00034616">
      <w:headerReference w:type="default" r:id="rId9"/>
      <w:footerReference w:type="default" r:id="rId10"/>
      <w:pgSz w:w="12240" w:h="15840"/>
      <w:pgMar w:top="935" w:right="964" w:bottom="935"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312" w:val="right"/>
      </w:tabs>
      <w:spacing w:after="0"/>
      <w:jc w:val="left"/>
    </w:pPr>
    <w:r>
      <w:rPr>
        <w:rFonts w:ascii="Times New Roman" w:hAnsi="Times New Roman" w:eastAsia="Times New Roman" w:cs="Times New Roman"/>
        <w:color w:val="643780"/>
        <w:sz w:val="22"/>
      </w:rPr>
      <w:t>Tesis Cup&amp;Cake · Versión Rev61</w:t>
      <w:tab/>
    </w:r>
    <w:r>
      <w:rPr>
        <w:rFonts w:ascii="Times New Roman" w:hAnsi="Times New Roman" w:eastAsia="Times New Roman" w:cs="Times New Roman"/>
        <w:color w:val="643780"/>
        <w:sz w:val="22"/>
      </w:rPr>
      <w:t xml:space="preserve">Página </w:t>
    </w:r>
    <w:r>
      <w:rPr>
        <w:rFonts w:ascii="Times New Roman" w:hAnsi="Times New Roman" w:eastAsia="Times New Roman" w:cs="Times New Roman"/>
        <w:color w:val="643780"/>
        <w:sz w:val="22"/>
      </w:rPr>
      <w:fldChar w:fldCharType="begin"/>
    </w:r>
    <w:r>
      <w:rPr>
        <w:rFonts w:ascii="Times New Roman" w:hAnsi="Times New Roman" w:eastAsia="Times New Roman" w:cs="Times New Roman"/>
        <w:color w:val="643780"/>
        <w:sz w:val="22"/>
      </w:rPr>
      <w:instrText xml:space="preserve"> PAGE </w:instrText>
    </w:r>
    <w:r>
      <w:rPr>
        <w:rFonts w:ascii="Times New Roman" w:hAnsi="Times New Roman" w:eastAsia="Times New Roman" w:cs="Times New Roman"/>
        <w:color w:val="643780"/>
        <w:sz w:val="22"/>
      </w:rPr>
      <w:fldChar w:fldCharType="separate"/>
    </w:r>
    <w:r>
      <w:rPr>
        <w:rFonts w:ascii="Times New Roman" w:hAnsi="Times New Roman" w:eastAsia="Times New Roman" w:cs="Times New Roman"/>
        <w:color w:val="643780"/>
        <w:sz w:val="22"/>
      </w:rPr>
      <w:t>1</w:t>
    </w:r>
    <w:r>
      <w:rPr>
        <w:rFonts w:ascii="Times New Roman" w:hAnsi="Times New Roman" w:eastAsia="Times New Roman" w:cs="Times New Roman"/>
        <w:color w:val="643780"/>
        <w:sz w:val="22"/>
      </w:rPr>
      <w:fldChar w:fldCharType="end"/>
    </w:r>
    <w:r>
      <w:rPr>
        <w:rFonts w:ascii="Times New Roman" w:hAnsi="Times New Roman" w:eastAsia="Times New Roman" w:cs="Times New Roman"/>
        <w:color w:val="643780"/>
        <w:sz w:val="22"/>
      </w:rPr>
      <w:t xml:space="preserve"> de </w:t>
    </w:r>
    <w:r>
      <w:rPr>
        <w:rFonts w:ascii="Times New Roman" w:hAnsi="Times New Roman" w:eastAsia="Times New Roman" w:cs="Times New Roman"/>
        <w:color w:val="643780"/>
        <w:sz w:val="22"/>
      </w:rPr>
      <w:fldChar w:fldCharType="begin"/>
    </w:r>
    <w:r>
      <w:rPr>
        <w:rFonts w:ascii="Times New Roman" w:hAnsi="Times New Roman" w:eastAsia="Times New Roman" w:cs="Times New Roman"/>
        <w:color w:val="643780"/>
        <w:sz w:val="22"/>
      </w:rPr>
      <w:instrText xml:space="preserve"> NUMPAGES </w:instrText>
    </w:r>
    <w:r>
      <w:rPr>
        <w:rFonts w:ascii="Times New Roman" w:hAnsi="Times New Roman" w:eastAsia="Times New Roman" w:cs="Times New Roman"/>
        <w:color w:val="643780"/>
        <w:sz w:val="22"/>
      </w:rPr>
      <w:fldChar w:fldCharType="separate"/>
    </w:r>
    <w:r>
      <w:rPr>
        <w:rFonts w:ascii="Times New Roman" w:hAnsi="Times New Roman" w:eastAsia="Times New Roman" w:cs="Times New Roman"/>
        <w:color w:val="643780"/>
        <w:sz w:val="22"/>
      </w:rPr>
      <w:t>4</w:t>
    </w:r>
    <w:r>
      <w:rPr>
        <w:rFonts w:ascii="Times New Roman" w:hAnsi="Times New Roman" w:eastAsia="Times New Roman" w:cs="Times New Roman"/>
        <w:color w:val="643780"/>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5" w:color="C9B7D6"/>
      </w:pBdr>
    </w:pPr>
    <w:r>
      <w:rPr>
        <w:rFonts w:ascii="Times New Roman" w:hAnsi="Times New Roman" w:eastAsia="Times New Roman" w:cs="Times New Roman"/>
        <w:color w:val="643780"/>
        <w:sz w:val="22"/>
      </w:rPr>
      <w:t>REVISIÓN ACADÉMICA  |  TRAZABILIDAD DE OBJETIVOS E HIPÓTESIS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exact"/>
    </w:pPr>
    <w:rPr>
      <w:rFonts w:ascii="Times New Roman" w:hAnsi="Times New Roman" w:eastAsia="Times New Roman" w:cs="Times New Roman"/>
      <w:color w:val="222222"/>
      <w:sz w:val="22"/>
      <w:szCs w:val="22"/>
      <w:lang w:val="es-MX"/>
    </w:rPr>
  </w:style>
  <w:style w:type="paragraph" w:styleId="Header">
    <w:name w:val="header"/>
    <w:basedOn w:val="Normal"/>
    <w:link w:val="HeaderChar"/>
    <w:uiPriority w:val="99"/>
    <w:unhideWhenUsed/>
    <w:rsid w:val="00E618BF"/>
    <w:pPr>
      <w:widowControl/>
      <w:tabs>
        <w:tab w:val="center" w:pos="4680"/>
        <w:tab w:val="right" w:pos="9360"/>
      </w:tabs>
      <w:spacing w:after="100" w:line="264" w:lineRule="exact" w:before="0"/>
    </w:pPr>
    <w:rPr>
      <w:rFonts w:ascii="Times New Roman" w:hAnsi="Times New Roman" w:eastAsia="Times New Roman" w:cs="Times New Roman"/>
      <w:color w:val="222222"/>
      <w:sz w:val="22"/>
      <w:szCs w:val="22"/>
      <w:lang w:val="es-MX"/>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100" w:line="264" w:lineRule="exact" w:before="0"/>
    </w:pPr>
    <w:rPr>
      <w:rFonts w:ascii="Times New Roman" w:hAnsi="Times New Roman" w:eastAsia="Times New Roman" w:cs="Times New Roman"/>
      <w:color w:val="222222"/>
      <w:sz w:val="22"/>
      <w:szCs w:val="22"/>
      <w:lang w:val="es-MX"/>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line="264" w:lineRule="exact"/>
      <w:outlineLvl w:val="0"/>
    </w:pPr>
    <w:rPr>
      <w:rFonts w:ascii="Times New Roman" w:hAnsi="Times New Roman" w:eastAsia="Times New Roman" w:cs="Times New Roman"/>
      <w:b/>
      <w:bCs/>
      <w:color w:val="643780"/>
      <w:sz w:val="22"/>
      <w:szCs w:val="22"/>
      <w:lang w:val="es-MX"/>
    </w:rPr>
  </w:style>
  <w:style w:type="paragraph" w:styleId="Heading2">
    <w:name w:val="heading 2"/>
    <w:basedOn w:val="Normal"/>
    <w:next w:val="Normal"/>
    <w:link w:val="Heading2Char"/>
    <w:uiPriority w:val="9"/>
    <w:unhideWhenUsed/>
    <w:qFormat/>
    <w:rsid w:val="00FC693F"/>
    <w:pPr>
      <w:keepNext/>
      <w:keepLines/>
      <w:widowControl/>
      <w:spacing w:before="120" w:after="80" w:line="264" w:lineRule="exact"/>
      <w:outlineLvl w:val="1"/>
    </w:pPr>
    <w:rPr>
      <w:rFonts w:ascii="Times New Roman" w:hAnsi="Times New Roman" w:eastAsia="Times New Roman" w:cs="Times New Roman"/>
      <w:b/>
      <w:bCs/>
      <w:color w:val="643780"/>
      <w:sz w:val="22"/>
      <w:szCs w:val="22"/>
      <w:lang w:val="es-MX"/>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643780"/>
      </w:pBdr>
      <w:spacing w:after="80" w:line="264" w:lineRule="exact" w:before="0"/>
      <w:contextualSpacing/>
    </w:pPr>
    <w:rPr>
      <w:rFonts w:ascii="Times New Roman" w:hAnsi="Times New Roman" w:eastAsia="Times New Roman" w:cs="Times New Roman"/>
      <w:b/>
      <w:color w:val="643780"/>
      <w:spacing w:val="5"/>
      <w:kern w:val="28"/>
      <w:sz w:val="22"/>
      <w:szCs w:val="22"/>
      <w:lang w:val="es-MX"/>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264" w:lineRule="exact"/>
    </w:pPr>
    <w:rPr>
      <w:rFonts w:ascii="Times New Roman" w:hAnsi="Times New Roman" w:eastAsia="Times New Roman" w:cs="Times New Roman"/>
      <w:i/>
      <w:iCs/>
      <w:color w:val="432153"/>
      <w:spacing w:val="0"/>
      <w:sz w:val="22"/>
      <w:szCs w:val="22"/>
      <w:lang w:val="es-MX"/>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4" w:lineRule="exact" w:before="0" w:after="80"/>
    </w:pPr>
    <w:rPr>
      <w:rFonts w:ascii="Times New Roman" w:hAnsi="Times New Roman" w:eastAsia="Times New Roman" w:cs="Times New Roman"/>
      <w:b/>
      <w:bCs/>
      <w:i/>
      <w:color w:val="643780"/>
      <w:sz w:val="22"/>
      <w:szCs w:val="22"/>
      <w:lang w:val="es-MX"/>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objetivos e hipótesis de la tesis sobre Cup&amp;Cake</dc:title>
  <dc:subject>Trazabilidad documental entre objetivos, actividades, resultados e hipótesis</dc:subject>
  <dc:creator/>
  <cp:keywords>revisión de tesis, objetivos, hipótesis, evidencia, Cup&amp;Cake</cp:keywords>
  <dc:description/>
  <cp:lastModifiedBy/>
  <cp:revision>1</cp:revision>
  <dcterms:created xsi:type="dcterms:W3CDTF">2013-12-23T23:15:00Z</dcterms:created>
  <dcterms:modified xsi:type="dcterms:W3CDTF">2013-12-23T23:15:00Z</dcterms:modified>
  <cp:category/>
</cp:coreProperties>
</file>