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14:paraId="082BE3DF" w14:textId="77777777" w:rsidR="00801477" w:rsidRDefault="00542948">
      <w:pPr>
        <w:pStyle w:val="Ttulo2"/>
        <w:spacing w:after="120" w:line="276" w:lineRule="auto"/>
      </w:pPr>
      <w:bookmarkStart w:id="211" w:name="_Toc240207795"/>
      <w:r>
        <w:rPr>
          <w:b w:val="0"/>
        </w:rPr>
        <w:t>Calidad, cobertura e integración de datos</w:t>
      </w:r>
      <w:bookmarkEnd w:id="211"/>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2" w:name="_Toc240207796"/>
      <w:r>
        <w:rPr>
          <w:b w:val="0"/>
        </w:rPr>
        <w:t>Reducción dimensional</w:t>
      </w:r>
      <w:bookmarkEnd w:id="212"/>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3" w:name="_Toc240207797"/>
      <w:r>
        <w:rPr>
          <w:b w:val="0"/>
        </w:rPr>
        <w:t>Rendimiento comparativo de los modelos</w:t>
      </w:r>
      <w:bookmarkEnd w:id="213"/>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r>
        <w:t>Figura 44 - Mejora relativa del RMSE frente a la línea base empírica. [Antecedente de la versión anterior; no es evidencia del híbrido actual]</w:t>
      </w:r>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r>
        <w:t>Figura 45 - Mejor modelo por objetivo y representación de datos. [Antecedente de la versión anterior; no es evidencia del híbrido actual]</w:t>
      </w:r>
    </w:p>
    <w:p w14:paraId="75C40A51" w14:textId="77777777" w:rsidR="00801477" w:rsidRDefault="00542948">
      <w:pPr>
        <w:pStyle w:val="Ttulo2"/>
        <w:spacing w:after="120" w:line="276" w:lineRule="auto"/>
      </w:pPr>
      <w:bookmarkStart w:id="218" w:name="_Toc240207798"/>
      <w:r>
        <w:rPr>
          <w:b w:val="0"/>
        </w:rPr>
        <w:t>Resultados de redes neuronales recurrentes</w:t>
      </w:r>
      <w:bookmarkEnd w:id="218"/>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19" w:name="_Toc240207799"/>
      <w:r>
        <w:rPr>
          <w:b w:val="0"/>
        </w:rPr>
        <w:t>Contraste de hipótesis</w:t>
      </w:r>
      <w:bookmarkEnd w:id="219"/>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0" w:name="_Toc240207800"/>
      <w:r>
        <w:rPr>
          <w:b w:val="0"/>
        </w:rPr>
        <w:lastRenderedPageBreak/>
        <w:t>Resultados del tablero DSS</w:t>
      </w:r>
      <w:bookmarkEnd w:id="220"/>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1" w:name="xref_ecuacion_11"/>
            <w:r>
              <w:t>(</w:t>
            </w:r>
            <w:r w:rsidR="00D50C9D">
              <w:fldChar w:fldCharType="begin"/>
            </w:r>
            <w:r w:rsidR="00D50C9D">
              <w:instrText xml:space="preserve"> SEQ Ecuacion \* ARABIC </w:instrText>
            </w:r>
            <w:r w:rsidR="00D50C9D">
              <w:fldChar w:fldCharType="separate"/>
            </w:r>
            <w:r w:rsidR="00D50C9D">
              <w:rPr>
                <w:noProof/>
              </w:rPr>
              <w:t>7</w:t>
            </w:r>
            <w:r w:rsidR="00D50C9D">
              <w:rPr>
                <w:noProof/>
              </w:rPr>
              <w:fldChar w:fldCharType="end"/>
            </w:r>
            <w:r>
              <w:t>)</w:t>
            </w:r>
            <w:bookmarkEnd w:id="221"/>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2" w:name="xref_ecuacion_12"/>
            <w:r>
              <w:t>(</w:t>
            </w:r>
            <w:r w:rsidR="00D50C9D">
              <w:fldChar w:fldCharType="begin"/>
            </w:r>
            <w:r w:rsidR="00D50C9D">
              <w:instrText xml:space="preserve"> SEQ Ecuacion \* ARABIC </w:instrText>
            </w:r>
            <w:r w:rsidR="00D50C9D">
              <w:fldChar w:fldCharType="separate"/>
            </w:r>
            <w:r w:rsidR="00D50C9D">
              <w:rPr>
                <w:noProof/>
              </w:rPr>
              <w:t>8</w:t>
            </w:r>
            <w:r w:rsidR="00D50C9D">
              <w:rPr>
                <w:noProof/>
              </w:rPr>
              <w:fldChar w:fldCharType="end"/>
            </w:r>
            <w:r>
              <w:t>)</w:t>
            </w:r>
            <w:bookmarkEnd w:id="222"/>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3" w:name="xref_ecuacion_13"/>
            <w:r>
              <w:t>(</w:t>
            </w:r>
            <w:r w:rsidR="00D50C9D">
              <w:fldChar w:fldCharType="begin"/>
            </w:r>
            <w:r w:rsidR="00D50C9D">
              <w:instrText xml:space="preserve"> SEQ Ecuacion \* ARABIC </w:instrText>
            </w:r>
            <w:r w:rsidR="00D50C9D">
              <w:fldChar w:fldCharType="separate"/>
            </w:r>
            <w:r w:rsidR="00D50C9D">
              <w:rPr>
                <w:noProof/>
              </w:rPr>
              <w:t>9</w:t>
            </w:r>
            <w:r w:rsidR="00D50C9D">
              <w:rPr>
                <w:noProof/>
              </w:rPr>
              <w:fldChar w:fldCharType="end"/>
            </w:r>
            <w:r>
              <w:t>)</w:t>
            </w:r>
            <w:bookmarkEnd w:id="223"/>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4" w:name="xref_ecuacion_14"/>
            <w:r>
              <w:t>(</w:t>
            </w:r>
            <w:r w:rsidR="00D50C9D">
              <w:fldChar w:fldCharType="begin"/>
            </w:r>
            <w:r w:rsidR="00D50C9D">
              <w:instrText xml:space="preserve"> SEQ Ecuacion \* ARABIC </w:instrText>
            </w:r>
            <w:r w:rsidR="00D50C9D">
              <w:fldChar w:fldCharType="separate"/>
            </w:r>
            <w:r w:rsidR="00D50C9D">
              <w:rPr>
                <w:noProof/>
              </w:rPr>
              <w:t>10</w:t>
            </w:r>
            <w:r w:rsidR="00D50C9D">
              <w:rPr>
                <w:noProof/>
              </w:rPr>
              <w:fldChar w:fldCharType="end"/>
            </w:r>
            <w:r>
              <w:t>)</w:t>
            </w:r>
            <w:bookmarkEnd w:id="224"/>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5" w:name="xref_ecuacion_15"/>
            <w:r>
              <w:t>(</w:t>
            </w:r>
            <w:r w:rsidR="00D50C9D">
              <w:fldChar w:fldCharType="begin"/>
            </w:r>
            <w:r w:rsidR="00D50C9D">
              <w:instrText xml:space="preserve"> SEQ Ecuacion \* ARABIC </w:instrText>
            </w:r>
            <w:r w:rsidR="00D50C9D">
              <w:fldChar w:fldCharType="separate"/>
            </w:r>
            <w:r w:rsidR="00D50C9D">
              <w:rPr>
                <w:noProof/>
              </w:rPr>
              <w:t>11</w:t>
            </w:r>
            <w:r w:rsidR="00D50C9D">
              <w:rPr>
                <w:noProof/>
              </w:rPr>
              <w:fldChar w:fldCharType="end"/>
            </w:r>
            <w:r>
              <w:t>)</w:t>
            </w:r>
            <w:bookmarkEnd w:id="225"/>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r>
        <w:t>Tabla 15 - Modelos ganadores y desempeño temporal [Antecedente de la versión anterior; no es evidencia del híbrido actual]</w:t>
      </w:r>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r>
              <w:t>ARIMA(1,1,2)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r>
              <w:t>ARIMA(1,1,1)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