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Asimismo, la falta de pronósticos confiables limita la capacidad de las microempresas para diseñar estrategias de crecimiento, expandirse a nuevos mercados o realizar inversiones con menor riesgo financiero.(Makridakis et al., 2018b; Spiliotis et al., 2025)(Cao et al., 2025) </w:t>
      </w:r>
    </w:p>
    <w:p w14:paraId="0D58232E" w14:textId="77777777" w:rsidR="00CF0519" w:rsidRDefault="00691DC4">
      <w:pPr>
        <w:rPr>
          <w:b/>
          <w:bCs/>
        </w:rPr>
      </w:pPr>
      <w: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2018b;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t>La competencia M4 ofrece evidencia comparativa a gran escala: reunió 100 000 series y evaluó 61 métodos (Makridakis et al., 2020). En el análisis inicial, 12 de los 17 métodos mejor posicionados fueron combinaciones, y el de mayor precisión integró elementos estadísticos y de aprendizaje automático; su sMAPE medio fue cercano a 10 % mejor que el benchmark de combinación. Los seis métodos exclusivamente de aprendizaje automático no superaron ese benchmark (Makridakis et al., 2018a).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La literatura revisada destaca el potencial de los modelos híbridos y las combinaciones de métodos para mejorar la precisión del pronóstico. Makridakis et al. (2018a)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(Makridakis et al., 2018b;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(2.15)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pPr/>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pPr>
        <w:pStyle w:val="Ttulo2"/>
      </w:pPr>
      <w:r>
        <w:t>Calidad, cobertura e integración de datos</w:t>
      </w:r>
    </w:p>
    <w:p>
      <w:pPr/>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pPr/>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pPr/>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pPr>
        <w:pStyle w:val="Ttulo2"/>
      </w:pPr>
      <w:r>
        <w:t>Diseño efectivo de evaluación</w:t>
      </w:r>
    </w:p>
    <w:p>
      <w:pPr/>
      <w:r>
        <w:t>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folds. No hubo exclusiones de objetivos monetarios en esas seis predicciones por horizonte. Los benchmarks estacionales de 52 semanas sí tuvieron menos casos utilizables (2, 4, 4 y 2, respectivamente), por falta del rezago anual observado; se reportan aparte y no se comparan como si tuvieran la misma disponibilidad.</w:t>
      </w:r>
    </w:p>
    <w:p>
      <w:pPr/>
      <w:r>
        <w:t>El ajuste interno utilizó cinco orígenes y seleccionó configuraciones por horizonte: SES + Random Forest (peso estadístico 0.75) para h=1; SES + HistGradientBoosting (0.75) para h=2; ARIMA estacional simplificado + red neuronal residual para h=3; y ARIMA estacional simplificado + Random Forest residual para h=4. Esta selección se efectuó en validación interna y no constituye por sí misma evidencia de superioridad en la evaluación externa.</w:t>
      </w:r>
    </w:p>
    <w:p>
      <w:pPr>
        <w:pStyle w:val="Ttulo2"/>
      </w:pPr>
      <w:r>
        <w:t>Rendimiento comparativo del importe semanal</w:t>
      </w:r>
    </w:p>
    <w:p>
      <w:pPr/>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b/>
                <w:sz w:val="16"/>
              </w:rPr>
              <w:t>Horizonte</w:t>
            </w:r>
          </w:p>
        </w:tc>
        <w:tc>
          <w:tcPr>
            <w:tcW w:type="dxa" w:w="1994"/>
            <w:vAlign w:val="center"/>
          </w:tcPr>
          <w:p>
            <w:r>
              <w:rPr>
                <w:b/>
                <w:sz w:val="16"/>
              </w:rPr>
              <w:t>Híbrido RMSE (MXN)</w:t>
            </w:r>
          </w:p>
        </w:tc>
        <w:tc>
          <w:tcPr>
            <w:tcW w:type="dxa" w:w="1994"/>
            <w:vAlign w:val="center"/>
          </w:tcPr>
          <w:p>
            <w:r>
              <w:rPr>
                <w:b/>
                <w:sz w:val="16"/>
              </w:rPr>
              <w:t>Híbrido MAE (MXN)</w:t>
            </w:r>
          </w:p>
        </w:tc>
        <w:tc>
          <w:tcPr>
            <w:tcW w:type="dxa" w:w="1994"/>
            <w:vAlign w:val="center"/>
          </w:tcPr>
          <w:p>
            <w:r>
              <w:rPr>
                <w:b/>
                <w:sz w:val="16"/>
              </w:rPr>
              <w:t>Menor RMSE comparador principal</w:t>
            </w:r>
          </w:p>
        </w:tc>
        <w:tc>
          <w:tcPr>
            <w:tcW w:type="dxa" w:w="1994"/>
            <w:vAlign w:val="center"/>
          </w:tcPr>
          <w:p>
            <w:r>
              <w:rPr>
                <w:b/>
                <w:sz w:val="16"/>
              </w:rPr>
              <w:t>RMSE (MXN)</w:t>
            </w:r>
          </w:p>
        </w:tc>
      </w:tr>
      <w:tr>
        <w:tc>
          <w:tcPr>
            <w:tcW w:type="dxa" w:w="1994"/>
            <w:vAlign w:val="center"/>
          </w:tcPr>
          <w:p>
            <w:r>
              <w:rPr>
                <w:sz w:val="16"/>
              </w:rPr>
              <w:t>1 semana</w:t>
            </w:r>
          </w:p>
        </w:tc>
        <w:tc>
          <w:tcPr>
            <w:tcW w:type="dxa" w:w="1994"/>
            <w:vAlign w:val="center"/>
          </w:tcPr>
          <w:p>
            <w:r>
              <w:rPr>
                <w:sz w:val="16"/>
              </w:rPr>
              <w:t>521.60</w:t>
            </w:r>
          </w:p>
        </w:tc>
        <w:tc>
          <w:tcPr>
            <w:tcW w:type="dxa" w:w="1994"/>
            <w:vAlign w:val="center"/>
          </w:tcPr>
          <w:p>
            <w:r>
              <w:rPr>
                <w:sz w:val="16"/>
              </w:rPr>
              <w:t>386.43</w:t>
            </w:r>
          </w:p>
        </w:tc>
        <w:tc>
          <w:tcPr>
            <w:tcW w:type="dxa" w:w="1994"/>
            <w:vAlign w:val="center"/>
          </w:tcPr>
          <w:p>
            <w:r>
              <w:rPr>
                <w:sz w:val="16"/>
              </w:rPr>
              <w:t>Random Forest</w:t>
            </w:r>
          </w:p>
        </w:tc>
        <w:tc>
          <w:tcPr>
            <w:tcW w:type="dxa" w:w="1994"/>
            <w:vAlign w:val="center"/>
          </w:tcPr>
          <w:p>
            <w:r>
              <w:rPr>
                <w:sz w:val="16"/>
              </w:rPr>
              <w:t>446.21</w:t>
            </w:r>
          </w:p>
        </w:tc>
      </w:tr>
      <w:tr>
        <w:tc>
          <w:tcPr>
            <w:tcW w:type="dxa" w:w="1994"/>
            <w:vAlign w:val="center"/>
          </w:tcPr>
          <w:p>
            <w:r>
              <w:rPr>
                <w:sz w:val="16"/>
              </w:rPr>
              <w:t>2 semanas</w:t>
            </w:r>
          </w:p>
        </w:tc>
        <w:tc>
          <w:tcPr>
            <w:tcW w:type="dxa" w:w="1994"/>
            <w:vAlign w:val="center"/>
          </w:tcPr>
          <w:p>
            <w:r>
              <w:rPr>
                <w:sz w:val="16"/>
              </w:rPr>
              <w:t>695.41</w:t>
            </w:r>
          </w:p>
        </w:tc>
        <w:tc>
          <w:tcPr>
            <w:tcW w:type="dxa" w:w="1994"/>
            <w:vAlign w:val="center"/>
          </w:tcPr>
          <w:p>
            <w:r>
              <w:rPr>
                <w:sz w:val="16"/>
              </w:rPr>
              <w:t>439.26</w:t>
            </w:r>
          </w:p>
        </w:tc>
        <w:tc>
          <w:tcPr>
            <w:tcW w:type="dxa" w:w="1994"/>
            <w:vAlign w:val="center"/>
          </w:tcPr>
          <w:p>
            <w:r>
              <w:rPr>
                <w:sz w:val="16"/>
              </w:rPr>
              <w:t>HistGradientBoosting</w:t>
            </w:r>
          </w:p>
        </w:tc>
        <w:tc>
          <w:tcPr>
            <w:tcW w:type="dxa" w:w="1994"/>
            <w:vAlign w:val="center"/>
          </w:tcPr>
          <w:p>
            <w:r>
              <w:rPr>
                <w:sz w:val="16"/>
              </w:rPr>
              <w:t>596.17</w:t>
            </w:r>
          </w:p>
        </w:tc>
      </w:tr>
      <w:tr>
        <w:tc>
          <w:tcPr>
            <w:tcW w:type="dxa" w:w="1994"/>
            <w:vAlign w:val="center"/>
          </w:tcPr>
          <w:p>
            <w:r>
              <w:rPr>
                <w:sz w:val="16"/>
              </w:rPr>
              <w:t>3 semanas</w:t>
            </w:r>
          </w:p>
        </w:tc>
        <w:tc>
          <w:tcPr>
            <w:tcW w:type="dxa" w:w="1994"/>
            <w:vAlign w:val="center"/>
          </w:tcPr>
          <w:p>
            <w:r>
              <w:rPr>
                <w:sz w:val="16"/>
              </w:rPr>
              <w:t>801.62</w:t>
            </w:r>
          </w:p>
        </w:tc>
        <w:tc>
          <w:tcPr>
            <w:tcW w:type="dxa" w:w="1994"/>
            <w:vAlign w:val="center"/>
          </w:tcPr>
          <w:p>
            <w:r>
              <w:rPr>
                <w:sz w:val="16"/>
              </w:rPr>
              <w:t>458.80</w:t>
            </w:r>
          </w:p>
        </w:tc>
        <w:tc>
          <w:tcPr>
            <w:tcW w:type="dxa" w:w="1994"/>
            <w:vAlign w:val="center"/>
          </w:tcPr>
          <w:p>
            <w:r>
              <w:rPr>
                <w:sz w:val="16"/>
              </w:rPr>
              <w:t>Híbrido</w:t>
            </w:r>
          </w:p>
        </w:tc>
        <w:tc>
          <w:tcPr>
            <w:tcW w:type="dxa" w:w="1994"/>
            <w:vAlign w:val="center"/>
          </w:tcPr>
          <w:p>
            <w:r>
              <w:rPr>
                <w:sz w:val="16"/>
              </w:rPr>
              <w:t>801.62</w:t>
            </w:r>
          </w:p>
        </w:tc>
      </w:tr>
      <w:tr>
        <w:tc>
          <w:tcPr>
            <w:tcW w:type="dxa" w:w="1994"/>
            <w:vAlign w:val="center"/>
          </w:tcPr>
          <w:p>
            <w:r>
              <w:rPr>
                <w:sz w:val="16"/>
              </w:rPr>
              <w:t>4 semanas</w:t>
            </w:r>
          </w:p>
        </w:tc>
        <w:tc>
          <w:tcPr>
            <w:tcW w:type="dxa" w:w="1994"/>
            <w:vAlign w:val="center"/>
          </w:tcPr>
          <w:p>
            <w:r>
              <w:rPr>
                <w:sz w:val="16"/>
              </w:rPr>
              <w:t>700.88</w:t>
            </w:r>
          </w:p>
        </w:tc>
        <w:tc>
          <w:tcPr>
            <w:tcW w:type="dxa" w:w="1994"/>
            <w:vAlign w:val="center"/>
          </w:tcPr>
          <w:p>
            <w:r>
              <w:rPr>
                <w:sz w:val="16"/>
              </w:rPr>
              <w:t>572.54</w:t>
            </w:r>
          </w:p>
        </w:tc>
        <w:tc>
          <w:tcPr>
            <w:tcW w:type="dxa" w:w="1994"/>
            <w:vAlign w:val="center"/>
          </w:tcPr>
          <w:p>
            <w:r>
              <w:rPr>
                <w:sz w:val="16"/>
              </w:rPr>
              <w:t>RF residual + ARIMA estacional</w:t>
            </w:r>
          </w:p>
        </w:tc>
        <w:tc>
          <w:tcPr>
            <w:tcW w:type="dxa" w:w="1994"/>
            <w:vAlign w:val="center"/>
          </w:tcPr>
          <w:p>
            <w:r>
              <w:rPr>
                <w:sz w:val="16"/>
              </w:rPr>
              <w:t>578.95</w:t>
            </w:r>
          </w:p>
        </w:tc>
      </w:tr>
    </w:tbl>
    <w:p>
      <w:pPr/>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pPr>
        <w:jc w:val="center"/>
      </w:pPr>
      <w:r>
        <w:drawing>
          <wp:inline xmlns:a="http://schemas.openxmlformats.org/drawingml/2006/main" xmlns:pic="http://schemas.openxmlformats.org/drawingml/2006/picture">
            <wp:extent cx="5669280" cy="2405631"/>
            <wp:docPr id="1678057671" name="Picture 1678057671"/>
            <wp:cNvGraphicFramePr>
              <a:graphicFrameLocks noChangeAspect="1"/>
            </wp:cNvGraphicFramePr>
            <a:graphic>
              <a:graphicData uri="http://schemas.openxmlformats.org/drawingml/2006/picture">
                <pic:pic>
                  <pic:nvPicPr>
                    <pic:cNvPr id="0" name="F17.png"/>
                    <pic:cNvPicPr/>
                  </pic:nvPicPr>
                  <pic:blipFill>
                    <a:blip r:embed="rId42"/>
                    <a:stretch>
                      <a:fillRect/>
                    </a:stretch>
                  </pic:blipFill>
                  <pic:spPr>
                    <a:xfrm>
                      <a:off x="0" y="0"/>
                      <a:ext cx="5669280" cy="2405631"/>
                    </a:xfrm>
                    <a:prstGeom prst="rect"/>
                  </pic:spPr>
                </pic:pic>
              </a:graphicData>
            </a:graphic>
          </wp:inline>
        </w:drawing>
      </w:r>
    </w:p>
    <w:p>
      <w:pPr>
        <w:pStyle w:val="Descripcin"/>
      </w:pPr>
      <w:r>
        <w:t>Figura 46. Errores monetarios por modelo y horizonte en la evaluación temporal. Fuente: salida del pipeline, corrida run_20260924T195600Z_86a6f5.</w:t>
      </w:r>
    </w:p>
    <w:p>
      <w:pPr>
        <w:pStyle w:val="Ttulo2"/>
      </w:pPr>
      <w:r>
        <w:t>Distribución porcentual por insumo</w:t>
      </w:r>
    </w:p>
    <w:p>
      <w:pPr/>
      <w:r>
        <w:t>La distribución se evaluó con MAE de participación expresado en puntos porcentuales, agregando el error absoluto por los 11 insumos principales y reportando el promedio macro. En el primer horizonte, la participación histórica obtuvo menor error (10.34 pp) que el promedio temporal ponderado (11.73 pp). Para h=2 y h=3 el promedio temporal ponderado fue ligeramente mejor (6.93 frente a 7.14 pp; 10.37 frente a 10.77 pp), mientras que para h=4 volvió a ser mejor la participación histórica (11.80 frente a 12.23 pp). Las diferencias son descriptivas: la evaluación composicional tuvo entre tres y cinco observaciones válidas por insumo/horizonte y excluyó de una a tres por indisponibilidad; por ello no sustenta una conclusión confirmatoria.</w:t>
      </w:r>
    </w:p>
    <w:tbl>
      <w:tblPr>
        <w:tblStyle w:val="Tablaconcuadrcula"/>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sz w:val="16"/>
              </w:rPr>
              <w:t>Horizonte</w:t>
            </w:r>
          </w:p>
        </w:tc>
        <w:tc>
          <w:tcPr>
            <w:tcW w:type="dxa" w:w="2493"/>
            <w:vAlign w:val="center"/>
          </w:tcPr>
          <w:p>
            <w:r>
              <w:rPr>
                <w:b/>
                <w:sz w:val="16"/>
              </w:rPr>
              <w:t>Participación histórica (MAE pp)</w:t>
            </w:r>
          </w:p>
        </w:tc>
        <w:tc>
          <w:tcPr>
            <w:tcW w:type="dxa" w:w="2493"/>
            <w:vAlign w:val="center"/>
          </w:tcPr>
          <w:p>
            <w:r>
              <w:rPr>
                <w:b/>
                <w:sz w:val="16"/>
              </w:rPr>
              <w:t>Promedio temporal ponderado (MAE pp)</w:t>
            </w:r>
          </w:p>
        </w:tc>
        <w:tc>
          <w:tcPr>
            <w:tcW w:type="dxa" w:w="2493"/>
            <w:vAlign w:val="center"/>
          </w:tcPr>
          <w:p>
            <w:r>
              <w:rPr>
                <w:b/>
                <w:sz w:val="16"/>
              </w:rPr>
              <w:t>Menor error</w:t>
            </w:r>
          </w:p>
        </w:tc>
      </w:tr>
      <w:tr>
        <w:tc>
          <w:tcPr>
            <w:tcW w:type="dxa" w:w="2493"/>
            <w:vAlign w:val="center"/>
          </w:tcPr>
          <w:p>
            <w:r>
              <w:rPr>
                <w:sz w:val="16"/>
              </w:rPr>
              <w:t>1</w:t>
            </w:r>
          </w:p>
        </w:tc>
        <w:tc>
          <w:tcPr>
            <w:tcW w:type="dxa" w:w="2493"/>
            <w:vAlign w:val="center"/>
          </w:tcPr>
          <w:p>
            <w:r>
              <w:rPr>
                <w:sz w:val="16"/>
              </w:rPr>
              <w:t>10.34</w:t>
            </w:r>
          </w:p>
        </w:tc>
        <w:tc>
          <w:tcPr>
            <w:tcW w:type="dxa" w:w="2493"/>
            <w:vAlign w:val="center"/>
          </w:tcPr>
          <w:p>
            <w:r>
              <w:rPr>
                <w:sz w:val="16"/>
              </w:rPr>
              <w:t>11.73</w:t>
            </w:r>
          </w:p>
        </w:tc>
        <w:tc>
          <w:tcPr>
            <w:tcW w:type="dxa" w:w="2493"/>
            <w:vAlign w:val="center"/>
          </w:tcPr>
          <w:p>
            <w:r>
              <w:rPr>
                <w:sz w:val="16"/>
              </w:rPr>
              <w:t>Histórica</w:t>
            </w:r>
          </w:p>
        </w:tc>
      </w:tr>
      <w:tr>
        <w:tc>
          <w:tcPr>
            <w:tcW w:type="dxa" w:w="2493"/>
            <w:vAlign w:val="center"/>
          </w:tcPr>
          <w:p>
            <w:r>
              <w:rPr>
                <w:sz w:val="16"/>
              </w:rPr>
              <w:t>2</w:t>
            </w:r>
          </w:p>
        </w:tc>
        <w:tc>
          <w:tcPr>
            <w:tcW w:type="dxa" w:w="2493"/>
            <w:vAlign w:val="center"/>
          </w:tcPr>
          <w:p>
            <w:r>
              <w:rPr>
                <w:sz w:val="16"/>
              </w:rPr>
              <w:t>7.14</w:t>
            </w:r>
          </w:p>
        </w:tc>
        <w:tc>
          <w:tcPr>
            <w:tcW w:type="dxa" w:w="2493"/>
            <w:vAlign w:val="center"/>
          </w:tcPr>
          <w:p>
            <w:r>
              <w:rPr>
                <w:sz w:val="16"/>
              </w:rPr>
              <w:t>6.93</w:t>
            </w:r>
          </w:p>
        </w:tc>
        <w:tc>
          <w:tcPr>
            <w:tcW w:type="dxa" w:w="2493"/>
            <w:vAlign w:val="center"/>
          </w:tcPr>
          <w:p>
            <w:r>
              <w:rPr>
                <w:sz w:val="16"/>
              </w:rPr>
              <w:t>Temporal ponderada</w:t>
            </w:r>
          </w:p>
        </w:tc>
      </w:tr>
      <w:tr>
        <w:tc>
          <w:tcPr>
            <w:tcW w:type="dxa" w:w="2493"/>
            <w:vAlign w:val="center"/>
          </w:tcPr>
          <w:p>
            <w:r>
              <w:rPr>
                <w:sz w:val="16"/>
              </w:rPr>
              <w:t>3</w:t>
            </w:r>
          </w:p>
        </w:tc>
        <w:tc>
          <w:tcPr>
            <w:tcW w:type="dxa" w:w="2493"/>
            <w:vAlign w:val="center"/>
          </w:tcPr>
          <w:p>
            <w:r>
              <w:rPr>
                <w:sz w:val="16"/>
              </w:rPr>
              <w:t>10.77</w:t>
            </w:r>
          </w:p>
        </w:tc>
        <w:tc>
          <w:tcPr>
            <w:tcW w:type="dxa" w:w="2493"/>
            <w:vAlign w:val="center"/>
          </w:tcPr>
          <w:p>
            <w:r>
              <w:rPr>
                <w:sz w:val="16"/>
              </w:rPr>
              <w:t>10.37</w:t>
            </w:r>
          </w:p>
        </w:tc>
        <w:tc>
          <w:tcPr>
            <w:tcW w:type="dxa" w:w="2493"/>
            <w:vAlign w:val="center"/>
          </w:tcPr>
          <w:p>
            <w:r>
              <w:rPr>
                <w:sz w:val="16"/>
              </w:rPr>
              <w:t>Temporal ponderada</w:t>
            </w:r>
          </w:p>
        </w:tc>
      </w:tr>
      <w:tr>
        <w:tc>
          <w:tcPr>
            <w:tcW w:type="dxa" w:w="2493"/>
            <w:vAlign w:val="center"/>
          </w:tcPr>
          <w:p>
            <w:r>
              <w:rPr>
                <w:sz w:val="16"/>
              </w:rPr>
              <w:t>4</w:t>
            </w:r>
          </w:p>
        </w:tc>
        <w:tc>
          <w:tcPr>
            <w:tcW w:type="dxa" w:w="2493"/>
            <w:vAlign w:val="center"/>
          </w:tcPr>
          <w:p>
            <w:r>
              <w:rPr>
                <w:sz w:val="16"/>
              </w:rPr>
              <w:t>11.80</w:t>
            </w:r>
          </w:p>
        </w:tc>
        <w:tc>
          <w:tcPr>
            <w:tcW w:type="dxa" w:w="2493"/>
            <w:vAlign w:val="center"/>
          </w:tcPr>
          <w:p>
            <w:r>
              <w:rPr>
                <w:sz w:val="16"/>
              </w:rPr>
              <w:t>12.23</w:t>
            </w:r>
          </w:p>
        </w:tc>
        <w:tc>
          <w:tcPr>
            <w:tcW w:type="dxa" w:w="2493"/>
            <w:vAlign w:val="center"/>
          </w:tcPr>
          <w:p>
            <w:r>
              <w:rPr>
                <w:sz w:val="16"/>
              </w:rPr>
              <w:t>Histórica</w:t>
            </w:r>
          </w:p>
        </w:tc>
      </w:tr>
    </w:tbl>
    <w:p>
      <w:pPr>
        <w:jc w:val="center"/>
      </w:pPr>
      <w:r>
        <w:drawing>
          <wp:inline xmlns:a="http://schemas.openxmlformats.org/drawingml/2006/main" xmlns:pic="http://schemas.openxmlformats.org/drawingml/2006/picture">
            <wp:extent cx="5669280" cy="3322824"/>
            <wp:docPr id="1678057672" name="Picture 1678057672"/>
            <wp:cNvGraphicFramePr>
              <a:graphicFrameLocks noChangeAspect="1"/>
            </wp:cNvGraphicFramePr>
            <a:graphic>
              <a:graphicData uri="http://schemas.openxmlformats.org/drawingml/2006/picture">
                <pic:pic>
                  <pic:nvPicPr>
                    <pic:cNvPr id="0" name="F18.png"/>
                    <pic:cNvPicPr/>
                  </pic:nvPicPr>
                  <pic:blipFill>
                    <a:blip r:embed="rId43"/>
                    <a:stretch>
                      <a:fillRect/>
                    </a:stretch>
                  </pic:blipFill>
                  <pic:spPr>
                    <a:xfrm>
                      <a:off x="0" y="0"/>
                      <a:ext cx="5669280" cy="3322824"/>
                    </a:xfrm>
                    <a:prstGeom prst="rect"/>
                  </pic:spPr>
                </pic:pic>
              </a:graphicData>
            </a:graphic>
          </wp:inline>
        </w:drawing>
      </w:r>
    </w:p>
    <w:p>
      <w:pPr>
        <w:pStyle w:val="Descripcin"/>
      </w:pPr>
      <w:r>
        <w:t>Figura 47. Error absoluto medio de participación por insumo, comparación de métodos y horizonte. Fuente: salida del pipeline, corrida run_20260924T195600Z_86a6f5.</w:t>
      </w:r>
    </w:p>
    <w:p>
      <w:pPr/>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jc w:val="center"/>
      </w:pPr>
      <w:r>
        <w:drawing>
          <wp:inline xmlns:a="http://schemas.openxmlformats.org/drawingml/2006/main" xmlns:pic="http://schemas.openxmlformats.org/drawingml/2006/picture">
            <wp:extent cx="5669280" cy="3627577"/>
            <wp:docPr id="1678057673" name="Picture 1678057673"/>
            <wp:cNvGraphicFramePr>
              <a:graphicFrameLocks noChangeAspect="1"/>
            </wp:cNvGraphicFramePr>
            <a:graphic>
              <a:graphicData uri="http://schemas.openxmlformats.org/drawingml/2006/picture">
                <pic:pic>
                  <pic:nvPicPr>
                    <pic:cNvPr id="0" name="F15.png"/>
                    <pic:cNvPicPr/>
                  </pic:nvPicPr>
                  <pic:blipFill>
                    <a:blip r:embed="rId44"/>
                    <a:stretch>
                      <a:fillRect/>
                    </a:stretch>
                  </pic:blipFill>
                  <pic:spPr>
                    <a:xfrm>
                      <a:off x="0" y="0"/>
                      <a:ext cx="5669280" cy="3627577"/>
                    </a:xfrm>
                    <a:prstGeom prst="rect"/>
                  </pic:spPr>
                </pic:pic>
              </a:graphicData>
            </a:graphic>
          </wp:inline>
        </w:drawing>
      </w:r>
    </w:p>
    <w:p>
      <w:pPr>
        <w:pStyle w:val="Descripcin"/>
      </w:pPr>
      <w:r>
        <w:t>Figura 48. Composición observada y estimada en la evaluación temporal. Fuente: salida del pipeline, corrida run_20260924T195600Z_86a6f5.</w:t>
      </w:r>
    </w:p>
    <w:p>
      <w:pPr>
        <w:pStyle w:val="Ttulo2"/>
      </w:pPr>
      <w:r>
        <w:t>Contraste de hipótesis</w:t>
      </w:r>
    </w:p>
    <w:p>
      <w:pPr/>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pPr/>
      <w:r>
        <w:t>La Figura 49 muestra las diferencias de pérdidas para el contraste principal. La escasez de pares y la ausencia de intervalos válidos obligan a interpretar sus puntos como descriptivos, no como inferencia estadística concluyente.</w:t>
      </w:r>
    </w:p>
    <w:p>
      <w:pPr>
        <w:jc w:val="center"/>
      </w:pPr>
      <w:r>
        <w:drawing>
          <wp:inline xmlns:a="http://schemas.openxmlformats.org/drawingml/2006/main" xmlns:pic="http://schemas.openxmlformats.org/drawingml/2006/picture">
            <wp:extent cx="5669280" cy="3440088"/>
            <wp:docPr id="1678057674" name="Picture 1678057674"/>
            <wp:cNvGraphicFramePr>
              <a:graphicFrameLocks noChangeAspect="1"/>
            </wp:cNvGraphicFramePr>
            <a:graphic>
              <a:graphicData uri="http://schemas.openxmlformats.org/drawingml/2006/picture">
                <pic:pic>
                  <pic:nvPicPr>
                    <pic:cNvPr id="0" name="F19.png"/>
                    <pic:cNvPicPr/>
                  </pic:nvPicPr>
                  <pic:blipFill>
                    <a:blip r:embed="rId45"/>
                    <a:stretch>
                      <a:fillRect/>
                    </a:stretch>
                  </pic:blipFill>
                  <pic:spPr>
                    <a:xfrm>
                      <a:off x="0" y="0"/>
                      <a:ext cx="5669280" cy="3440088"/>
                    </a:xfrm>
                    <a:prstGeom prst="rect"/>
                  </pic:spPr>
                </pic:pic>
              </a:graphicData>
            </a:graphic>
          </wp:inline>
        </w:drawing>
      </w:r>
    </w:p>
    <w:p>
      <w:pPr>
        <w:pStyle w:val="Descripcin"/>
      </w:pPr>
      <w:r>
        <w:t>Figura 49. Diferencias de pérdidas pareadas para H1 en el horizonte principal. Fuente: salida del pipeline, corrida run_20260924T195600Z_86a6f5.</w:t>
      </w:r>
    </w:p>
    <w:p>
      <w:pPr>
        <w:pStyle w:val="Ttulo2"/>
      </w:pPr>
      <w:r>
        <w:t>Alcance de los resultados</w:t>
      </w:r>
    </w:p>
    <w:p>
      <w:pPr/>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bookmarkStart w:id="229" w:name="_Toc240207802"/>
      <w:r>
        <w:rPr>
          <w:b w:val="0"/>
        </w:rPr>
        <w:t>Interpretación de los hallazgos</w:t>
      </w:r>
      <w:bookmarkEnd w:id="229"/>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r>
        <w:t>Makridakis, S., Spiliotis, E., &amp; Assimakopoulos, V. (2018b).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r>
        <w:t>Makridakis, S., Spiliotis, E., &amp; Assimakopoulos, V. (2018a). The M4 competition: Results, findings, conclusion and way forward. International Journal of Forecasting, 34(4), 802–808. https://doi.org/10.1016/j.ijforecast.2018.06.001</w:t>
      </w:r>
    </w:p>
    <w:p>
      <w:pPr/>
      <w:r>
        <w:t>Makridakis, S., Spiliotis, E., &amp; Assimakopoulos, V. (2020). The M4 competition: 100,000 time series and 61 forecasting methods. International Journal of Forecasting, 36(1), 54–74. https://doi.org/10.1016/j.ijforecast.2019.04.014</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