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8A6BABB"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6F5666D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31B307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Asimismo, la falta de pronósticos confiables limita la capacidad de las microempresas para diseñar estrategias de crecimiento, expandirse a nuevos mercados o realizar inversiones con menor riesgo financiero.(Makridakis et al., 2018b; Spiliotis et al., 2025)(Cao et al., 2025) </w:t>
      </w:r>
    </w:p>
    <w:p w14:paraId="0D58232E" w14:textId="77777777" w:rsidR="00CF0519" w:rsidRDefault="00691DC4">
      <w:pPr>
        <w:rPr>
          <w:b/>
          <w:bCs/>
        </w:rPr>
      </w:pPr>
      <w: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2018b;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t>La competencia M4 ofrece evidencia comparativa a gran escala: reunió 100 000 series y evaluó 61 métodos (Makridakis et al., 2020). En el análisis inicial, 12 de los 17 métodos mejor posicionados fueron combinaciones, y el de mayor precisión integró elementos estadísticos y de aprendizaje automático; su sMAPE medio fue cercano a 10 % mejor que el benchmark de combinación. Los seis métodos exclusivamente de aprendizaje automático no superaron ese benchmark (Makridakis et al., 2018a). Estos resultados justifican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La literatura revisada destaca el potencial de los modelos híbridos y las combinaciones de métodos para mejorar la precisión del pronóstico. Makridakis et al. (2018a)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Se comparará la precisión del modelo híbrido con la de modelos de referencia mediante validación temporal de ventana deslizante. Este contraste permitirá determinar si la integración de métodos estadísticos y aprendizaje automático aporta mejoras en el pronóstico frente a alternativas más sencillas, sin presuponer la superioridad de una mayor complejidad algorítmica (Makridakis et al., 2018b;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2018a,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(2.15)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r>
        <w:t>Auditoría de cobertura y construcción del panel semanal</w:t>
      </w:r>
    </w:p>
    <w:p w14:paraId="7786F5AD"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0F8BE1B1" w14:textId="77777777" w:rsidR="00B302B0" w:rsidRDefault="00000000">
      <w:r>
        <w:t>El experimento usa evaluación temporal rolling-origin.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02F72C2F" w14:textId="77777777" w:rsidR="00CF0519" w:rsidRDefault="00691DC4">
      <w:pPr>
        <w:pStyle w:val="Ttulo3"/>
        <w:numPr>
          <w:ilvl w:val="2"/>
          <w:numId w:val="19"/>
        </w:numPr>
      </w:pPr>
      <w:r>
        <w:t>Predictores de compras, ventas y calendario</w:t>
      </w:r>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7159AD9" w14:textId="77777777" w:rsidR="00CF0519" w:rsidRDefault="00691DC4">
      <w:pPr>
        <w:pStyle w:val="Ttulo3"/>
        <w:numPr>
          <w:ilvl w:val="2"/>
          <w:numId w:val="19"/>
        </w:numPr>
      </w:pPr>
      <w:r>
        <w:t>Modelos de referencia y arquitectura híbrida</w:t>
      </w:r>
    </w:p>
    <w:p w14:paraId="02E23BC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C1BC33E"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101DF0BA"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67A8D9D2"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53B94DB7"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6E74C10"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25DA879"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E151FAC"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B6CCABF" w14:textId="77777777" w:rsidR="00CF0519" w:rsidRDefault="00691DC4">
      <w:pPr>
        <w:pStyle w:val="Ttulo3"/>
        <w:numPr>
          <w:ilvl w:val="2"/>
          <w:numId w:val="19"/>
        </w:numPr>
      </w:pPr>
      <w:r>
        <w:t>Validación temporal rolling-origin</w:t>
      </w:r>
    </w:p>
    <w:p w14:paraId="77AAE33D"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71DCA3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3888C1CA" w14:textId="77777777" w:rsidR="00CF0519" w:rsidRDefault="00691DC4">
      <w:pPr>
        <w:pStyle w:val="Ttulo3"/>
        <w:numPr>
          <w:ilvl w:val="2"/>
          <w:numId w:val="19"/>
        </w:numPr>
      </w:pPr>
      <w:r>
        <w:t>Métricas y criterios de comparación</w:t>
      </w:r>
    </w:p>
    <w:p w14:paraId="717F395F"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2B6B3F2" w14:textId="77777777" w:rsidR="00CF0519" w:rsidRDefault="00691DC4">
      <w:pPr>
        <w:pStyle w:val="Ttulo3"/>
        <w:numPr>
          <w:ilvl w:val="2"/>
          <w:numId w:val="19"/>
        </w:numPr>
      </w:pPr>
      <w:r>
        <w:t>Comunicación del pronóstico para la planeación presupuestaria</w:t>
      </w:r>
    </w:p>
    <w:p w14:paraId="06220A02"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2E69FF4"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pPr/>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pPr>
        <w:pStyle w:val="Ttulo2"/>
      </w:pPr>
      <w:r>
        <w:t>Contexto de los registros y objetivo operativo</w:t>
      </w:r>
    </w:p>
    <w:p>
      <w:pPr/>
      <w:r>
        <w:t>Cup&amp;Cake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pPr>
        <w:pStyle w:val="Ttulo2"/>
      </w:pPr>
      <w:r>
        <w:t>Preparación de fuentes y cobertura semanal</w:t>
      </w:r>
    </w:p>
    <w:p>
      <w:pPr/>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pPr/>
      <w:r>
        <w:t>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importe $0 fechadas el 28 de agosto de 2023 se mantuvieron como registros y se exportaron por separado.</w:t>
      </w:r>
    </w:p>
    <w:p>
      <w:pPr/>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t>(2.30)</w:t>
      </w:r>
      <w:r>
        <w:fldChar w:fldCharType="end"/>
      </w:r>
      <w:r>
        <w:t xml:space="preserve"> a </w:t>
      </w:r>
      <w:r>
        <w:fldChar w:fldCharType="begin"/>
      </w:r>
      <w:r>
        <w:instrText xml:space="preserve"> REF eq232 \h </w:instrText>
      </w:r>
      <w:r>
        <w:fldChar w:fldCharType="separate"/>
      </w:r>
      <w:r>
        <w:t>(2.32)</w:t>
      </w:r>
      <w:r>
        <w:fldChar w:fldCharType="end"/>
      </w:r>
      <w:r>
        <w:t>. En ellas, C es el conjunto de categorías presupuestarias elegibles, O el conjunto de semanas observadas dentro del tramo autorizado y M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Yₜ = ∑ᵢ∈C Xᵢ,ₜ</w:t>
            </w:r>
          </w:p>
        </w:tc>
        <w:tc>
          <w:tcPr>
            <w:tcW w:w="753" w:type="dxa"/>
          </w:tcPr>
          <w:p>
            <w:pPr>
              <w:jc w:val="right"/>
            </w:pPr>
            <w:bookmarkStart w:id="9000" w:name="eq230"/>
            <w:r>
              <w:rPr>
                <w:rFonts w:ascii="Times New Roman" w:hAnsi="Times New Roman"/>
              </w:rPr>
              <w:t>(2.30)</w:t>
            </w:r>
            <w:bookmarkEnd w:id="900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X̂ᵢ,ₜ = (1/|Oᵢ|) ∑ₛ∈Oᵢ Xᵢ,ₛ,   t ∈ M</w:t>
            </w:r>
          </w:p>
        </w:tc>
        <w:tc>
          <w:tcPr>
            <w:tcW w:w="753" w:type="dxa"/>
          </w:tcPr>
          <w:p>
            <w:pPr>
              <w:jc w:val="right"/>
            </w:pPr>
            <w:bookmarkStart w:id="9001" w:name="eq231"/>
            <w:r>
              <w:rPr>
                <w:rFonts w:ascii="Times New Roman" w:hAnsi="Times New Roman"/>
              </w:rPr>
              <w:t>(2.31)</w:t>
            </w:r>
            <w:bookmarkEnd w:id="9001"/>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V̂ₜ = (1/|Oᵥ|) ∑ₛ∈Oᵥ Vₛ,   t ∈ Mᵥ</w:t>
            </w:r>
          </w:p>
        </w:tc>
        <w:tc>
          <w:tcPr>
            <w:tcW w:w="753" w:type="dxa"/>
          </w:tcPr>
          <w:p>
            <w:pPr>
              <w:jc w:val="right"/>
            </w:pPr>
            <w:bookmarkStart w:id="9002" w:name="eq232"/>
            <w:r>
              <w:rPr>
                <w:rFonts w:ascii="Times New Roman" w:hAnsi="Times New Roman"/>
              </w:rPr>
              <w:t>(2.32)</w:t>
            </w:r>
            <w:bookmarkEnd w:id="9002"/>
          </w:p>
        </w:tc>
      </w:tr>
    </w:tbl>
    <w:p>
      <w:pPr/>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pPr>
        <w:pStyle w:val="Descripcin"/>
        <w:keepNext/>
      </w:pPr>
      <w:r>
        <w:t>Figura 33. Cobertura semanal de los registros de compras en la corrida real.</w:t>
      </w:r>
    </w:p>
    <w:p>
      <w:pPr>
        <w:jc w:val="center"/>
      </w:pPr>
      <w:r>
        <w:drawing>
          <wp:inline xmlns:a="http://schemas.openxmlformats.org/drawingml/2006/main" xmlns:pic="http://schemas.openxmlformats.org/drawingml/2006/picture">
            <wp:extent cx="5532120" cy="1582782"/>
            <wp:docPr id="1678057660" name="Picture 1678057660"/>
            <wp:cNvGraphicFramePr>
              <a:graphicFrameLocks noChangeAspect="1"/>
            </wp:cNvGraphicFramePr>
            <a:graphic>
              <a:graphicData uri="http://schemas.openxmlformats.org/drawingml/2006/picture">
                <pic:pic>
                  <pic:nvPicPr>
                    <pic:cNvPr id="0" name="F02.png"/>
                    <pic:cNvPicPr/>
                  </pic:nvPicPr>
                  <pic:blipFill>
                    <a:blip r:embed="rId31"/>
                    <a:stretch>
                      <a:fillRect/>
                    </a:stretch>
                  </pic:blipFill>
                  <pic:spPr>
                    <a:xfrm>
                      <a:off x="0" y="0"/>
                      <a:ext cx="5532120" cy="1582782"/>
                    </a:xfrm>
                    <a:prstGeom prst="rect"/>
                  </pic:spPr>
                </pic:pic>
              </a:graphicData>
            </a:graphic>
          </wp:inline>
        </w:drawing>
      </w:r>
    </w:p>
    <w:p>
      <w:pPr/>
      <w:r>
        <w:t>La figura presenta el estado semanal documentado por la auditoría. Las zonas desconocidas o inciertas no se interpretan como ausencia de gasto comprobada; la extensión del calendario no equivale a cobertura sustantiva completa.</w:t>
      </w:r>
    </w:p>
    <w:p>
      <w:pPr>
        <w:pStyle w:val="Descripcin"/>
        <w:keepNext/>
      </w:pPr>
      <w:r>
        <w:t>Figura 34. Auditoría de registros de compra y decisiones de inclusión.</w:t>
      </w:r>
    </w:p>
    <w:p>
      <w:pPr>
        <w:jc w:val="center"/>
      </w:pPr>
      <w:r>
        <w:drawing>
          <wp:inline xmlns:a="http://schemas.openxmlformats.org/drawingml/2006/main" xmlns:pic="http://schemas.openxmlformats.org/drawingml/2006/picture">
            <wp:extent cx="5532120" cy="2540999"/>
            <wp:docPr id="1678057661" name="Picture 1678057661"/>
            <wp:cNvGraphicFramePr>
              <a:graphicFrameLocks noChangeAspect="1"/>
            </wp:cNvGraphicFramePr>
            <a:graphic>
              <a:graphicData uri="http://schemas.openxmlformats.org/drawingml/2006/picture">
                <pic:pic>
                  <pic:nvPicPr>
                    <pic:cNvPr id="0" name="F01.png"/>
                    <pic:cNvPicPr/>
                  </pic:nvPicPr>
                  <pic:blipFill>
                    <a:blip r:embed="rId32"/>
                    <a:stretch>
                      <a:fillRect/>
                    </a:stretch>
                  </pic:blipFill>
                  <pic:spPr>
                    <a:xfrm>
                      <a:off x="0" y="0"/>
                      <a:ext cx="5532120" cy="2540999"/>
                    </a:xfrm>
                    <a:prstGeom prst="rect"/>
                  </pic:spPr>
                </pic:pic>
              </a:graphicData>
            </a:graphic>
          </wp:inline>
        </w:drawing>
      </w:r>
    </w:p>
    <w:p>
      <w:pPr>
        <w:pStyle w:val="Ttulo2"/>
      </w:pPr>
      <w:r>
        <w:t>Construcción del panel y caracterización exploratoria</w:t>
      </w:r>
    </w:p>
    <w:p>
      <w:pPr/>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pPr>
        <w:pStyle w:val="Descripcin"/>
        <w:keepNext/>
      </w:pPr>
      <w:r>
        <w:t>Figura 35. Importes semanales de compras y periodos sin registro.</w:t>
      </w:r>
    </w:p>
    <w:p>
      <w:pPr>
        <w:jc w:val="center"/>
      </w:pPr>
      <w:r>
        <w:drawing>
          <wp:inline xmlns:a="http://schemas.openxmlformats.org/drawingml/2006/main" xmlns:pic="http://schemas.openxmlformats.org/drawingml/2006/picture">
            <wp:extent cx="5532120" cy="2562922"/>
            <wp:docPr id="1678057662" name="Picture 1678057662"/>
            <wp:cNvGraphicFramePr>
              <a:graphicFrameLocks noChangeAspect="1"/>
            </wp:cNvGraphicFramePr>
            <a:graphic>
              <a:graphicData uri="http://schemas.openxmlformats.org/drawingml/2006/picture">
                <pic:pic>
                  <pic:nvPicPr>
                    <pic:cNvPr id="0" name="F03.png"/>
                    <pic:cNvPicPr/>
                  </pic:nvPicPr>
                  <pic:blipFill>
                    <a:blip r:embed="rId33"/>
                    <a:stretch>
                      <a:fillRect/>
                    </a:stretch>
                  </pic:blipFill>
                  <pic:spPr>
                    <a:xfrm>
                      <a:off x="0" y="0"/>
                      <a:ext cx="5532120" cy="2562922"/>
                    </a:xfrm>
                    <a:prstGeom prst="rect"/>
                  </pic:spPr>
                </pic:pic>
              </a:graphicData>
            </a:graphic>
          </wp:inline>
        </w:drawing>
      </w:r>
    </w:p>
    <w:p>
      <w:pPr/>
      <w:r>
        <w:t>La serie muestra variación elevada y periodos discontinuos. Representa compras utilizables registradas, no una medida completa del gasto real durante semanas cuya cobertura no está verificada.</w:t>
      </w:r>
    </w:p>
    <w:p>
      <w:pPr>
        <w:pStyle w:val="Descripcin"/>
        <w:keepNext/>
      </w:pPr>
      <w:r>
        <w:t>Figura 36. Distribución del importe semanal y frecuencia de ceros.</w:t>
      </w:r>
    </w:p>
    <w:p>
      <w:pPr>
        <w:jc w:val="center"/>
      </w:pPr>
      <w:r>
        <w:drawing>
          <wp:inline xmlns:a="http://schemas.openxmlformats.org/drawingml/2006/main" xmlns:pic="http://schemas.openxmlformats.org/drawingml/2006/picture">
            <wp:extent cx="5532120" cy="2281766"/>
            <wp:docPr id="1678057663" name="Picture 1678057663"/>
            <wp:cNvGraphicFramePr>
              <a:graphicFrameLocks noChangeAspect="1"/>
            </wp:cNvGraphicFramePr>
            <a:graphic>
              <a:graphicData uri="http://schemas.openxmlformats.org/drawingml/2006/picture">
                <pic:pic>
                  <pic:nvPicPr>
                    <pic:cNvPr id="0" name="F07.png"/>
                    <pic:cNvPicPr/>
                  </pic:nvPicPr>
                  <pic:blipFill>
                    <a:blip r:embed="rId34"/>
                    <a:stretch>
                      <a:fillRect/>
                    </a:stretch>
                  </pic:blipFill>
                  <pic:spPr>
                    <a:xfrm>
                      <a:off x="0" y="0"/>
                      <a:ext cx="5532120" cy="2281766"/>
                    </a:xfrm>
                    <a:prstGeom prst="rect"/>
                  </pic:spPr>
                </pic:pic>
              </a:graphicData>
            </a:graphic>
          </wp:inline>
        </w:drawing>
      </w:r>
    </w:p>
    <w:p>
      <w:pPr/>
      <w:r>
        <w:t>Las semanas con cero confirmado y las semanas sin captura se mantienen como estados distintos durante el análisis y la evaluación.</w:t>
      </w:r>
    </w:p>
    <w:p>
      <w:pPr>
        <w:pStyle w:val="Ttulo2"/>
      </w:pPr>
      <w:r>
        <w:t>Integración de ventas y variables calendario</w:t>
      </w:r>
    </w:p>
    <w:p>
      <w:pPr/>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pPr>
        <w:pStyle w:val="Descripcin"/>
        <w:keepNext/>
      </w:pPr>
      <w:r>
        <w:t>Figura 37. Ventas semanales registradas y periodos sin captura.</w:t>
      </w:r>
    </w:p>
    <w:p>
      <w:pPr>
        <w:jc w:val="center"/>
      </w:pPr>
      <w:r>
        <w:drawing>
          <wp:inline xmlns:a="http://schemas.openxmlformats.org/drawingml/2006/main" xmlns:pic="http://schemas.openxmlformats.org/drawingml/2006/picture">
            <wp:extent cx="5532120" cy="2561355"/>
            <wp:docPr id="1678057664" name="Picture 1678057664"/>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532120" cy="2561355"/>
                    </a:xfrm>
                    <a:prstGeom prst="rect"/>
                  </pic:spPr>
                </pic:pic>
              </a:graphicData>
            </a:graphic>
          </wp:inline>
        </w:drawing>
      </w:r>
    </w:p>
    <w:p>
      <w:pPr/>
      <w:r>
        <w:t>La coincidencia entre ventas y compras puede motivar análisis predictivo, pero no demuestra causalidad ni garantiza por sí misma una mejora del pronóstico.</w:t>
      </w:r>
    </w:p>
    <w:p>
      <w:pPr>
        <w:pStyle w:val="Ttulo2"/>
      </w:pPr>
      <w:r>
        <w:t>Definición de categorías y distribución presupuestaria</w:t>
      </w:r>
    </w:p>
    <w:p>
      <w:pPr/>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pPr/>
      <w:r>
        <w:t xml:space="preserve">La participación presupuestaria y el remanente de categorías elegibles se definen en las ecuaciones </w:t>
      </w:r>
      <w:r>
        <w:fldChar w:fldCharType="begin"/>
      </w:r>
      <w:r>
        <w:instrText xml:space="preserve"> REF eq233 \h </w:instrText>
      </w:r>
      <w:r>
        <w:fldChar w:fldCharType="separate"/>
      </w:r>
      <w:r>
        <w:t>(2.33)</w:t>
      </w:r>
      <w:r>
        <w:fldChar w:fldCharType="end"/>
      </w:r>
      <w:r>
        <w:t xml:space="preserve"> y </w:t>
      </w:r>
      <w:r>
        <w:fldChar w:fldCharType="begin"/>
      </w:r>
      <w:r>
        <w:instrText xml:space="preserve"> REF eq234 \h </w:instrText>
      </w:r>
      <w:r>
        <w:fldChar w:fldCharType="separate"/>
      </w:r>
      <w:r>
        <w:t>(2.34)</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t>(2.35)</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pᵢ,ₜ = Xᵢ,ₜ / Yₜ,   si Yₜ &gt; 0</w:t>
            </w:r>
          </w:p>
        </w:tc>
        <w:tc>
          <w:tcPr>
            <w:tcW w:w="753" w:type="dxa"/>
          </w:tcPr>
          <w:p>
            <w:pPr>
              <w:jc w:val="right"/>
            </w:pPr>
            <w:bookmarkStart w:id="9003" w:name="eq233"/>
            <w:r>
              <w:rPr>
                <w:rFonts w:ascii="Times New Roman" w:hAnsi="Times New Roman"/>
              </w:rPr>
              <w:t>(2.33)</w:t>
            </w:r>
            <w:bookmarkEnd w:id="9003"/>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pᴿ,ₜ = max(0, 1 − ∑ᵢ∈K pᵢ,ₜ)</w:t>
            </w:r>
          </w:p>
        </w:tc>
        <w:tc>
          <w:tcPr>
            <w:tcW w:w="753" w:type="dxa"/>
          </w:tcPr>
          <w:p>
            <w:pPr>
              <w:jc w:val="right"/>
            </w:pPr>
            <w:bookmarkStart w:id="9004" w:name="eq234"/>
            <w:r>
              <w:rPr>
                <w:rFonts w:ascii="Times New Roman" w:hAnsi="Times New Roman"/>
              </w:rPr>
              <w:t>(2.34)</w:t>
            </w:r>
            <w:bookmarkEnd w:id="9004"/>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p̂ᵢ(T) = [∑ₜ∈𝒱_T (1−α)^(T−t) pᵢ,ₜ] / [∑ₜ∈𝒱_T (1−α)^(T−t)]</w:t>
            </w:r>
          </w:p>
        </w:tc>
        <w:tc>
          <w:tcPr>
            <w:tcW w:w="753" w:type="dxa"/>
          </w:tcPr>
          <w:p>
            <w:pPr>
              <w:jc w:val="right"/>
            </w:pPr>
            <w:bookmarkStart w:id="9005" w:name="eq235"/>
            <w:r>
              <w:rPr>
                <w:rFonts w:ascii="Times New Roman" w:hAnsi="Times New Roman"/>
              </w:rPr>
              <w:t>(2.35)</w:t>
            </w:r>
            <w:bookmarkEnd w:id="9005"/>
          </w:p>
        </w:tc>
      </w:tr>
    </w:tbl>
    <w:p>
      <w:pPr/>
      <w:r>
        <w:t>Aquí K contiene las categorías principales mostradas, R representa RESTO_ELEGIBLE, Vₜ contiene semanas anteriores con composición definida y α es el parámetro de ponderación seleccionado internamente. La normalización conserva el remanente elegible sin redistribuirlo entre los insumos principales.</w:t>
      </w:r>
    </w:p>
    <w:p>
      <w:pPr>
        <w:pStyle w:val="Descripcin"/>
        <w:keepNext/>
      </w:pPr>
      <w:r>
        <w:t>Figura 38. Composición porcentual observada durante el periodo de desarrollo.</w:t>
      </w:r>
    </w:p>
    <w:p>
      <w:pPr>
        <w:jc w:val="center"/>
      </w:pPr>
      <w:r>
        <w:drawing>
          <wp:inline xmlns:a="http://schemas.openxmlformats.org/drawingml/2006/main" xmlns:pic="http://schemas.openxmlformats.org/drawingml/2006/picture">
            <wp:extent cx="5532120" cy="3462538"/>
            <wp:docPr id="1678057665" name="Picture 1678057665"/>
            <wp:cNvGraphicFramePr>
              <a:graphicFrameLocks noChangeAspect="1"/>
            </wp:cNvGraphicFramePr>
            <a:graphic>
              <a:graphicData uri="http://schemas.openxmlformats.org/drawingml/2006/picture">
                <pic:pic>
                  <pic:nvPicPr>
                    <pic:cNvPr id="0" name="F05.png"/>
                    <pic:cNvPicPr/>
                  </pic:nvPicPr>
                  <pic:blipFill>
                    <a:blip r:embed="rId36"/>
                    <a:stretch>
                      <a:fillRect/>
                    </a:stretch>
                  </pic:blipFill>
                  <pic:spPr>
                    <a:xfrm>
                      <a:off x="0" y="0"/>
                      <a:ext cx="5532120" cy="3462538"/>
                    </a:xfrm>
                    <a:prstGeom prst="rect"/>
                  </pic:spPr>
                </pic:pic>
              </a:graphicData>
            </a:graphic>
          </wp:inline>
        </w:drawing>
      </w:r>
    </w:p>
    <w:p>
      <w:pPr>
        <w:pStyle w:val="Descripcin"/>
        <w:keepNext/>
      </w:pPr>
      <w:r>
        <w:t>Figura 39. Categorías principales consideradas para la asignación presupuestaria.</w:t>
      </w:r>
    </w:p>
    <w:p>
      <w:pPr>
        <w:jc w:val="center"/>
      </w:pPr>
      <w:r>
        <w:drawing>
          <wp:inline xmlns:a="http://schemas.openxmlformats.org/drawingml/2006/main" xmlns:pic="http://schemas.openxmlformats.org/drawingml/2006/picture">
            <wp:extent cx="5532120" cy="3242433"/>
            <wp:docPr id="1678057666" name="Picture 1678057666"/>
            <wp:cNvGraphicFramePr>
              <a:graphicFrameLocks noChangeAspect="1"/>
            </wp:cNvGraphicFramePr>
            <a:graphic>
              <a:graphicData uri="http://schemas.openxmlformats.org/drawingml/2006/picture">
                <pic:pic>
                  <pic:nvPicPr>
                    <pic:cNvPr id="0" name="F04.png"/>
                    <pic:cNvPicPr/>
                  </pic:nvPicPr>
                  <pic:blipFill>
                    <a:blip r:embed="rId37"/>
                    <a:stretch>
                      <a:fillRect/>
                    </a:stretch>
                  </pic:blipFill>
                  <pic:spPr>
                    <a:xfrm>
                      <a:off x="0" y="0"/>
                      <a:ext cx="5532120" cy="3242433"/>
                    </a:xfrm>
                    <a:prstGeom prst="rect"/>
                  </pic:spPr>
                </pic:pic>
              </a:graphicData>
            </a:graphic>
          </wp:inline>
        </w:drawing>
      </w:r>
    </w:p>
    <w:p>
      <w:pPr>
        <w:pStyle w:val="Ttulo2"/>
      </w:pPr>
      <w:r>
        <w:t>Modelos y validación temporal</w:t>
      </w:r>
    </w:p>
    <w:p>
      <w:pPr/>
      <w:r>
        <w:t>Se compararon referencias empíricas, modelos estadísticos, métodos de aprendizaje automático y combinaciones híbridas. Los componentes incluyen suavizamiento exponencial, ARIMA, Ridge, Random Forest, HistGradientBoosting y una red neuronal MLP pequeña. También se evaluaron combinaciones ponderadas y corrección de residuos ARIMA mediante aprendizaje automático. La MLP es una red neuronal no recurrente; no se ejecutaron RNN ni LSTM.</w:t>
      </w:r>
    </w:p>
    <w:p>
      <w:pPr/>
      <w:r>
        <w:t>La evaluación usa rolling-origin con 52 semanas de entrenamiento, avance cada tres semanas y horizontes directos de una a cuatro semanas. Cinco orígenes internos se utilizaron para seleccionar componentes por horizonte. La corrida final produjo seis folds observados por horizonte; los modelos estacionales de 52 semanas tuvieron menos folds comparables por disponibilidad. Las exclusiones y tamaños muestrales se reportan sin rellenar artificialmente los objetivos faltantes.</w:t>
      </w:r>
    </w:p>
    <w:p>
      <w:pPr/>
      <w:r>
        <w:t xml:space="preserve">La combinación ponderada, la corrección residual ARIMA+MLP y la generación de orígenes rolling se formalizan en las ecuaciones </w:t>
      </w:r>
      <w:r>
        <w:fldChar w:fldCharType="begin"/>
      </w:r>
      <w:r>
        <w:instrText xml:space="preserve"> REF eq236 \h </w:instrText>
      </w:r>
      <w:r>
        <w:fldChar w:fldCharType="separate"/>
      </w:r>
      <w:r>
        <w:t>(2.36)</w:t>
      </w:r>
      <w:r>
        <w:fldChar w:fldCharType="end"/>
      </w:r>
      <w:r>
        <w:t xml:space="preserve"> a </w:t>
      </w:r>
      <w:r>
        <w:fldChar w:fldCharType="begin"/>
      </w:r>
      <w:r>
        <w:instrText xml:space="preserve"> REF eq238 \h </w:instrText>
      </w:r>
      <w:r>
        <w:fldChar w:fldCharType="separate"/>
      </w:r>
      <w:r>
        <w:t>(2.38)</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ŷᴴₜ₊ₕ = wₕ ŷˢₜₐₜₜ₊ₕ + (1−wₕ) ŷᴹᴸₜ₊ₕ</w:t>
            </w:r>
          </w:p>
        </w:tc>
        <w:tc>
          <w:tcPr>
            <w:tcW w:w="753" w:type="dxa"/>
          </w:tcPr>
          <w:p>
            <w:pPr>
              <w:jc w:val="right"/>
            </w:pPr>
            <w:bookmarkStart w:id="9006" w:name="eq236"/>
            <w:r>
              <w:rPr>
                <w:rFonts w:ascii="Times New Roman" w:hAnsi="Times New Roman"/>
              </w:rPr>
              <w:t>(2.36)</w:t>
            </w:r>
            <w:bookmarkEnd w:id="9006"/>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ŷᴿₜ₊ₕ = max(0, ŷᴬᴿᴵᴹᴬₜ₊ₕ + fᴹᴸᴾ(xₜ)),   eₜ₊ₕ = Yₜ₊ₕ − ŷᴬᴿᴵᴹᴬₜ₊ₕ</w:t>
            </w:r>
          </w:p>
        </w:tc>
        <w:tc>
          <w:tcPr>
            <w:tcW w:w="753" w:type="dxa"/>
          </w:tcPr>
          <w:p>
            <w:pPr>
              <w:jc w:val="right"/>
            </w:pPr>
            <w:bookmarkStart w:id="9007" w:name="eq237"/>
            <w:r>
              <w:rPr>
                <w:rFonts w:ascii="Times New Roman" w:hAnsi="Times New Roman"/>
              </w:rPr>
              <w:t>(2.37)</w:t>
            </w:r>
            <w:bookmarkEnd w:id="9007"/>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oₖ = o₀ + 3k;   Tₒ = {t : o−52 ≤ t &lt; o};   objetivo = Yₒ₊ₕ₋₁</w:t>
            </w:r>
          </w:p>
        </w:tc>
        <w:tc>
          <w:tcPr>
            <w:tcW w:w="753" w:type="dxa"/>
          </w:tcPr>
          <w:p>
            <w:pPr>
              <w:jc w:val="right"/>
            </w:pPr>
            <w:bookmarkStart w:id="9008" w:name="eq238"/>
            <w:r>
              <w:rPr>
                <w:rFonts w:ascii="Times New Roman" w:hAnsi="Times New Roman"/>
              </w:rPr>
              <w:t>(2.38)</w:t>
            </w:r>
            <w:bookmarkEnd w:id="9008"/>
          </w:p>
        </w:tc>
      </w:tr>
    </w:tbl>
    <w:p>
      <w:pPr/>
      <w:r>
        <w:t>El peso wₕ se escoge entre los candidatos internos para cada horizonte. En la alternativa residual, la MLP estima el error fuera de muestra del ARIMA y la predicción corregida no puede ser negativa. Cada entrenamiento usa las 52 semanas calendario previas al origen; los objetivos ausentes no se rellenan para calcular las métricas.</w:t>
      </w:r>
    </w:p>
    <w:p>
      <w:pPr>
        <w:pStyle w:val="Descripcin"/>
        <w:keepNext/>
      </w:pPr>
      <w:r>
        <w:t>Figura 40. Particiones temporales utilizadas para selección y evaluación.</w:t>
      </w:r>
    </w:p>
    <w:p>
      <w:pPr>
        <w:jc w:val="center"/>
      </w:pPr>
      <w:r>
        <w:drawing>
          <wp:inline xmlns:a="http://schemas.openxmlformats.org/drawingml/2006/main" xmlns:pic="http://schemas.openxmlformats.org/drawingml/2006/picture">
            <wp:extent cx="5532120" cy="2561355"/>
            <wp:docPr id="1678057667" name="Picture 1678057667"/>
            <wp:cNvGraphicFramePr>
              <a:graphicFrameLocks noChangeAspect="1"/>
            </wp:cNvGraphicFramePr>
            <a:graphic>
              <a:graphicData uri="http://schemas.openxmlformats.org/drawingml/2006/picture">
                <pic:pic>
                  <pic:nvPicPr>
                    <pic:cNvPr id="0" name="F09.png"/>
                    <pic:cNvPicPr/>
                  </pic:nvPicPr>
                  <pic:blipFill>
                    <a:blip r:embed="rId38"/>
                    <a:stretch>
                      <a:fillRect/>
                    </a:stretch>
                  </pic:blipFill>
                  <pic:spPr>
                    <a:xfrm>
                      <a:off x="0" y="0"/>
                      <a:ext cx="5532120" cy="2561355"/>
                    </a:xfrm>
                    <a:prstGeom prst="rect"/>
                  </pic:spPr>
                </pic:pic>
              </a:graphicData>
            </a:graphic>
          </wp:inline>
        </w:drawing>
      </w:r>
    </w:p>
    <w:p>
      <w:pPr>
        <w:pStyle w:val="Descripcin"/>
        <w:keepNext/>
      </w:pPr>
      <w:r>
        <w:t>Figura 41. Desempeño de las configuraciones consideradas en la validación interna.</w:t>
      </w:r>
    </w:p>
    <w:p>
      <w:pPr>
        <w:jc w:val="center"/>
      </w:pPr>
      <w:r>
        <w:drawing>
          <wp:inline xmlns:a="http://schemas.openxmlformats.org/drawingml/2006/main" xmlns:pic="http://schemas.openxmlformats.org/drawingml/2006/picture">
            <wp:extent cx="5532120" cy="2277166"/>
            <wp:docPr id="1678057668" name="Picture 1678057668"/>
            <wp:cNvGraphicFramePr>
              <a:graphicFrameLocks noChangeAspect="1"/>
            </wp:cNvGraphicFramePr>
            <a:graphic>
              <a:graphicData uri="http://schemas.openxmlformats.org/drawingml/2006/picture">
                <pic:pic>
                  <pic:nvPicPr>
                    <pic:cNvPr id="0" name="F13.png"/>
                    <pic:cNvPicPr/>
                  </pic:nvPicPr>
                  <pic:blipFill>
                    <a:blip r:embed="rId39"/>
                    <a:stretch>
                      <a:fillRect/>
                    </a:stretch>
                  </pic:blipFill>
                  <pic:spPr>
                    <a:xfrm>
                      <a:off x="0" y="0"/>
                      <a:ext cx="5532120" cy="2277166"/>
                    </a:xfrm>
                    <a:prstGeom prst="rect"/>
                  </pic:spPr>
                </pic:pic>
              </a:graphicData>
            </a:graphic>
          </wp:inline>
        </w:drawing>
      </w:r>
    </w:p>
    <w:p>
      <w:pPr/>
      <w:r>
        <w:t>La selección interna eligió SES+Random Forest para el horizonte 1, SES+HistGradientBoosting para el horizonte 2, ARIMA+MLP residual para el horizonte 3 y ARIMA+Random Forest residual para el horizonte 4. La elección no implica superioridad universal; el desempeño final se resume en la Tabla 13 y se analiza en Resultados.</w:t>
      </w:r>
    </w:p>
    <w:p>
      <w:pPr>
        <w:pStyle w:val="Descripcin"/>
        <w:keepNext/>
      </w:pPr>
      <w:r>
        <w:t>Tabla 12. Etapas previas de trabajo y su uso en la corrida vigente.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24476B"/>
          </w:tcPr>
          <w:p>
            <w:r>
              <w:rPr>
                <w:b/>
                <w:color w:val="FFFFFF"/>
                <w:sz w:val="15"/>
              </w:rPr>
              <w:t>Etapa previa</w:t>
            </w:r>
          </w:p>
        </w:tc>
        <w:tc>
          <w:tcPr>
            <w:tcW w:type="dxa" w:w="3528"/>
            <w:shd w:fill="24476B"/>
          </w:tcPr>
          <w:p>
            <w:r>
              <w:rPr>
                <w:b/>
                <w:color w:val="FFFFFF"/>
                <w:sz w:val="15"/>
              </w:rPr>
              <w:t>Qué se realizó</w:t>
            </w:r>
          </w:p>
        </w:tc>
        <w:tc>
          <w:tcPr>
            <w:tcW w:type="dxa" w:w="3816"/>
            <w:shd w:fill="24476B"/>
          </w:tcPr>
          <w:p>
            <w:r>
              <w:rPr>
                <w:b/>
                <w:color w:val="FFFFFF"/>
                <w:sz w:val="15"/>
              </w:rPr>
              <w:t>Aplicación vigente</w:t>
            </w:r>
          </w:p>
        </w:tc>
      </w:tr>
      <w:tr>
        <w:tc>
          <w:tcPr>
            <w:tcW w:type="dxa" w:w="2088"/>
            <w:vAlign w:val="center"/>
          </w:tcPr>
          <w:p>
            <w:r>
              <w:rPr>
                <w:sz w:val="15"/>
              </w:rPr>
              <w:t>Exploración de fuentes y cobertura</w:t>
            </w:r>
          </w:p>
        </w:tc>
        <w:tc>
          <w:tcPr>
            <w:tcW w:type="dxa" w:w="3528"/>
            <w:vAlign w:val="center"/>
          </w:tcPr>
          <w:p>
            <w:r>
              <w:rPr>
                <w:sz w:val="15"/>
              </w:rPr>
              <w:t>Se revisaron fuentes de compras, ventas y contexto y se ubicaron discontinuidades.</w:t>
            </w:r>
          </w:p>
        </w:tc>
        <w:tc>
          <w:tcPr>
            <w:tcW w:type="dxa" w:w="3816"/>
            <w:vAlign w:val="center"/>
          </w:tcPr>
          <w:p>
            <w:r>
              <w:rPr>
                <w:sz w:val="15"/>
              </w:rPr>
              <w:t>Se aplicó auditoría semanal explícita, diferenciando ceros y datos ausentes.</w:t>
            </w:r>
          </w:p>
        </w:tc>
      </w:tr>
      <w:tr>
        <w:tc>
          <w:tcPr>
            <w:tcW w:type="dxa" w:w="2088"/>
            <w:vAlign w:val="center"/>
          </w:tcPr>
          <w:p>
            <w:r>
              <w:rPr>
                <w:sz w:val="15"/>
              </w:rPr>
              <w:t>Preparación e imputación exploratoria</w:t>
            </w:r>
          </w:p>
        </w:tc>
        <w:tc>
          <w:tcPr>
            <w:tcW w:type="dxa" w:w="3528"/>
            <w:vAlign w:val="center"/>
          </w:tcPr>
          <w:p>
            <w:r>
              <w:rPr>
                <w:sz w:val="15"/>
              </w:rPr>
              <w:t>Se evaluaron criterios para completar huecos; se autorizó promedio simple solo en el tramo indicado.</w:t>
            </w:r>
          </w:p>
        </w:tc>
        <w:tc>
          <w:tcPr>
            <w:tcW w:type="dxa" w:w="3816"/>
            <w:vAlign w:val="center"/>
          </w:tcPr>
          <w:p>
            <w:r>
              <w:rPr>
                <w:sz w:val="15"/>
              </w:rPr>
              <w:t>Se preservan originales y se identifican los valores estimados en archivos derivados.</w:t>
            </w:r>
          </w:p>
        </w:tc>
      </w:tr>
      <w:tr>
        <w:tc>
          <w:tcPr>
            <w:tcW w:type="dxa" w:w="2088"/>
            <w:vAlign w:val="center"/>
          </w:tcPr>
          <w:p>
            <w:r>
              <w:rPr>
                <w:sz w:val="15"/>
              </w:rPr>
              <w:t>Variables candidatas</w:t>
            </w:r>
          </w:p>
        </w:tc>
        <w:tc>
          <w:tcPr>
            <w:tcW w:type="dxa" w:w="3528"/>
            <w:vAlign w:val="center"/>
          </w:tcPr>
          <w:p>
            <w:r>
              <w:rPr>
                <w:sz w:val="15"/>
              </w:rPr>
              <w:t>Se examinaron ventas, peso comercial, eventos, pedidos y clima.</w:t>
            </w:r>
          </w:p>
        </w:tc>
        <w:tc>
          <w:tcPr>
            <w:tcW w:type="dxa" w:w="3816"/>
            <w:vAlign w:val="center"/>
          </w:tcPr>
          <w:p>
            <w:r>
              <w:rPr>
                <w:sz w:val="15"/>
              </w:rPr>
              <w:t>La última corrida usa ventas históricas y calendarios disponibles ex ante; no implica selección universal de variables.</w:t>
            </w:r>
          </w:p>
        </w:tc>
      </w:tr>
      <w:tr>
        <w:tc>
          <w:tcPr>
            <w:tcW w:type="dxa" w:w="2088"/>
            <w:vAlign w:val="center"/>
          </w:tcPr>
          <w:p>
            <w:r>
              <w:rPr>
                <w:sz w:val="15"/>
              </w:rPr>
              <w:t>Alternativas de modelado</w:t>
            </w:r>
          </w:p>
        </w:tc>
        <w:tc>
          <w:tcPr>
            <w:tcW w:type="dxa" w:w="3528"/>
            <w:vAlign w:val="center"/>
          </w:tcPr>
          <w:p>
            <w:r>
              <w:rPr>
                <w:sz w:val="15"/>
              </w:rPr>
              <w:t>Se revisaron métodos estadísticos, de aprendizaje automático y estructuras híbridas.</w:t>
            </w:r>
          </w:p>
        </w:tc>
        <w:tc>
          <w:tcPr>
            <w:tcW w:type="dxa" w:w="3816"/>
            <w:vAlign w:val="center"/>
          </w:tcPr>
          <w:p>
            <w:r>
              <w:rPr>
                <w:sz w:val="15"/>
              </w:rPr>
              <w:t>Se comparan los candidatos en los mismos orígenes, incluida ARIMA+MLP.</w:t>
            </w:r>
          </w:p>
        </w:tc>
      </w:tr>
      <w:tr>
        <w:tc>
          <w:tcPr>
            <w:tcW w:type="dxa" w:w="2088"/>
            <w:vAlign w:val="center"/>
          </w:tcPr>
          <w:p>
            <w:r>
              <w:rPr>
                <w:sz w:val="15"/>
              </w:rPr>
              <w:t>Pruebas y demos</w:t>
            </w:r>
          </w:p>
        </w:tc>
        <w:tc>
          <w:tcPr>
            <w:tcW w:type="dxa" w:w="3528"/>
            <w:vAlign w:val="center"/>
          </w:tcPr>
          <w:p>
            <w:r>
              <w:rPr>
                <w:sz w:val="15"/>
              </w:rPr>
              <w:t>Se verificaron el flujo, la interfaz y salidas con ejercicios anteriores.</w:t>
            </w:r>
          </w:p>
        </w:tc>
        <w:tc>
          <w:tcPr>
            <w:tcW w:type="dxa" w:w="3816"/>
            <w:vAlign w:val="center"/>
          </w:tcPr>
          <w:p>
            <w:r>
              <w:rPr>
                <w:sz w:val="15"/>
              </w:rPr>
              <w:t>Las demos no se presentan como evidencia; la suite automatizada valida el código y no el desempeño predictivo.</w:t>
            </w:r>
          </w:p>
        </w:tc>
      </w:tr>
    </w:tbl>
    <w:p>
      <w:pPr>
        <w:pStyle w:val="Descripcin"/>
        <w:keepNext/>
      </w:pPr>
      <w:r>
        <w:t>Tabla 13. Configuración seleccionada y error del híbrido en la evaluación final.</w:t>
      </w:r>
    </w:p>
    <w:tbl>
      <w:tblPr>
        <w:tblStyle w:val="Tablaconcuadrcula"/>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037"/>
            <w:shd w:fill="24476B"/>
          </w:tcPr>
          <w:p>
            <w:r>
              <w:rPr>
                <w:b/>
                <w:color w:val="FFFFFF"/>
                <w:sz w:val="16"/>
              </w:rPr>
              <w:t>Horizonte</w:t>
            </w:r>
          </w:p>
        </w:tc>
        <w:tc>
          <w:tcPr>
            <w:tcW w:type="dxa" w:w="4464"/>
            <w:shd w:fill="24476B"/>
          </w:tcPr>
          <w:p>
            <w:r>
              <w:rPr>
                <w:b/>
                <w:color w:val="FFFFFF"/>
                <w:sz w:val="16"/>
              </w:rPr>
              <w:t>Combinación seleccionada internamente</w:t>
            </w:r>
          </w:p>
        </w:tc>
        <w:tc>
          <w:tcPr>
            <w:tcW w:type="dxa" w:w="1267"/>
            <w:shd w:fill="24476B"/>
          </w:tcPr>
          <w:p>
            <w:r>
              <w:rPr>
                <w:b/>
                <w:color w:val="FFFFFF"/>
                <w:sz w:val="16"/>
              </w:rPr>
              <w:t>Folds</w:t>
            </w:r>
          </w:p>
        </w:tc>
        <w:tc>
          <w:tcPr>
            <w:tcW w:type="dxa" w:w="1181"/>
            <w:shd w:fill="24476B"/>
          </w:tcPr>
          <w:p>
            <w:r>
              <w:rPr>
                <w:b/>
                <w:color w:val="FFFFFF"/>
                <w:sz w:val="16"/>
              </w:rPr>
              <w:t>MAE</w:t>
            </w:r>
          </w:p>
        </w:tc>
        <w:tc>
          <w:tcPr>
            <w:tcW w:type="dxa" w:w="1181"/>
            <w:shd w:fill="24476B"/>
          </w:tcPr>
          <w:p>
            <w:r>
              <w:rPr>
                <w:b/>
                <w:color w:val="FFFFFF"/>
                <w:sz w:val="16"/>
              </w:rPr>
              <w:t>RMSE</w:t>
            </w:r>
          </w:p>
        </w:tc>
      </w:tr>
      <w:tr>
        <w:tc>
          <w:tcPr>
            <w:tcW w:type="dxa" w:w="1037"/>
            <w:vAlign w:val="center"/>
          </w:tcPr>
          <w:p>
            <w:r>
              <w:rPr>
                <w:sz w:val="16"/>
              </w:rPr>
              <w:t>h=1</w:t>
            </w:r>
          </w:p>
        </w:tc>
        <w:tc>
          <w:tcPr>
            <w:tcW w:type="dxa" w:w="4464"/>
            <w:vAlign w:val="center"/>
          </w:tcPr>
          <w:p>
            <w:r>
              <w:rPr>
                <w:sz w:val="16"/>
              </w:rPr>
              <w:t>ses + rf (peso estadístico 0.75)</w:t>
            </w:r>
          </w:p>
        </w:tc>
        <w:tc>
          <w:tcPr>
            <w:tcW w:type="dxa" w:w="1267"/>
            <w:vAlign w:val="center"/>
          </w:tcPr>
          <w:p>
            <w:r>
              <w:rPr>
                <w:sz w:val="16"/>
              </w:rPr>
              <w:t>6</w:t>
            </w:r>
          </w:p>
        </w:tc>
        <w:tc>
          <w:tcPr>
            <w:tcW w:type="dxa" w:w="1181"/>
            <w:vAlign w:val="center"/>
          </w:tcPr>
          <w:p>
            <w:r>
              <w:rPr>
                <w:sz w:val="16"/>
              </w:rPr>
              <w:t>$386.43</w:t>
            </w:r>
          </w:p>
        </w:tc>
        <w:tc>
          <w:tcPr>
            <w:tcW w:type="dxa" w:w="1181"/>
            <w:vAlign w:val="center"/>
          </w:tcPr>
          <w:p>
            <w:r>
              <w:rPr>
                <w:sz w:val="16"/>
              </w:rPr>
              <w:t>$521.60</w:t>
            </w:r>
          </w:p>
        </w:tc>
      </w:tr>
      <w:tr>
        <w:tc>
          <w:tcPr>
            <w:tcW w:type="dxa" w:w="1037"/>
            <w:vAlign w:val="center"/>
          </w:tcPr>
          <w:p>
            <w:r>
              <w:rPr>
                <w:sz w:val="16"/>
              </w:rPr>
              <w:t>h=2</w:t>
            </w:r>
          </w:p>
        </w:tc>
        <w:tc>
          <w:tcPr>
            <w:tcW w:type="dxa" w:w="4464"/>
            <w:vAlign w:val="center"/>
          </w:tcPr>
          <w:p>
            <w:r>
              <w:rPr>
                <w:sz w:val="16"/>
              </w:rPr>
              <w:t>ses + hgb (peso estadístico 0.75)</w:t>
            </w:r>
          </w:p>
        </w:tc>
        <w:tc>
          <w:tcPr>
            <w:tcW w:type="dxa" w:w="1267"/>
            <w:vAlign w:val="center"/>
          </w:tcPr>
          <w:p>
            <w:r>
              <w:rPr>
                <w:sz w:val="16"/>
              </w:rPr>
              <w:t>6</w:t>
            </w:r>
          </w:p>
        </w:tc>
        <w:tc>
          <w:tcPr>
            <w:tcW w:type="dxa" w:w="1181"/>
            <w:vAlign w:val="center"/>
          </w:tcPr>
          <w:p>
            <w:r>
              <w:rPr>
                <w:sz w:val="16"/>
              </w:rPr>
              <w:t>$439.26</w:t>
            </w:r>
          </w:p>
        </w:tc>
        <w:tc>
          <w:tcPr>
            <w:tcW w:type="dxa" w:w="1181"/>
            <w:vAlign w:val="center"/>
          </w:tcPr>
          <w:p>
            <w:r>
              <w:rPr>
                <w:sz w:val="16"/>
              </w:rPr>
              <w:t>$695.41</w:t>
            </w:r>
          </w:p>
        </w:tc>
      </w:tr>
      <w:tr>
        <w:tc>
          <w:tcPr>
            <w:tcW w:type="dxa" w:w="1037"/>
            <w:vAlign w:val="center"/>
          </w:tcPr>
          <w:p>
            <w:r>
              <w:rPr>
                <w:sz w:val="16"/>
              </w:rPr>
              <w:t>h=3</w:t>
            </w:r>
          </w:p>
        </w:tc>
        <w:tc>
          <w:tcPr>
            <w:tcW w:type="dxa" w:w="4464"/>
            <w:vAlign w:val="center"/>
          </w:tcPr>
          <w:p>
            <w:r>
              <w:rPr>
                <w:sz w:val="16"/>
              </w:rPr>
              <w:t>ss_arima111 + nn_residual__ss_arima111 (peso estadístico 0.75)</w:t>
            </w:r>
          </w:p>
        </w:tc>
        <w:tc>
          <w:tcPr>
            <w:tcW w:type="dxa" w:w="1267"/>
            <w:vAlign w:val="center"/>
          </w:tcPr>
          <w:p>
            <w:r>
              <w:rPr>
                <w:sz w:val="16"/>
              </w:rPr>
              <w:t>6</w:t>
            </w:r>
          </w:p>
        </w:tc>
        <w:tc>
          <w:tcPr>
            <w:tcW w:type="dxa" w:w="1181"/>
            <w:vAlign w:val="center"/>
          </w:tcPr>
          <w:p>
            <w:r>
              <w:rPr>
                <w:sz w:val="16"/>
              </w:rPr>
              <w:t>$458.80</w:t>
            </w:r>
          </w:p>
        </w:tc>
        <w:tc>
          <w:tcPr>
            <w:tcW w:type="dxa" w:w="1181"/>
            <w:vAlign w:val="center"/>
          </w:tcPr>
          <w:p>
            <w:r>
              <w:rPr>
                <w:sz w:val="16"/>
              </w:rPr>
              <w:t>$801.62</w:t>
            </w:r>
          </w:p>
        </w:tc>
      </w:tr>
      <w:tr>
        <w:tc>
          <w:tcPr>
            <w:tcW w:type="dxa" w:w="1037"/>
            <w:vAlign w:val="center"/>
          </w:tcPr>
          <w:p>
            <w:r>
              <w:rPr>
                <w:sz w:val="16"/>
              </w:rPr>
              <w:t>h=4</w:t>
            </w:r>
          </w:p>
        </w:tc>
        <w:tc>
          <w:tcPr>
            <w:tcW w:type="dxa" w:w="4464"/>
            <w:vAlign w:val="center"/>
          </w:tcPr>
          <w:p>
            <w:r>
              <w:rPr>
                <w:sz w:val="16"/>
              </w:rPr>
              <w:t>ss_arima111 + rf_residual__ss_arima111 (peso estadístico 0.75)</w:t>
            </w:r>
          </w:p>
        </w:tc>
        <w:tc>
          <w:tcPr>
            <w:tcW w:type="dxa" w:w="1267"/>
            <w:vAlign w:val="center"/>
          </w:tcPr>
          <w:p>
            <w:r>
              <w:rPr>
                <w:sz w:val="16"/>
              </w:rPr>
              <w:t>6</w:t>
            </w:r>
          </w:p>
        </w:tc>
        <w:tc>
          <w:tcPr>
            <w:tcW w:type="dxa" w:w="1181"/>
            <w:vAlign w:val="center"/>
          </w:tcPr>
          <w:p>
            <w:r>
              <w:rPr>
                <w:sz w:val="16"/>
              </w:rPr>
              <w:t>$572.54</w:t>
            </w:r>
          </w:p>
        </w:tc>
        <w:tc>
          <w:tcPr>
            <w:tcW w:type="dxa" w:w="1181"/>
            <w:vAlign w:val="center"/>
          </w:tcPr>
          <w:p>
            <w:r>
              <w:rPr>
                <w:sz w:val="16"/>
              </w:rPr>
              <w:t>$700.88</w:t>
            </w:r>
          </w:p>
        </w:tc>
      </w:tr>
    </w:tbl>
    <w:p>
      <w:pPr>
        <w:pStyle w:val="Ttulo2"/>
      </w:pPr>
      <w:r>
        <w:t>Asignación del presupuesto y controles de calidad</w:t>
      </w:r>
    </w:p>
    <w:p>
      <w:pPr/>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pPr/>
      <w:r>
        <w:t xml:space="preserve">Las métricas monetarias y el consolidado de cuatro semanas se calculan conforme a las ecuaciones </w:t>
      </w:r>
      <w:r>
        <w:fldChar w:fldCharType="begin"/>
      </w:r>
      <w:r>
        <w:instrText xml:space="preserve"> REF eq239 \h </w:instrText>
      </w:r>
      <w:r>
        <w:fldChar w:fldCharType="separate"/>
      </w:r>
      <w:r>
        <w:t>(2.39)</w:t>
      </w:r>
      <w:r>
        <w:fldChar w:fldCharType="end"/>
      </w:r>
      <w:r>
        <w:t xml:space="preserve"> a </w:t>
      </w:r>
      <w:r>
        <w:fldChar w:fldCharType="begin"/>
      </w:r>
      <w:r>
        <w:instrText xml:space="preserve"> REF eq241 \h </w:instrText>
      </w:r>
      <w:r>
        <w:fldChar w:fldCharType="separate"/>
      </w:r>
      <w:r>
        <w:t>(2.41)</w:t>
      </w:r>
      <w:r>
        <w:fldChar w:fldCharType="end"/>
      </w:r>
      <w:r>
        <w:t>. El conjunto Oₕ contiene los orígenes evaluables comunes para el horizonte h; Dₒ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RMSEₕ = √[(1/|Oₕ|) ∑ₒ∈Oₕ (Yₒ₊ₕ₋₁ − Ŷₒ,ₕ)²];   MAEₕ = (1/|Oₕ|) ∑ₒ∈Oₕ |Yₒ₊ₕ₋₁ − Ŷₒ,ₕ|</w:t>
            </w:r>
          </w:p>
        </w:tc>
        <w:tc>
          <w:tcPr>
            <w:tcW w:w="753" w:type="dxa"/>
          </w:tcPr>
          <w:p>
            <w:pPr>
              <w:jc w:val="right"/>
            </w:pPr>
            <w:bookmarkStart w:id="9009" w:name="eq239"/>
            <w:r>
              <w:rPr>
                <w:rFonts w:ascii="Times New Roman" w:hAnsi="Times New Roman"/>
              </w:rPr>
              <w:t>(2.39)</w:t>
            </w:r>
            <w:bookmarkEnd w:id="9009"/>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MASEₕ = MAEₕ / [(1/|Dₒ|) ∑ₜ∈Dₒ |Yₜ − Yₜ₋₁|]</w:t>
            </w:r>
          </w:p>
        </w:tc>
        <w:tc>
          <w:tcPr>
            <w:tcW w:w="753" w:type="dxa"/>
          </w:tcPr>
          <w:p>
            <w:pPr>
              <w:jc w:val="right"/>
            </w:pPr>
            <w:bookmarkStart w:id="9010" w:name="eq240"/>
            <w:r>
              <w:rPr>
                <w:rFonts w:ascii="Times New Roman" w:hAnsi="Times New Roman"/>
              </w:rPr>
              <w:t>(2.40)</w:t>
            </w:r>
            <w:bookmarkEnd w:id="901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B₄ = ∑ₕ₌₁⁴ Ŷₕ;   pᵢ,₄ = (∑ₕ₌₁⁴ Aᵢ,ₕ) / B₄</w:t>
            </w:r>
          </w:p>
        </w:tc>
        <w:tc>
          <w:tcPr>
            <w:tcW w:w="753" w:type="dxa"/>
          </w:tcPr>
          <w:p>
            <w:pPr>
              <w:jc w:val="right"/>
            </w:pPr>
            <w:bookmarkStart w:id="9011" w:name="eq241"/>
            <w:r>
              <w:rPr>
                <w:rFonts w:ascii="Times New Roman" w:hAnsi="Times New Roman"/>
              </w:rPr>
              <w:t>(2.41)</w:t>
            </w:r>
            <w:bookmarkEnd w:id="9011"/>
          </w:p>
        </w:tc>
      </w:tr>
    </w:tbl>
    <w:p>
      <w:pPr/>
      <w:r>
        <w:t>El RMSE, MAE y MASE se calculan por separado para cada horizonte; MASE no está definido si la escala de entrenamiento es cero. B₄ suma los cuatro pronósticos semanales directos y pᵢ,₄ representa la participación de cada asignación A en el presupuesto acumulado de 28 días.</w:t>
      </w:r>
    </w:p>
    <w:p>
      <w:pPr>
        <w:pStyle w:val="Descripcin"/>
        <w:keepNext/>
      </w:pPr>
      <w:r>
        <w:t>Figura 42. Asignación agregada del presupuesto pronosticado a cuatro semanas.</w:t>
      </w:r>
    </w:p>
    <w:p>
      <w:pPr>
        <w:jc w:val="center"/>
      </w:pPr>
      <w:r>
        <w:drawing>
          <wp:inline xmlns:a="http://schemas.openxmlformats.org/drawingml/2006/main" xmlns:pic="http://schemas.openxmlformats.org/drawingml/2006/picture">
            <wp:extent cx="5532120" cy="3051038"/>
            <wp:docPr id="1678057669" name="Picture 1678057669"/>
            <wp:cNvGraphicFramePr>
              <a:graphicFrameLocks noChangeAspect="1"/>
            </wp:cNvGraphicFramePr>
            <a:graphic>
              <a:graphicData uri="http://schemas.openxmlformats.org/drawingml/2006/picture">
                <pic:pic>
                  <pic:nvPicPr>
                    <pic:cNvPr id="0" name="F20.png"/>
                    <pic:cNvPicPr/>
                  </pic:nvPicPr>
                  <pic:blipFill>
                    <a:blip r:embed="rId40"/>
                    <a:stretch>
                      <a:fillRect/>
                    </a:stretch>
                  </pic:blipFill>
                  <pic:spPr>
                    <a:xfrm>
                      <a:off x="0" y="0"/>
                      <a:ext cx="5532120" cy="3051038"/>
                    </a:xfrm>
                    <a:prstGeom prst="rect"/>
                  </pic:spPr>
                </pic:pic>
              </a:graphicData>
            </a:graphic>
          </wp:inline>
        </w:drawing>
      </w:r>
    </w:p>
    <w:p>
      <w:pPr>
        <w:pStyle w:val="Descripcin"/>
        <w:keepNext/>
      </w:pPr>
      <w:r>
        <w:t>Tabla 14. Pronóstico agregado de cuatro semanas por categoría elegible.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888"/>
            <w:shd w:fill="24476B"/>
          </w:tcPr>
          <w:p>
            <w:r>
              <w:rPr>
                <w:b/>
                <w:color w:val="FFFFFF"/>
                <w:sz w:val="16"/>
              </w:rPr>
              <w:t>Categoría / agrupación</w:t>
            </w:r>
          </w:p>
        </w:tc>
        <w:tc>
          <w:tcPr>
            <w:tcW w:type="dxa" w:w="2232"/>
            <w:shd w:fill="24476B"/>
          </w:tcPr>
          <w:p>
            <w:r>
              <w:rPr>
                <w:b/>
                <w:color w:val="FFFFFF"/>
                <w:sz w:val="16"/>
              </w:rPr>
              <w:t>Importe estimado (MXN)</w:t>
            </w:r>
          </w:p>
        </w:tc>
        <w:tc>
          <w:tcPr>
            <w:tcW w:type="dxa" w:w="1872"/>
            <w:shd w:fill="24476B"/>
          </w:tcPr>
          <w:p>
            <w:r>
              <w:rPr>
                <w:b/>
                <w:color w:val="FFFFFF"/>
                <w:sz w:val="16"/>
              </w:rPr>
              <w:t>Participación</w:t>
            </w:r>
          </w:p>
        </w:tc>
      </w:tr>
      <w:tr>
        <w:tc>
          <w:tcPr>
            <w:tcW w:type="dxa" w:w="3888"/>
            <w:vAlign w:val="center"/>
          </w:tcPr>
          <w:p>
            <w:r>
              <w:rPr>
                <w:sz w:val="16"/>
              </w:rPr>
              <w:t>HARINA</w:t>
            </w:r>
          </w:p>
        </w:tc>
        <w:tc>
          <w:tcPr>
            <w:tcW w:type="dxa" w:w="2232"/>
            <w:vAlign w:val="center"/>
          </w:tcPr>
          <w:p>
            <w:r>
              <w:rPr>
                <w:sz w:val="16"/>
              </w:rPr>
              <w:t>$468.33</w:t>
            </w:r>
          </w:p>
        </w:tc>
        <w:tc>
          <w:tcPr>
            <w:tcW w:type="dxa" w:w="1872"/>
            <w:vAlign w:val="center"/>
          </w:tcPr>
          <w:p>
            <w:r>
              <w:rPr>
                <w:sz w:val="16"/>
              </w:rPr>
              <w:t>25.24%</w:t>
            </w:r>
          </w:p>
        </w:tc>
      </w:tr>
      <w:tr>
        <w:tc>
          <w:tcPr>
            <w:tcW w:type="dxa" w:w="3888"/>
            <w:vAlign w:val="center"/>
          </w:tcPr>
          <w:p>
            <w:r>
              <w:rPr>
                <w:sz w:val="16"/>
              </w:rPr>
              <w:t>BASES</w:t>
            </w:r>
          </w:p>
        </w:tc>
        <w:tc>
          <w:tcPr>
            <w:tcW w:type="dxa" w:w="2232"/>
            <w:vAlign w:val="center"/>
          </w:tcPr>
          <w:p>
            <w:r>
              <w:rPr>
                <w:sz w:val="16"/>
              </w:rPr>
              <w:t>$354.84</w:t>
            </w:r>
          </w:p>
        </w:tc>
        <w:tc>
          <w:tcPr>
            <w:tcW w:type="dxa" w:w="1872"/>
            <w:vAlign w:val="center"/>
          </w:tcPr>
          <w:p>
            <w:r>
              <w:rPr>
                <w:sz w:val="16"/>
              </w:rPr>
              <w:t>19.12%</w:t>
            </w:r>
          </w:p>
        </w:tc>
      </w:tr>
      <w:tr>
        <w:tc>
          <w:tcPr>
            <w:tcW w:type="dxa" w:w="3888"/>
            <w:vAlign w:val="center"/>
          </w:tcPr>
          <w:p>
            <w:r>
              <w:rPr>
                <w:sz w:val="16"/>
              </w:rPr>
              <w:t>RESTO_ELEGIBLE</w:t>
            </w:r>
          </w:p>
        </w:tc>
        <w:tc>
          <w:tcPr>
            <w:tcW w:type="dxa" w:w="2232"/>
            <w:vAlign w:val="center"/>
          </w:tcPr>
          <w:p>
            <w:r>
              <w:rPr>
                <w:sz w:val="16"/>
              </w:rPr>
              <w:t>$249.75</w:t>
            </w:r>
          </w:p>
        </w:tc>
        <w:tc>
          <w:tcPr>
            <w:tcW w:type="dxa" w:w="1872"/>
            <w:vAlign w:val="center"/>
          </w:tcPr>
          <w:p>
            <w:r>
              <w:rPr>
                <w:sz w:val="16"/>
              </w:rPr>
              <w:t>13.46%</w:t>
            </w:r>
          </w:p>
        </w:tc>
      </w:tr>
      <w:tr>
        <w:tc>
          <w:tcPr>
            <w:tcW w:type="dxa" w:w="3888"/>
            <w:vAlign w:val="center"/>
          </w:tcPr>
          <w:p>
            <w:r>
              <w:rPr>
                <w:sz w:val="16"/>
              </w:rPr>
              <w:t>EMPAQUE</w:t>
            </w:r>
          </w:p>
        </w:tc>
        <w:tc>
          <w:tcPr>
            <w:tcW w:type="dxa" w:w="2232"/>
            <w:vAlign w:val="center"/>
          </w:tcPr>
          <w:p>
            <w:r>
              <w:rPr>
                <w:sz w:val="16"/>
              </w:rPr>
              <w:t>$212.07</w:t>
            </w:r>
          </w:p>
        </w:tc>
        <w:tc>
          <w:tcPr>
            <w:tcW w:type="dxa" w:w="1872"/>
            <w:vAlign w:val="center"/>
          </w:tcPr>
          <w:p>
            <w:r>
              <w:rPr>
                <w:sz w:val="16"/>
              </w:rPr>
              <w:t>11.43%</w:t>
            </w:r>
          </w:p>
        </w:tc>
      </w:tr>
      <w:tr>
        <w:tc>
          <w:tcPr>
            <w:tcW w:type="dxa" w:w="3888"/>
            <w:vAlign w:val="center"/>
          </w:tcPr>
          <w:p>
            <w:r>
              <w:rPr>
                <w:sz w:val="16"/>
              </w:rPr>
              <w:t>HUEVO</w:t>
            </w:r>
          </w:p>
        </w:tc>
        <w:tc>
          <w:tcPr>
            <w:tcW w:type="dxa" w:w="2232"/>
            <w:vAlign w:val="center"/>
          </w:tcPr>
          <w:p>
            <w:r>
              <w:rPr>
                <w:sz w:val="16"/>
              </w:rPr>
              <w:t>$108.38</w:t>
            </w:r>
          </w:p>
        </w:tc>
        <w:tc>
          <w:tcPr>
            <w:tcW w:type="dxa" w:w="1872"/>
            <w:vAlign w:val="center"/>
          </w:tcPr>
          <w:p>
            <w:r>
              <w:rPr>
                <w:sz w:val="16"/>
              </w:rPr>
              <w:t>5.84%</w:t>
            </w:r>
          </w:p>
        </w:tc>
      </w:tr>
      <w:tr>
        <w:tc>
          <w:tcPr>
            <w:tcW w:type="dxa" w:w="3888"/>
            <w:vAlign w:val="center"/>
          </w:tcPr>
          <w:p>
            <w:r>
              <w:rPr>
                <w:sz w:val="16"/>
              </w:rPr>
              <w:t>AMBIANTE</w:t>
            </w:r>
          </w:p>
        </w:tc>
        <w:tc>
          <w:tcPr>
            <w:tcW w:type="dxa" w:w="2232"/>
            <w:vAlign w:val="center"/>
          </w:tcPr>
          <w:p>
            <w:r>
              <w:rPr>
                <w:sz w:val="16"/>
              </w:rPr>
              <w:t>$103.75</w:t>
            </w:r>
          </w:p>
        </w:tc>
        <w:tc>
          <w:tcPr>
            <w:tcW w:type="dxa" w:w="1872"/>
            <w:vAlign w:val="center"/>
          </w:tcPr>
          <w:p>
            <w:r>
              <w:rPr>
                <w:sz w:val="16"/>
              </w:rPr>
              <w:t>5.59%</w:t>
            </w:r>
          </w:p>
        </w:tc>
      </w:tr>
      <w:tr>
        <w:tc>
          <w:tcPr>
            <w:tcW w:type="dxa" w:w="3888"/>
            <w:vAlign w:val="center"/>
          </w:tcPr>
          <w:p>
            <w:r>
              <w:rPr>
                <w:sz w:val="16"/>
              </w:rPr>
              <w:t>CHANTILLY</w:t>
            </w:r>
          </w:p>
        </w:tc>
        <w:tc>
          <w:tcPr>
            <w:tcW w:type="dxa" w:w="2232"/>
            <w:vAlign w:val="center"/>
          </w:tcPr>
          <w:p>
            <w:r>
              <w:rPr>
                <w:sz w:val="16"/>
              </w:rPr>
              <w:t>$96.81</w:t>
            </w:r>
          </w:p>
        </w:tc>
        <w:tc>
          <w:tcPr>
            <w:tcW w:type="dxa" w:w="1872"/>
            <w:vAlign w:val="center"/>
          </w:tcPr>
          <w:p>
            <w:r>
              <w:rPr>
                <w:sz w:val="16"/>
              </w:rPr>
              <w:t>5.22%</w:t>
            </w:r>
          </w:p>
        </w:tc>
      </w:tr>
      <w:tr>
        <w:tc>
          <w:tcPr>
            <w:tcW w:type="dxa" w:w="3888"/>
            <w:vAlign w:val="center"/>
          </w:tcPr>
          <w:p>
            <w:r>
              <w:rPr>
                <w:sz w:val="16"/>
              </w:rPr>
              <w:t>CHOCOLATE</w:t>
            </w:r>
          </w:p>
        </w:tc>
        <w:tc>
          <w:tcPr>
            <w:tcW w:type="dxa" w:w="2232"/>
            <w:vAlign w:val="center"/>
          </w:tcPr>
          <w:p>
            <w:r>
              <w:rPr>
                <w:sz w:val="16"/>
              </w:rPr>
              <w:t>$87.08</w:t>
            </w:r>
          </w:p>
        </w:tc>
        <w:tc>
          <w:tcPr>
            <w:tcW w:type="dxa" w:w="1872"/>
            <w:vAlign w:val="center"/>
          </w:tcPr>
          <w:p>
            <w:r>
              <w:rPr>
                <w:sz w:val="16"/>
              </w:rPr>
              <w:t>4.69%</w:t>
            </w:r>
          </w:p>
        </w:tc>
      </w:tr>
      <w:tr>
        <w:tc>
          <w:tcPr>
            <w:tcW w:type="dxa" w:w="3888"/>
            <w:vAlign w:val="center"/>
          </w:tcPr>
          <w:p>
            <w:r>
              <w:rPr>
                <w:sz w:val="16"/>
              </w:rPr>
              <w:t>FONDANT</w:t>
            </w:r>
          </w:p>
        </w:tc>
        <w:tc>
          <w:tcPr>
            <w:tcW w:type="dxa" w:w="2232"/>
            <w:vAlign w:val="center"/>
          </w:tcPr>
          <w:p>
            <w:r>
              <w:rPr>
                <w:sz w:val="16"/>
              </w:rPr>
              <w:t>$87.07</w:t>
            </w:r>
          </w:p>
        </w:tc>
        <w:tc>
          <w:tcPr>
            <w:tcW w:type="dxa" w:w="1872"/>
            <w:vAlign w:val="center"/>
          </w:tcPr>
          <w:p>
            <w:r>
              <w:rPr>
                <w:sz w:val="16"/>
              </w:rPr>
              <w:t>4.69%</w:t>
            </w:r>
          </w:p>
        </w:tc>
      </w:tr>
      <w:tr>
        <w:tc>
          <w:tcPr>
            <w:tcW w:type="dxa" w:w="3888"/>
            <w:vAlign w:val="center"/>
          </w:tcPr>
          <w:p>
            <w:r>
              <w:rPr>
                <w:sz w:val="16"/>
              </w:rPr>
              <w:t>DECORACION</w:t>
            </w:r>
          </w:p>
        </w:tc>
        <w:tc>
          <w:tcPr>
            <w:tcW w:type="dxa" w:w="2232"/>
            <w:vAlign w:val="center"/>
          </w:tcPr>
          <w:p>
            <w:r>
              <w:rPr>
                <w:sz w:val="16"/>
              </w:rPr>
              <w:t>$56.74</w:t>
            </w:r>
          </w:p>
        </w:tc>
        <w:tc>
          <w:tcPr>
            <w:tcW w:type="dxa" w:w="1872"/>
            <w:vAlign w:val="center"/>
          </w:tcPr>
          <w:p>
            <w:r>
              <w:rPr>
                <w:sz w:val="16"/>
              </w:rPr>
              <w:t>3.06%</w:t>
            </w:r>
          </w:p>
        </w:tc>
      </w:tr>
      <w:tr>
        <w:tc>
          <w:tcPr>
            <w:tcW w:type="dxa" w:w="3888"/>
            <w:vAlign w:val="center"/>
          </w:tcPr>
          <w:p>
            <w:r>
              <w:rPr>
                <w:sz w:val="16"/>
              </w:rPr>
              <w:t>CAPACILLOS</w:t>
            </w:r>
          </w:p>
        </w:tc>
        <w:tc>
          <w:tcPr>
            <w:tcW w:type="dxa" w:w="2232"/>
            <w:vAlign w:val="center"/>
          </w:tcPr>
          <w:p>
            <w:r>
              <w:rPr>
                <w:sz w:val="16"/>
              </w:rPr>
              <w:t>$24.28</w:t>
            </w:r>
          </w:p>
        </w:tc>
        <w:tc>
          <w:tcPr>
            <w:tcW w:type="dxa" w:w="1872"/>
            <w:vAlign w:val="center"/>
          </w:tcPr>
          <w:p>
            <w:r>
              <w:rPr>
                <w:sz w:val="16"/>
              </w:rPr>
              <w:t>1.31%</w:t>
            </w:r>
          </w:p>
        </w:tc>
      </w:tr>
      <w:tr>
        <w:tc>
          <w:tcPr>
            <w:tcW w:type="dxa" w:w="3888"/>
            <w:vAlign w:val="center"/>
          </w:tcPr>
          <w:p>
            <w:r>
              <w:rPr>
                <w:sz w:val="16"/>
              </w:rPr>
              <w:t>RELLENO</w:t>
            </w:r>
          </w:p>
        </w:tc>
        <w:tc>
          <w:tcPr>
            <w:tcW w:type="dxa" w:w="2232"/>
            <w:vAlign w:val="center"/>
          </w:tcPr>
          <w:p>
            <w:r>
              <w:rPr>
                <w:sz w:val="16"/>
              </w:rPr>
              <w:t>$6.51</w:t>
            </w:r>
          </w:p>
        </w:tc>
        <w:tc>
          <w:tcPr>
            <w:tcW w:type="dxa" w:w="1872"/>
            <w:vAlign w:val="center"/>
          </w:tcPr>
          <w:p>
            <w:r>
              <w:rPr>
                <w:sz w:val="16"/>
              </w:rPr>
              <w:t>0.35%</w:t>
            </w:r>
          </w:p>
        </w:tc>
      </w:tr>
    </w:tbl>
    <w:p>
      <w:pPr/>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pPr>
        <w:pStyle w:val="Descripcin"/>
        <w:keepNext/>
      </w:pPr>
      <w:r>
        <w:t>Figura 43. Resultado de los controles de calidad del pipeline.</w:t>
      </w:r>
    </w:p>
    <w:p>
      <w:pPr>
        <w:jc w:val="center"/>
      </w:pPr>
      <w:r>
        <w:drawing>
          <wp:inline xmlns:a="http://schemas.openxmlformats.org/drawingml/2006/main" xmlns:pic="http://schemas.openxmlformats.org/drawingml/2006/picture">
            <wp:extent cx="5532120" cy="2284843"/>
            <wp:docPr id="1678057670" name="Picture 1678057670"/>
            <wp:cNvGraphicFramePr>
              <a:graphicFrameLocks noChangeAspect="1"/>
            </wp:cNvGraphicFramePr>
            <a:graphic>
              <a:graphicData uri="http://schemas.openxmlformats.org/drawingml/2006/picture">
                <pic:pic>
                  <pic:nvPicPr>
                    <pic:cNvPr id="0" name="F22.png"/>
                    <pic:cNvPicPr/>
                  </pic:nvPicPr>
                  <pic:blipFill>
                    <a:blip r:embed="rId41"/>
                    <a:stretch>
                      <a:fillRect/>
                    </a:stretch>
                  </pic:blipFill>
                  <pic:spPr>
                    <a:xfrm>
                      <a:off x="0" y="0"/>
                      <a:ext cx="5532120" cy="2284843"/>
                    </a:xfrm>
                    <a:prstGeom prst="rect"/>
                  </pic:spPr>
                </pic:pic>
              </a:graphicData>
            </a:graphic>
          </wp:inline>
        </w:drawing>
      </w:r>
    </w:p>
    <w:p>
      <w:pPr>
        <w:pStyle w:val="Ttulo2"/>
      </w:pPr>
      <w:r>
        <w:t>Alcance y trazabilidad de la corrida</w:t>
      </w:r>
    </w:p>
    <w:p>
      <w:pPr/>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pPr/>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pPr/>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pPr>
        <w:pStyle w:val="Ttulo2"/>
      </w:pPr>
      <w:r>
        <w:t>Calidad, cobertura e integración de datos</w:t>
      </w:r>
    </w:p>
    <w:p>
      <w:pPr/>
      <w:r>
        <w:t>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por lo que no se interpretaron como gasto cero.</w:t>
      </w:r>
    </w:p>
    <w:p>
      <w:pPr/>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pPr/>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pPr>
        <w:pStyle w:val="Ttulo2"/>
      </w:pPr>
      <w:r>
        <w:t>Diseño efectivo de evaluación</w:t>
      </w:r>
    </w:p>
    <w:p>
      <w:pPr/>
      <w:r>
        <w:t>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folds. No hubo exclusiones de objetivos monetarios en esas seis predicciones por horizonte. Los benchmarks estacionales de 52 semanas sí tuvieron menos casos utilizables (2, 4, 4 y 2, respectivamente), por falta del rezago anual observado; se reportan aparte y no se comparan como si tuvieran la misma disponibilidad.</w:t>
      </w:r>
    </w:p>
    <w:p>
      <w:pPr/>
      <w:r>
        <w:t>El ajuste interno utilizó cinco orígenes y seleccionó configuraciones por horizonte: SES + Random Forest (peso estadístico 0.75) para h=1; SES + HistGradientBoosting (0.75) para h=2; ARIMA estacional simplificado + red neuronal residual para h=3; y ARIMA estacional simplificado + Random Forest residual para h=4. Esta selección se efectuó en validación interna y no constituye por sí misma evidencia de superioridad en la evaluación externa.</w:t>
      </w:r>
    </w:p>
    <w:p>
      <w:pPr>
        <w:pStyle w:val="Ttulo2"/>
      </w:pPr>
      <w:r>
        <w:t>Rendimiento comparativo del importe semanal</w:t>
      </w:r>
    </w:p>
    <w:p>
      <w:pPr/>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r>
              <w:rPr>
                <w:b/>
                <w:sz w:val="16"/>
              </w:rPr>
              <w:t>Horizonte</w:t>
            </w:r>
          </w:p>
        </w:tc>
        <w:tc>
          <w:tcPr>
            <w:tcW w:type="dxa" w:w="1994"/>
            <w:vAlign w:val="center"/>
          </w:tcPr>
          <w:p>
            <w:r>
              <w:rPr>
                <w:b/>
                <w:sz w:val="16"/>
              </w:rPr>
              <w:t>Híbrido RMSE (MXN)</w:t>
            </w:r>
          </w:p>
        </w:tc>
        <w:tc>
          <w:tcPr>
            <w:tcW w:type="dxa" w:w="1994"/>
            <w:vAlign w:val="center"/>
          </w:tcPr>
          <w:p>
            <w:r>
              <w:rPr>
                <w:b/>
                <w:sz w:val="16"/>
              </w:rPr>
              <w:t>Híbrido MAE (MXN)</w:t>
            </w:r>
          </w:p>
        </w:tc>
        <w:tc>
          <w:tcPr>
            <w:tcW w:type="dxa" w:w="1994"/>
            <w:vAlign w:val="center"/>
          </w:tcPr>
          <w:p>
            <w:r>
              <w:rPr>
                <w:b/>
                <w:sz w:val="16"/>
              </w:rPr>
              <w:t>Menor RMSE comparador principal</w:t>
            </w:r>
          </w:p>
        </w:tc>
        <w:tc>
          <w:tcPr>
            <w:tcW w:type="dxa" w:w="1994"/>
            <w:vAlign w:val="center"/>
          </w:tcPr>
          <w:p>
            <w:r>
              <w:rPr>
                <w:b/>
                <w:sz w:val="16"/>
              </w:rPr>
              <w:t>RMSE (MXN)</w:t>
            </w:r>
          </w:p>
        </w:tc>
      </w:tr>
      <w:tr>
        <w:tc>
          <w:tcPr>
            <w:tcW w:type="dxa" w:w="1994"/>
            <w:vAlign w:val="center"/>
          </w:tcPr>
          <w:p>
            <w:r>
              <w:rPr>
                <w:sz w:val="16"/>
              </w:rPr>
              <w:t>1 semana</w:t>
            </w:r>
          </w:p>
        </w:tc>
        <w:tc>
          <w:tcPr>
            <w:tcW w:type="dxa" w:w="1994"/>
            <w:vAlign w:val="center"/>
          </w:tcPr>
          <w:p>
            <w:r>
              <w:rPr>
                <w:sz w:val="16"/>
              </w:rPr>
              <w:t>521.60</w:t>
            </w:r>
          </w:p>
        </w:tc>
        <w:tc>
          <w:tcPr>
            <w:tcW w:type="dxa" w:w="1994"/>
            <w:vAlign w:val="center"/>
          </w:tcPr>
          <w:p>
            <w:r>
              <w:rPr>
                <w:sz w:val="16"/>
              </w:rPr>
              <w:t>386.43</w:t>
            </w:r>
          </w:p>
        </w:tc>
        <w:tc>
          <w:tcPr>
            <w:tcW w:type="dxa" w:w="1994"/>
            <w:vAlign w:val="center"/>
          </w:tcPr>
          <w:p>
            <w:r>
              <w:rPr>
                <w:sz w:val="16"/>
              </w:rPr>
              <w:t>Random Forest</w:t>
            </w:r>
          </w:p>
        </w:tc>
        <w:tc>
          <w:tcPr>
            <w:tcW w:type="dxa" w:w="1994"/>
            <w:vAlign w:val="center"/>
          </w:tcPr>
          <w:p>
            <w:r>
              <w:rPr>
                <w:sz w:val="16"/>
              </w:rPr>
              <w:t>446.21</w:t>
            </w:r>
          </w:p>
        </w:tc>
      </w:tr>
      <w:tr>
        <w:tc>
          <w:tcPr>
            <w:tcW w:type="dxa" w:w="1994"/>
            <w:vAlign w:val="center"/>
          </w:tcPr>
          <w:p>
            <w:r>
              <w:rPr>
                <w:sz w:val="16"/>
              </w:rPr>
              <w:t>2 semanas</w:t>
            </w:r>
          </w:p>
        </w:tc>
        <w:tc>
          <w:tcPr>
            <w:tcW w:type="dxa" w:w="1994"/>
            <w:vAlign w:val="center"/>
          </w:tcPr>
          <w:p>
            <w:r>
              <w:rPr>
                <w:sz w:val="16"/>
              </w:rPr>
              <w:t>695.41</w:t>
            </w:r>
          </w:p>
        </w:tc>
        <w:tc>
          <w:tcPr>
            <w:tcW w:type="dxa" w:w="1994"/>
            <w:vAlign w:val="center"/>
          </w:tcPr>
          <w:p>
            <w:r>
              <w:rPr>
                <w:sz w:val="16"/>
              </w:rPr>
              <w:t>439.26</w:t>
            </w:r>
          </w:p>
        </w:tc>
        <w:tc>
          <w:tcPr>
            <w:tcW w:type="dxa" w:w="1994"/>
            <w:vAlign w:val="center"/>
          </w:tcPr>
          <w:p>
            <w:r>
              <w:rPr>
                <w:sz w:val="16"/>
              </w:rPr>
              <w:t>HistGradientBoosting</w:t>
            </w:r>
          </w:p>
        </w:tc>
        <w:tc>
          <w:tcPr>
            <w:tcW w:type="dxa" w:w="1994"/>
            <w:vAlign w:val="center"/>
          </w:tcPr>
          <w:p>
            <w:r>
              <w:rPr>
                <w:sz w:val="16"/>
              </w:rPr>
              <w:t>596.17</w:t>
            </w:r>
          </w:p>
        </w:tc>
      </w:tr>
      <w:tr>
        <w:tc>
          <w:tcPr>
            <w:tcW w:type="dxa" w:w="1994"/>
            <w:vAlign w:val="center"/>
          </w:tcPr>
          <w:p>
            <w:r>
              <w:rPr>
                <w:sz w:val="16"/>
              </w:rPr>
              <w:t>3 semanas</w:t>
            </w:r>
          </w:p>
        </w:tc>
        <w:tc>
          <w:tcPr>
            <w:tcW w:type="dxa" w:w="1994"/>
            <w:vAlign w:val="center"/>
          </w:tcPr>
          <w:p>
            <w:r>
              <w:rPr>
                <w:sz w:val="16"/>
              </w:rPr>
              <w:t>801.62</w:t>
            </w:r>
          </w:p>
        </w:tc>
        <w:tc>
          <w:tcPr>
            <w:tcW w:type="dxa" w:w="1994"/>
            <w:vAlign w:val="center"/>
          </w:tcPr>
          <w:p>
            <w:r>
              <w:rPr>
                <w:sz w:val="16"/>
              </w:rPr>
              <w:t>458.80</w:t>
            </w:r>
          </w:p>
        </w:tc>
        <w:tc>
          <w:tcPr>
            <w:tcW w:type="dxa" w:w="1994"/>
            <w:vAlign w:val="center"/>
          </w:tcPr>
          <w:p>
            <w:r>
              <w:rPr>
                <w:sz w:val="16"/>
              </w:rPr>
              <w:t>Híbrido</w:t>
            </w:r>
          </w:p>
        </w:tc>
        <w:tc>
          <w:tcPr>
            <w:tcW w:type="dxa" w:w="1994"/>
            <w:vAlign w:val="center"/>
          </w:tcPr>
          <w:p>
            <w:r>
              <w:rPr>
                <w:sz w:val="16"/>
              </w:rPr>
              <w:t>801.62</w:t>
            </w:r>
          </w:p>
        </w:tc>
      </w:tr>
      <w:tr>
        <w:tc>
          <w:tcPr>
            <w:tcW w:type="dxa" w:w="1994"/>
            <w:vAlign w:val="center"/>
          </w:tcPr>
          <w:p>
            <w:r>
              <w:rPr>
                <w:sz w:val="16"/>
              </w:rPr>
              <w:t>4 semanas</w:t>
            </w:r>
          </w:p>
        </w:tc>
        <w:tc>
          <w:tcPr>
            <w:tcW w:type="dxa" w:w="1994"/>
            <w:vAlign w:val="center"/>
          </w:tcPr>
          <w:p>
            <w:r>
              <w:rPr>
                <w:sz w:val="16"/>
              </w:rPr>
              <w:t>700.88</w:t>
            </w:r>
          </w:p>
        </w:tc>
        <w:tc>
          <w:tcPr>
            <w:tcW w:type="dxa" w:w="1994"/>
            <w:vAlign w:val="center"/>
          </w:tcPr>
          <w:p>
            <w:r>
              <w:rPr>
                <w:sz w:val="16"/>
              </w:rPr>
              <w:t>572.54</w:t>
            </w:r>
          </w:p>
        </w:tc>
        <w:tc>
          <w:tcPr>
            <w:tcW w:type="dxa" w:w="1994"/>
            <w:vAlign w:val="center"/>
          </w:tcPr>
          <w:p>
            <w:r>
              <w:rPr>
                <w:sz w:val="16"/>
              </w:rPr>
              <w:t>RF residual + ARIMA estacional</w:t>
            </w:r>
          </w:p>
        </w:tc>
        <w:tc>
          <w:tcPr>
            <w:tcW w:type="dxa" w:w="1994"/>
            <w:vAlign w:val="center"/>
          </w:tcPr>
          <w:p>
            <w:r>
              <w:rPr>
                <w:sz w:val="16"/>
              </w:rPr>
              <w:t>578.95</w:t>
            </w:r>
          </w:p>
        </w:tc>
      </w:tr>
    </w:tbl>
    <w:p>
      <w:pPr/>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pPr>
        <w:jc w:val="center"/>
      </w:pPr>
      <w:r>
        <w:drawing>
          <wp:inline xmlns:a="http://schemas.openxmlformats.org/drawingml/2006/main" xmlns:pic="http://schemas.openxmlformats.org/drawingml/2006/picture">
            <wp:extent cx="5669280" cy="2405631"/>
            <wp:docPr id="1678057671" name="Picture 1678057671"/>
            <wp:cNvGraphicFramePr>
              <a:graphicFrameLocks noChangeAspect="1"/>
            </wp:cNvGraphicFramePr>
            <a:graphic>
              <a:graphicData uri="http://schemas.openxmlformats.org/drawingml/2006/picture">
                <pic:pic>
                  <pic:nvPicPr>
                    <pic:cNvPr id="0" name="F17.png"/>
                    <pic:cNvPicPr/>
                  </pic:nvPicPr>
                  <pic:blipFill>
                    <a:blip r:embed="rId42"/>
                    <a:stretch>
                      <a:fillRect/>
                    </a:stretch>
                  </pic:blipFill>
                  <pic:spPr>
                    <a:xfrm>
                      <a:off x="0" y="0"/>
                      <a:ext cx="5669280" cy="2405631"/>
                    </a:xfrm>
                    <a:prstGeom prst="rect"/>
                  </pic:spPr>
                </pic:pic>
              </a:graphicData>
            </a:graphic>
          </wp:inline>
        </w:drawing>
      </w:r>
    </w:p>
    <w:p>
      <w:pPr>
        <w:pStyle w:val="Descripcin"/>
      </w:pPr>
      <w:r>
        <w:t>Figura 46. Errores monetarios por modelo y horizonte en la evaluación temporal. Fuente: salida del pipeline, corrida run_20260924T195600Z_86a6f5.</w:t>
      </w:r>
    </w:p>
    <w:p>
      <w:pPr>
        <w:pStyle w:val="Ttulo2"/>
      </w:pPr>
      <w:r>
        <w:t>Distribución porcentual por insumo</w:t>
      </w:r>
    </w:p>
    <w:p>
      <w:pPr/>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pPr/>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type="auto" w:w="0"/>
        <w:jc w:val="center"/>
        <w:tblLook w:firstColumn="1" w:firstRow="1" w:lastColumn="0" w:lastRow="0" w:noHBand="0" w:noVBand="1" w:val="04A0"/>
      </w:tblPr>
      <w:tblGrid>
        <w:gridCol w:w="2493"/>
        <w:gridCol w:w="2493"/>
        <w:gridCol w:w="2493"/>
        <w:gridCol w:w="2493"/>
      </w:tblGrid>
      <w:tr>
        <w:tc>
          <w:tcPr>
            <w:tcW w:type="dxa" w:w="2493"/>
            <w:vAlign w:val="center"/>
          </w:tcPr>
          <w:p>
            <w:r>
              <w:rPr>
                <w:b/>
                <w:sz w:val="16"/>
              </w:rPr>
              <w:t>Horizonte</w:t>
            </w:r>
          </w:p>
        </w:tc>
        <w:tc>
          <w:tcPr>
            <w:tcW w:type="dxa" w:w="2493"/>
            <w:vAlign w:val="center"/>
          </w:tcPr>
          <w:p>
            <w:r>
              <w:rPr>
                <w:b/>
                <w:sz w:val="16"/>
              </w:rPr>
              <w:t>Participación histórica (MAE pp)</w:t>
            </w:r>
          </w:p>
        </w:tc>
        <w:tc>
          <w:tcPr>
            <w:tcW w:type="dxa" w:w="2493"/>
            <w:vAlign w:val="center"/>
          </w:tcPr>
          <w:p>
            <w:r>
              <w:rPr>
                <w:b/>
                <w:sz w:val="16"/>
              </w:rPr>
              <w:t>Promedio temporal ponderado (MAE pp)</w:t>
            </w:r>
          </w:p>
        </w:tc>
        <w:tc>
          <w:tcPr>
            <w:tcW w:type="dxa" w:w="2493"/>
            <w:vAlign w:val="center"/>
          </w:tcPr>
          <w:p>
            <w:r>
              <w:rPr>
                <w:b/>
                <w:sz w:val="16"/>
              </w:rPr>
              <w:t>Menor error</w:t>
            </w:r>
          </w:p>
        </w:tc>
      </w:tr>
      <w:tr>
        <w:tc>
          <w:tcPr>
            <w:tcW w:type="dxa" w:w="2493"/>
            <w:vAlign w:val="center"/>
          </w:tcPr>
          <w:p>
            <w:r>
              <w:rPr>
                <w:sz w:val="16"/>
              </w:rPr>
              <w:t>1</w:t>
            </w:r>
          </w:p>
        </w:tc>
        <w:tc>
          <w:tcPr>
            <w:tcW w:type="dxa" w:w="2493"/>
            <w:vAlign w:val="center"/>
          </w:tcPr>
          <w:p>
            <w:r>
              <w:rPr>
                <w:sz w:val="16"/>
              </w:rPr>
              <w:t>10.34</w:t>
            </w:r>
          </w:p>
        </w:tc>
        <w:tc>
          <w:tcPr>
            <w:tcW w:type="dxa" w:w="2493"/>
            <w:vAlign w:val="center"/>
          </w:tcPr>
          <w:p>
            <w:r>
              <w:rPr>
                <w:sz w:val="16"/>
              </w:rPr>
              <w:t>11.73</w:t>
            </w:r>
          </w:p>
        </w:tc>
        <w:tc>
          <w:tcPr>
            <w:tcW w:type="dxa" w:w="2493"/>
            <w:vAlign w:val="center"/>
          </w:tcPr>
          <w:p>
            <w:r>
              <w:rPr>
                <w:sz w:val="16"/>
              </w:rPr>
              <w:t>Histórica</w:t>
            </w:r>
          </w:p>
        </w:tc>
      </w:tr>
      <w:tr>
        <w:tc>
          <w:tcPr>
            <w:tcW w:type="dxa" w:w="2493"/>
            <w:vAlign w:val="center"/>
          </w:tcPr>
          <w:p>
            <w:r>
              <w:rPr>
                <w:sz w:val="16"/>
              </w:rPr>
              <w:t>2</w:t>
            </w:r>
          </w:p>
        </w:tc>
        <w:tc>
          <w:tcPr>
            <w:tcW w:type="dxa" w:w="2493"/>
            <w:vAlign w:val="center"/>
          </w:tcPr>
          <w:p>
            <w:r>
              <w:rPr>
                <w:sz w:val="16"/>
              </w:rPr>
              <w:t>7.14</w:t>
            </w:r>
          </w:p>
        </w:tc>
        <w:tc>
          <w:tcPr>
            <w:tcW w:type="dxa" w:w="2493"/>
            <w:vAlign w:val="center"/>
          </w:tcPr>
          <w:p>
            <w:r>
              <w:rPr>
                <w:sz w:val="16"/>
              </w:rPr>
              <w:t>6.93</w:t>
            </w:r>
          </w:p>
        </w:tc>
        <w:tc>
          <w:tcPr>
            <w:tcW w:type="dxa" w:w="2493"/>
            <w:vAlign w:val="center"/>
          </w:tcPr>
          <w:p>
            <w:r>
              <w:rPr>
                <w:sz w:val="16"/>
              </w:rPr>
              <w:t>Temporal ponderada</w:t>
            </w:r>
          </w:p>
        </w:tc>
      </w:tr>
      <w:tr>
        <w:tc>
          <w:tcPr>
            <w:tcW w:type="dxa" w:w="2493"/>
            <w:vAlign w:val="center"/>
          </w:tcPr>
          <w:p>
            <w:r>
              <w:rPr>
                <w:sz w:val="16"/>
              </w:rPr>
              <w:t>3</w:t>
            </w:r>
          </w:p>
        </w:tc>
        <w:tc>
          <w:tcPr>
            <w:tcW w:type="dxa" w:w="2493"/>
            <w:vAlign w:val="center"/>
          </w:tcPr>
          <w:p>
            <w:r>
              <w:rPr>
                <w:sz w:val="16"/>
              </w:rPr>
              <w:t>10.77</w:t>
            </w:r>
          </w:p>
        </w:tc>
        <w:tc>
          <w:tcPr>
            <w:tcW w:type="dxa" w:w="2493"/>
            <w:vAlign w:val="center"/>
          </w:tcPr>
          <w:p>
            <w:r>
              <w:rPr>
                <w:sz w:val="16"/>
              </w:rPr>
              <w:t>10.37</w:t>
            </w:r>
          </w:p>
        </w:tc>
        <w:tc>
          <w:tcPr>
            <w:tcW w:type="dxa" w:w="2493"/>
            <w:vAlign w:val="center"/>
          </w:tcPr>
          <w:p>
            <w:r>
              <w:rPr>
                <w:sz w:val="16"/>
              </w:rPr>
              <w:t>Temporal ponderada</w:t>
            </w:r>
          </w:p>
        </w:tc>
      </w:tr>
      <w:tr>
        <w:tc>
          <w:tcPr>
            <w:tcW w:type="dxa" w:w="2493"/>
            <w:vAlign w:val="center"/>
          </w:tcPr>
          <w:p>
            <w:r>
              <w:rPr>
                <w:sz w:val="16"/>
              </w:rPr>
              <w:t>4</w:t>
            </w:r>
          </w:p>
        </w:tc>
        <w:tc>
          <w:tcPr>
            <w:tcW w:type="dxa" w:w="2493"/>
            <w:vAlign w:val="center"/>
          </w:tcPr>
          <w:p>
            <w:r>
              <w:rPr>
                <w:sz w:val="16"/>
              </w:rPr>
              <w:t>11.80</w:t>
            </w:r>
          </w:p>
        </w:tc>
        <w:tc>
          <w:tcPr>
            <w:tcW w:type="dxa" w:w="2493"/>
            <w:vAlign w:val="center"/>
          </w:tcPr>
          <w:p>
            <w:r>
              <w:rPr>
                <w:sz w:val="16"/>
              </w:rPr>
              <w:t>12.23</w:t>
            </w:r>
          </w:p>
        </w:tc>
        <w:tc>
          <w:tcPr>
            <w:tcW w:type="dxa" w:w="2493"/>
            <w:vAlign w:val="center"/>
          </w:tcPr>
          <w:p>
            <w:r>
              <w:rPr>
                <w:sz w:val="16"/>
              </w:rPr>
              <w:t>Histórica</w:t>
            </w:r>
          </w:p>
        </w:tc>
      </w:tr>
    </w:tbl>
    <w:p>
      <w:pPr>
        <w:jc w:val="center"/>
      </w:pPr>
      <w:r>
        <w:drawing>
          <wp:inline xmlns:a="http://schemas.openxmlformats.org/drawingml/2006/main" xmlns:pic="http://schemas.openxmlformats.org/drawingml/2006/picture">
            <wp:extent cx="5669280" cy="3322824"/>
            <wp:docPr id="1678057672" name="Picture 1678057672"/>
            <wp:cNvGraphicFramePr>
              <a:graphicFrameLocks noChangeAspect="1"/>
            </wp:cNvGraphicFramePr>
            <a:graphic>
              <a:graphicData uri="http://schemas.openxmlformats.org/drawingml/2006/picture">
                <pic:pic>
                  <pic:nvPicPr>
                    <pic:cNvPr id="0" name="F18.png"/>
                    <pic:cNvPicPr/>
                  </pic:nvPicPr>
                  <pic:blipFill>
                    <a:blip r:embed="rId43"/>
                    <a:stretch>
                      <a:fillRect/>
                    </a:stretch>
                  </pic:blipFill>
                  <pic:spPr>
                    <a:xfrm>
                      <a:off x="0" y="0"/>
                      <a:ext cx="5669280" cy="3322824"/>
                    </a:xfrm>
                    <a:prstGeom prst="rect"/>
                  </pic:spPr>
                </pic:pic>
              </a:graphicData>
            </a:graphic>
          </wp:inline>
        </w:drawing>
      </w:r>
    </w:p>
    <w:p>
      <w:pPr>
        <w:pStyle w:val="Descripcin"/>
      </w:pPr>
      <w:r>
        <w:t>Figura 47. Error absoluto medio de participación por insumo, comparación de métodos y horizonte. Fuente: salida del pipeline, corrida run_20260924T195600Z_86a6f5.</w:t>
      </w:r>
    </w:p>
    <w:p>
      <w:pPr/>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pPr>
        <w:jc w:val="center"/>
      </w:pPr>
      <w:r>
        <w:drawing>
          <wp:inline xmlns:a="http://schemas.openxmlformats.org/drawingml/2006/main" xmlns:pic="http://schemas.openxmlformats.org/drawingml/2006/picture">
            <wp:extent cx="5669280" cy="3627577"/>
            <wp:docPr id="1678057673" name="Picture 1678057673"/>
            <wp:cNvGraphicFramePr>
              <a:graphicFrameLocks noChangeAspect="1"/>
            </wp:cNvGraphicFramePr>
            <a:graphic>
              <a:graphicData uri="http://schemas.openxmlformats.org/drawingml/2006/picture">
                <pic:pic>
                  <pic:nvPicPr>
                    <pic:cNvPr id="0" name="F15.png"/>
                    <pic:cNvPicPr/>
                  </pic:nvPicPr>
                  <pic:blipFill>
                    <a:blip r:embed="rId44"/>
                    <a:stretch>
                      <a:fillRect/>
                    </a:stretch>
                  </pic:blipFill>
                  <pic:spPr>
                    <a:xfrm>
                      <a:off x="0" y="0"/>
                      <a:ext cx="5669280" cy="3627577"/>
                    </a:xfrm>
                    <a:prstGeom prst="rect"/>
                  </pic:spPr>
                </pic:pic>
              </a:graphicData>
            </a:graphic>
          </wp:inline>
        </w:drawing>
      </w:r>
    </w:p>
    <w:p>
      <w:pPr>
        <w:pStyle w:val="Descripcin"/>
      </w:pPr>
      <w:r>
        <w:t>Figura 48. Composición observada y estimada en la evaluación temporal. Fuente: salida del pipeline, corrida run_20260924T195600Z_86a6f5.</w:t>
      </w:r>
    </w:p>
    <w:p>
      <w:pPr>
        <w:pStyle w:val="Ttulo2"/>
      </w:pPr>
      <w:r>
        <w:t>Contraste de hipótesis</w:t>
      </w:r>
    </w:p>
    <w:p>
      <w:pPr/>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pPr/>
      <w:r>
        <w:t>La Figura 49 muestra las diferencias de pérdidas para el contraste principal. La escasez de pares y la ausencia de intervalos válidos obligan a interpretar sus puntos como descriptivos, no como inferencia estadística concluyente.</w:t>
      </w:r>
    </w:p>
    <w:p>
      <w:pPr>
        <w:jc w:val="center"/>
      </w:pPr>
      <w:r>
        <w:drawing>
          <wp:inline xmlns:a="http://schemas.openxmlformats.org/drawingml/2006/main" xmlns:pic="http://schemas.openxmlformats.org/drawingml/2006/picture">
            <wp:extent cx="5669280" cy="3440088"/>
            <wp:docPr id="1678057674" name="Picture 1678057674"/>
            <wp:cNvGraphicFramePr>
              <a:graphicFrameLocks noChangeAspect="1"/>
            </wp:cNvGraphicFramePr>
            <a:graphic>
              <a:graphicData uri="http://schemas.openxmlformats.org/drawingml/2006/picture">
                <pic:pic>
                  <pic:nvPicPr>
                    <pic:cNvPr id="0" name="F19.png"/>
                    <pic:cNvPicPr/>
                  </pic:nvPicPr>
                  <pic:blipFill>
                    <a:blip r:embed="rId45"/>
                    <a:stretch>
                      <a:fillRect/>
                    </a:stretch>
                  </pic:blipFill>
                  <pic:spPr>
                    <a:xfrm>
                      <a:off x="0" y="0"/>
                      <a:ext cx="5669280" cy="3440088"/>
                    </a:xfrm>
                    <a:prstGeom prst="rect"/>
                  </pic:spPr>
                </pic:pic>
              </a:graphicData>
            </a:graphic>
          </wp:inline>
        </w:drawing>
      </w:r>
    </w:p>
    <w:p>
      <w:pPr>
        <w:pStyle w:val="Descripcin"/>
      </w:pPr>
      <w:r>
        <w:t>Figura 49. Diferencias de pérdidas pareadas para H1 en el horizonte principal. Fuente: salida del pipeline, corrida run_20260924T195600Z_86a6f5.</w:t>
      </w:r>
    </w:p>
    <w:p>
      <w:pPr>
        <w:pStyle w:val="Ttulo2"/>
      </w:pPr>
      <w:r>
        <w:t>Alcance de los resultados</w:t>
      </w:r>
    </w:p>
    <w:p>
      <w:pPr/>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generalizar el ranking o afirmar utilidad predictiva confirmatoria. La salida actual tampoco incorpora intervalos predictivos futuros.</w:t>
      </w:r>
    </w:p>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r>
        <w:t>Interpretación de los hallazgos y contraste con antecedentes</w:t>
      </w:r>
    </w:p>
    <w:p w14:paraId="2904F3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pPr/>
      <w:r>
        <w:t>Este patrón es compatible con la evidencia amplia de M4: las combinaciones pueden lograr resultados competitivos, pero ese resultado agregado no garantiza que una combinación determinada mejore en cada serie o contexto (Makridakis et al., 2018a,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pPr/>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pPr/>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pPr/>
      <w:r>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pPr/>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3E02E970"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a los importes semanales observados aconseja utilizar la salida como referencia revisable, no como presupuesto autorizado automáticamente.</w:t>
      </w:r>
    </w:p>
    <w:p>
      <w:pPr/>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pPr/>
      <w:r>
        <w: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importes registrados utilizables y a las categorías incluidas.</w:t>
      </w:r>
    </w:p>
    <w:p>
      <w:pPr/>
      <w:r>
        <w:t>El diseño temporal reduce el riesgo de usar información futura para ajustar los modelos, pero la selección interna con cinco orígenes y la evaluación externa con pocos casos dejan incertidumbre sobre la estabilidad de las diferencias. El bootstrap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pPr/>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17FB310A"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A94FE2A" w14:textId="77777777" w:rsidR="00801477" w:rsidRDefault="00542948" w:rsidP="008F0910">
      <w:pPr>
        <w:spacing w:after="120"/>
      </w:pPr>
      <w:r>
        <w:t xml:space="preserve">La conclusión en esta etapa se limita a la disponibilidad de una implementación inicial verificable. Determinar su precisión y su pertinencia para </w:t>
      </w:r>
      <w:proofErr w:type="spellStart"/>
      <w:r>
        <w:t>Cup&amp;Cake</w:t>
      </w:r>
      <w:proofErr w:type="spellEnd"/>
      <w:r>
        <w:t xml:space="preserve"> exige completar la auditoría de datos y la evaluación prevista, sin condicionar el cierre del estudio a obtener una hipótesis favorable.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r>
        <w:t>Makridakis, S., Spiliotis, E., &amp; Assimakopoulos, V. (2018b).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r>
        <w:t>Makridakis, S., Spiliotis, E., &amp; Assimakopoulos, V. (2018a). The M4 competition: Results, findings, conclusion and way forward. International Journal of Forecasting, 34(4), 802–808. https://doi.org/10.1016/j.ijforecast.2018.06.001</w:t>
      </w:r>
    </w:p>
    <w:p>
      <w:pPr/>
      <w:r>
        <w:t>Makridakis, S., Spiliotis, E., &amp; Assimakopoulos, V. (2020). The M4 competition: 100,000 time series and 61 forecasting methods. International Journal of Forecasting, 36(1), 54–74. https://doi.org/10.1016/j.ijforecast.2019.04.014</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