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pPr>
        <w:pStyle w:val="Ttulo2"/>
      </w:pPr>
      <w:r>
        <w:t>Calidad, cobertura e integración de datos</w:t>
      </w:r>
    </w:p>
    <w:p>
      <w:pPr/>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pPr>
        <w:pStyle w:val="Ttulo2"/>
      </w:pPr>
      <w:r>
        <w:t>Diseño efectivo de evaluación</w:t>
      </w:r>
    </w:p>
    <w:p>
      <w:pPr/>
      <w:r>
        <w:t>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benchmarks estacionales de 52 semanas sí tuvieron menos casos utilizables (2, 4, 4 y 2, respectivamente), por falta del rezago anual observado; se reportan aparte y no se comparan como si tuvieran la misma disponibilidad.</w:t>
      </w:r>
    </w:p>
    <w:p>
      <w:pPr/>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pPr>
        <w:pStyle w:val="Ttulo2"/>
      </w:pPr>
      <w:r>
        <w:t>Rendimiento comparativo del importe semanal</w:t>
      </w:r>
    </w:p>
    <w:p>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b/>
                <w:sz w:val="16"/>
              </w:rPr>
              <w:t>Horizonte</w:t>
            </w:r>
          </w:p>
        </w:tc>
        <w:tc>
          <w:tcPr>
            <w:tcW w:type="dxa" w:w="1994"/>
            <w:vAlign w:val="center"/>
          </w:tcPr>
          <w:p>
            <w:r>
              <w:rPr>
                <w:b/>
                <w:sz w:val="16"/>
              </w:rPr>
              <w:t>Híbrido RMSE (MXN)</w:t>
            </w:r>
          </w:p>
        </w:tc>
        <w:tc>
          <w:tcPr>
            <w:tcW w:type="dxa" w:w="1994"/>
            <w:vAlign w:val="center"/>
          </w:tcPr>
          <w:p>
            <w:r>
              <w:rPr>
                <w:b/>
                <w:sz w:val="16"/>
              </w:rPr>
              <w:t>Híbrido MAE (MXN)</w:t>
            </w:r>
          </w:p>
        </w:tc>
        <w:tc>
          <w:tcPr>
            <w:tcW w:type="dxa" w:w="1994"/>
            <w:vAlign w:val="center"/>
          </w:tcPr>
          <w:p>
            <w:r>
              <w:rPr>
                <w:b/>
                <w:sz w:val="16"/>
              </w:rPr>
              <w:t>Menor RMSE comparador principal</w:t>
            </w:r>
          </w:p>
        </w:tc>
        <w:tc>
          <w:tcPr>
            <w:tcW w:type="dxa" w:w="1994"/>
            <w:vAlign w:val="center"/>
          </w:tcPr>
          <w:p>
            <w:r>
              <w:rPr>
                <w:b/>
                <w:sz w:val="16"/>
              </w:rPr>
              <w:t>RMSE (MXN)</w:t>
            </w:r>
          </w:p>
        </w:tc>
      </w:tr>
      <w:tr>
        <w:tc>
          <w:tcPr>
            <w:tcW w:type="dxa" w:w="1994"/>
            <w:vAlign w:val="center"/>
          </w:tcPr>
          <w:p>
            <w:r>
              <w:rPr>
                <w:sz w:val="16"/>
              </w:rPr>
              <w:t>1 semana</w:t>
            </w:r>
          </w:p>
        </w:tc>
        <w:tc>
          <w:tcPr>
            <w:tcW w:type="dxa" w:w="1994"/>
            <w:vAlign w:val="center"/>
          </w:tcPr>
          <w:p>
            <w:r>
              <w:rPr>
                <w:sz w:val="16"/>
              </w:rPr>
              <w:t>521.60</w:t>
            </w:r>
          </w:p>
        </w:tc>
        <w:tc>
          <w:tcPr>
            <w:tcW w:type="dxa" w:w="1994"/>
            <w:vAlign w:val="center"/>
          </w:tcPr>
          <w:p>
            <w:r>
              <w:rPr>
                <w:sz w:val="16"/>
              </w:rPr>
              <w:t>386.43</w:t>
            </w:r>
          </w:p>
        </w:tc>
        <w:tc>
          <w:tcPr>
            <w:tcW w:type="dxa" w:w="1994"/>
            <w:vAlign w:val="center"/>
          </w:tcPr>
          <w:p>
            <w:r>
              <w:rPr>
                <w:sz w:val="16"/>
              </w:rPr>
              <w:t>Random Forest</w:t>
            </w:r>
          </w:p>
        </w:tc>
        <w:tc>
          <w:tcPr>
            <w:tcW w:type="dxa" w:w="1994"/>
            <w:vAlign w:val="center"/>
          </w:tcPr>
          <w:p>
            <w:r>
              <w:rPr>
                <w:sz w:val="16"/>
              </w:rPr>
              <w:t>446.21</w:t>
            </w:r>
          </w:p>
        </w:tc>
      </w:tr>
      <w:tr>
        <w:tc>
          <w:tcPr>
            <w:tcW w:type="dxa" w:w="1994"/>
            <w:vAlign w:val="center"/>
          </w:tcPr>
          <w:p>
            <w:r>
              <w:rPr>
                <w:sz w:val="16"/>
              </w:rPr>
              <w:t>2 semanas</w:t>
            </w:r>
          </w:p>
        </w:tc>
        <w:tc>
          <w:tcPr>
            <w:tcW w:type="dxa" w:w="1994"/>
            <w:vAlign w:val="center"/>
          </w:tcPr>
          <w:p>
            <w:r>
              <w:rPr>
                <w:sz w:val="16"/>
              </w:rPr>
              <w:t>695.41</w:t>
            </w:r>
          </w:p>
        </w:tc>
        <w:tc>
          <w:tcPr>
            <w:tcW w:type="dxa" w:w="1994"/>
            <w:vAlign w:val="center"/>
          </w:tcPr>
          <w:p>
            <w:r>
              <w:rPr>
                <w:sz w:val="16"/>
              </w:rPr>
              <w:t>439.26</w:t>
            </w:r>
          </w:p>
        </w:tc>
        <w:tc>
          <w:tcPr>
            <w:tcW w:type="dxa" w:w="1994"/>
            <w:vAlign w:val="center"/>
          </w:tcPr>
          <w:p>
            <w:r>
              <w:rPr>
                <w:sz w:val="16"/>
              </w:rPr>
              <w:t>HistGradientBoosting</w:t>
            </w:r>
          </w:p>
        </w:tc>
        <w:tc>
          <w:tcPr>
            <w:tcW w:type="dxa" w:w="1994"/>
            <w:vAlign w:val="center"/>
          </w:tcPr>
          <w:p>
            <w:r>
              <w:rPr>
                <w:sz w:val="16"/>
              </w:rPr>
              <w:t>596.17</w:t>
            </w:r>
          </w:p>
        </w:tc>
      </w:tr>
      <w:tr>
        <w:tc>
          <w:tcPr>
            <w:tcW w:type="dxa" w:w="1994"/>
            <w:vAlign w:val="center"/>
          </w:tcPr>
          <w:p>
            <w:r>
              <w:rPr>
                <w:sz w:val="16"/>
              </w:rPr>
              <w:t>3 semanas</w:t>
            </w:r>
          </w:p>
        </w:tc>
        <w:tc>
          <w:tcPr>
            <w:tcW w:type="dxa" w:w="1994"/>
            <w:vAlign w:val="center"/>
          </w:tcPr>
          <w:p>
            <w:r>
              <w:rPr>
                <w:sz w:val="16"/>
              </w:rPr>
              <w:t>801.62</w:t>
            </w:r>
          </w:p>
        </w:tc>
        <w:tc>
          <w:tcPr>
            <w:tcW w:type="dxa" w:w="1994"/>
            <w:vAlign w:val="center"/>
          </w:tcPr>
          <w:p>
            <w:r>
              <w:rPr>
                <w:sz w:val="16"/>
              </w:rPr>
              <w:t>458.80</w:t>
            </w:r>
          </w:p>
        </w:tc>
        <w:tc>
          <w:tcPr>
            <w:tcW w:type="dxa" w:w="1994"/>
            <w:vAlign w:val="center"/>
          </w:tcPr>
          <w:p>
            <w:r>
              <w:rPr>
                <w:sz w:val="16"/>
              </w:rPr>
              <w:t>Híbrido</w:t>
            </w:r>
          </w:p>
        </w:tc>
        <w:tc>
          <w:tcPr>
            <w:tcW w:type="dxa" w:w="1994"/>
            <w:vAlign w:val="center"/>
          </w:tcPr>
          <w:p>
            <w:r>
              <w:rPr>
                <w:sz w:val="16"/>
              </w:rPr>
              <w:t>801.62</w:t>
            </w:r>
          </w:p>
        </w:tc>
      </w:tr>
      <w:tr>
        <w:tc>
          <w:tcPr>
            <w:tcW w:type="dxa" w:w="1994"/>
            <w:vAlign w:val="center"/>
          </w:tcPr>
          <w:p>
            <w:r>
              <w:rPr>
                <w:sz w:val="16"/>
              </w:rPr>
              <w:t>4 semanas</w:t>
            </w:r>
          </w:p>
        </w:tc>
        <w:tc>
          <w:tcPr>
            <w:tcW w:type="dxa" w:w="1994"/>
            <w:vAlign w:val="center"/>
          </w:tcPr>
          <w:p>
            <w:r>
              <w:rPr>
                <w:sz w:val="16"/>
              </w:rPr>
              <w:t>700.88</w:t>
            </w:r>
          </w:p>
        </w:tc>
        <w:tc>
          <w:tcPr>
            <w:tcW w:type="dxa" w:w="1994"/>
            <w:vAlign w:val="center"/>
          </w:tcPr>
          <w:p>
            <w:r>
              <w:rPr>
                <w:sz w:val="16"/>
              </w:rPr>
              <w:t>572.54</w:t>
            </w:r>
          </w:p>
        </w:tc>
        <w:tc>
          <w:tcPr>
            <w:tcW w:type="dxa" w:w="1994"/>
            <w:vAlign w:val="center"/>
          </w:tcPr>
          <w:p>
            <w:r>
              <w:rPr>
                <w:sz w:val="16"/>
              </w:rPr>
              <w:t>RF residual + ARIMA estacional</w:t>
            </w:r>
          </w:p>
        </w:tc>
        <w:tc>
          <w:tcPr>
            <w:tcW w:type="dxa" w:w="1994"/>
            <w:vAlign w:val="center"/>
          </w:tcPr>
          <w:p>
            <w:r>
              <w:rPr>
                <w:sz w:val="16"/>
              </w:rPr>
              <w:t>578.95</w:t>
            </w:r>
          </w:p>
        </w:tc>
      </w:tr>
    </w:tbl>
    <w:p>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pPr>
        <w:jc w:val="center"/>
      </w:pPr>
      <w:r>
        <w:drawing>
          <wp:inline xmlns:a="http://schemas.openxmlformats.org/drawingml/2006/main" xmlns:pic="http://schemas.openxmlformats.org/drawingml/2006/picture">
            <wp:extent cx="5669280" cy="2405631"/>
            <wp:docPr id="1678057671" name="Picture 1678057671"/>
            <wp:cNvGraphicFramePr>
              <a:graphicFrameLocks noChangeAspect="1"/>
            </wp:cNvGraphicFramePr>
            <a:graphic>
              <a:graphicData uri="http://schemas.openxmlformats.org/drawingml/2006/picture">
                <pic:pic>
                  <pic:nvPicPr>
                    <pic:cNvPr id="0" name="F17.png"/>
                    <pic:cNvPicPr/>
                  </pic:nvPicPr>
                  <pic:blipFill>
                    <a:blip r:embed="rId42"/>
                    <a:stretch>
                      <a:fillRect/>
                    </a:stretch>
                  </pic:blipFill>
                  <pic:spPr>
                    <a:xfrm>
                      <a:off x="0" y="0"/>
                      <a:ext cx="5669280" cy="2405631"/>
                    </a:xfrm>
                    <a:prstGeom prst="rect"/>
                  </pic:spPr>
                </pic:pic>
              </a:graphicData>
            </a:graphic>
          </wp:inline>
        </w:drawing>
      </w:r>
    </w:p>
    <w:p>
      <w:pPr>
        <w:pStyle w:val="Descripcin"/>
      </w:pPr>
      <w:r>
        <w:t>Figura 46. Errores monetarios por modelo y horizonte en la evaluación temporal. Fuente: salida del pipeline, corrida run_20260924T195600Z_86a6f5.</w:t>
      </w:r>
    </w:p>
    <w:p>
      <w:pPr>
        <w:pStyle w:val="Ttulo2"/>
      </w:pPr>
      <w:r>
        <w:t>Distribución porcentual por insumo</w:t>
      </w:r>
    </w:p>
    <w:p>
      <w:pPr/>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pPr/>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sz w:val="16"/>
              </w:rPr>
              <w:t>Horizonte</w:t>
            </w:r>
          </w:p>
        </w:tc>
        <w:tc>
          <w:tcPr>
            <w:tcW w:type="dxa" w:w="2493"/>
            <w:vAlign w:val="center"/>
          </w:tcPr>
          <w:p>
            <w:r>
              <w:rPr>
                <w:b/>
                <w:sz w:val="16"/>
              </w:rPr>
              <w:t>Participación histórica (MAE pp)</w:t>
            </w:r>
          </w:p>
        </w:tc>
        <w:tc>
          <w:tcPr>
            <w:tcW w:type="dxa" w:w="2493"/>
            <w:vAlign w:val="center"/>
          </w:tcPr>
          <w:p>
            <w:r>
              <w:rPr>
                <w:b/>
                <w:sz w:val="16"/>
              </w:rPr>
              <w:t>Promedio temporal ponderado (MAE pp)</w:t>
            </w:r>
          </w:p>
        </w:tc>
        <w:tc>
          <w:tcPr>
            <w:tcW w:type="dxa" w:w="2493"/>
            <w:vAlign w:val="center"/>
          </w:tcPr>
          <w:p>
            <w:r>
              <w:rPr>
                <w:b/>
                <w:sz w:val="16"/>
              </w:rPr>
              <w:t>Menor error</w:t>
            </w:r>
          </w:p>
        </w:tc>
      </w:tr>
      <w:tr>
        <w:tc>
          <w:tcPr>
            <w:tcW w:type="dxa" w:w="2493"/>
            <w:vAlign w:val="center"/>
          </w:tcPr>
          <w:p>
            <w:r>
              <w:rPr>
                <w:sz w:val="16"/>
              </w:rPr>
              <w:t>1</w:t>
            </w:r>
          </w:p>
        </w:tc>
        <w:tc>
          <w:tcPr>
            <w:tcW w:type="dxa" w:w="2493"/>
            <w:vAlign w:val="center"/>
          </w:tcPr>
          <w:p>
            <w:r>
              <w:rPr>
                <w:sz w:val="16"/>
              </w:rPr>
              <w:t>10.34</w:t>
            </w:r>
          </w:p>
        </w:tc>
        <w:tc>
          <w:tcPr>
            <w:tcW w:type="dxa" w:w="2493"/>
            <w:vAlign w:val="center"/>
          </w:tcPr>
          <w:p>
            <w:r>
              <w:rPr>
                <w:sz w:val="16"/>
              </w:rPr>
              <w:t>11.73</w:t>
            </w:r>
          </w:p>
        </w:tc>
        <w:tc>
          <w:tcPr>
            <w:tcW w:type="dxa" w:w="2493"/>
            <w:vAlign w:val="center"/>
          </w:tcPr>
          <w:p>
            <w:r>
              <w:rPr>
                <w:sz w:val="16"/>
              </w:rPr>
              <w:t>Histórica</w:t>
            </w:r>
          </w:p>
        </w:tc>
      </w:tr>
      <w:tr>
        <w:tc>
          <w:tcPr>
            <w:tcW w:type="dxa" w:w="2493"/>
            <w:vAlign w:val="center"/>
          </w:tcPr>
          <w:p>
            <w:r>
              <w:rPr>
                <w:sz w:val="16"/>
              </w:rPr>
              <w:t>2</w:t>
            </w:r>
          </w:p>
        </w:tc>
        <w:tc>
          <w:tcPr>
            <w:tcW w:type="dxa" w:w="2493"/>
            <w:vAlign w:val="center"/>
          </w:tcPr>
          <w:p>
            <w:r>
              <w:rPr>
                <w:sz w:val="16"/>
              </w:rPr>
              <w:t>7.14</w:t>
            </w:r>
          </w:p>
        </w:tc>
        <w:tc>
          <w:tcPr>
            <w:tcW w:type="dxa" w:w="2493"/>
            <w:vAlign w:val="center"/>
          </w:tcPr>
          <w:p>
            <w:r>
              <w:rPr>
                <w:sz w:val="16"/>
              </w:rPr>
              <w:t>6.93</w:t>
            </w:r>
          </w:p>
        </w:tc>
        <w:tc>
          <w:tcPr>
            <w:tcW w:type="dxa" w:w="2493"/>
            <w:vAlign w:val="center"/>
          </w:tcPr>
          <w:p>
            <w:r>
              <w:rPr>
                <w:sz w:val="16"/>
              </w:rPr>
              <w:t>Temporal ponderada</w:t>
            </w:r>
          </w:p>
        </w:tc>
      </w:tr>
      <w:tr>
        <w:tc>
          <w:tcPr>
            <w:tcW w:type="dxa" w:w="2493"/>
            <w:vAlign w:val="center"/>
          </w:tcPr>
          <w:p>
            <w:r>
              <w:rPr>
                <w:sz w:val="16"/>
              </w:rPr>
              <w:t>3</w:t>
            </w:r>
          </w:p>
        </w:tc>
        <w:tc>
          <w:tcPr>
            <w:tcW w:type="dxa" w:w="2493"/>
            <w:vAlign w:val="center"/>
          </w:tcPr>
          <w:p>
            <w:r>
              <w:rPr>
                <w:sz w:val="16"/>
              </w:rPr>
              <w:t>10.77</w:t>
            </w:r>
          </w:p>
        </w:tc>
        <w:tc>
          <w:tcPr>
            <w:tcW w:type="dxa" w:w="2493"/>
            <w:vAlign w:val="center"/>
          </w:tcPr>
          <w:p>
            <w:r>
              <w:rPr>
                <w:sz w:val="16"/>
              </w:rPr>
              <w:t>10.37</w:t>
            </w:r>
          </w:p>
        </w:tc>
        <w:tc>
          <w:tcPr>
            <w:tcW w:type="dxa" w:w="2493"/>
            <w:vAlign w:val="center"/>
          </w:tcPr>
          <w:p>
            <w:r>
              <w:rPr>
                <w:sz w:val="16"/>
              </w:rPr>
              <w:t>Temporal ponderada</w:t>
            </w:r>
          </w:p>
        </w:tc>
      </w:tr>
      <w:tr>
        <w:tc>
          <w:tcPr>
            <w:tcW w:type="dxa" w:w="2493"/>
            <w:vAlign w:val="center"/>
          </w:tcPr>
          <w:p>
            <w:r>
              <w:rPr>
                <w:sz w:val="16"/>
              </w:rPr>
              <w:t>4</w:t>
            </w:r>
          </w:p>
        </w:tc>
        <w:tc>
          <w:tcPr>
            <w:tcW w:type="dxa" w:w="2493"/>
            <w:vAlign w:val="center"/>
          </w:tcPr>
          <w:p>
            <w:r>
              <w:rPr>
                <w:sz w:val="16"/>
              </w:rPr>
              <w:t>11.80</w:t>
            </w:r>
          </w:p>
        </w:tc>
        <w:tc>
          <w:tcPr>
            <w:tcW w:type="dxa" w:w="2493"/>
            <w:vAlign w:val="center"/>
          </w:tcPr>
          <w:p>
            <w:r>
              <w:rPr>
                <w:sz w:val="16"/>
              </w:rPr>
              <w:t>12.23</w:t>
            </w:r>
          </w:p>
        </w:tc>
        <w:tc>
          <w:tcPr>
            <w:tcW w:type="dxa" w:w="2493"/>
            <w:vAlign w:val="center"/>
          </w:tcPr>
          <w:p>
            <w:r>
              <w:rPr>
                <w:sz w:val="16"/>
              </w:rPr>
              <w:t>Histórica</w:t>
            </w:r>
          </w:p>
        </w:tc>
      </w:tr>
    </w:tbl>
    <w:p>
      <w:pPr>
        <w:jc w:val="center"/>
      </w:pPr>
      <w:r>
        <w:drawing>
          <wp:inline xmlns:a="http://schemas.openxmlformats.org/drawingml/2006/main" xmlns:pic="http://schemas.openxmlformats.org/drawingml/2006/picture">
            <wp:extent cx="5669280" cy="3322824"/>
            <wp:docPr id="1678057672" name="Picture 1678057672"/>
            <wp:cNvGraphicFramePr>
              <a:graphicFrameLocks noChangeAspect="1"/>
            </wp:cNvGraphicFramePr>
            <a:graphic>
              <a:graphicData uri="http://schemas.openxmlformats.org/drawingml/2006/picture">
                <pic:pic>
                  <pic:nvPicPr>
                    <pic:cNvPr id="0" name="F18.png"/>
                    <pic:cNvPicPr/>
                  </pic:nvPicPr>
                  <pic:blipFill>
                    <a:blip r:embed="rId43"/>
                    <a:stretch>
                      <a:fillRect/>
                    </a:stretch>
                  </pic:blipFill>
                  <pic:spPr>
                    <a:xfrm>
                      <a:off x="0" y="0"/>
                      <a:ext cx="5669280" cy="3322824"/>
                    </a:xfrm>
                    <a:prstGeom prst="rect"/>
                  </pic:spPr>
                </pic:pic>
              </a:graphicData>
            </a:graphic>
          </wp:inline>
        </w:drawing>
      </w:r>
    </w:p>
    <w:p>
      <w:pPr>
        <w:pStyle w:val="Descripcin"/>
      </w:pPr>
      <w:r>
        <w:t>Figura 47. Error absoluto medio de participación por insumo, comparación de métodos y horizonte. Fuente: salida del pipeline, corrida run_20260924T195600Z_86a6f5.</w:t>
      </w:r>
    </w:p>
    <w:p>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jc w:val="center"/>
      </w:pPr>
      <w:r>
        <w:drawing>
          <wp:inline xmlns:a="http://schemas.openxmlformats.org/drawingml/2006/main" xmlns:pic="http://schemas.openxmlformats.org/drawingml/2006/picture">
            <wp:extent cx="5669280" cy="3627577"/>
            <wp:docPr id="1678057673" name="Picture 1678057673"/>
            <wp:cNvGraphicFramePr>
              <a:graphicFrameLocks noChangeAspect="1"/>
            </wp:cNvGraphicFramePr>
            <a:graphic>
              <a:graphicData uri="http://schemas.openxmlformats.org/drawingml/2006/picture">
                <pic:pic>
                  <pic:nvPicPr>
                    <pic:cNvPr id="0" name="F15.png"/>
                    <pic:cNvPicPr/>
                  </pic:nvPicPr>
                  <pic:blipFill>
                    <a:blip r:embed="rId44"/>
                    <a:stretch>
                      <a:fillRect/>
                    </a:stretch>
                  </pic:blipFill>
                  <pic:spPr>
                    <a:xfrm>
                      <a:off x="0" y="0"/>
                      <a:ext cx="5669280" cy="3627577"/>
                    </a:xfrm>
                    <a:prstGeom prst="rect"/>
                  </pic:spPr>
                </pic:pic>
              </a:graphicData>
            </a:graphic>
          </wp:inline>
        </w:drawing>
      </w:r>
    </w:p>
    <w:p>
      <w:pPr>
        <w:pStyle w:val="Descripcin"/>
      </w:pPr>
      <w:r>
        <w:t>Figura 48. Composición observada y estimada en la evaluación temporal. Fuente: salida del pipeline, corrida run_20260924T195600Z_86a6f5.</w:t>
      </w:r>
    </w:p>
    <w:p>
      <w:pPr>
        <w:pStyle w:val="Ttulo2"/>
      </w:pPr>
      <w:r>
        <w:t>Contraste de hipótesis</w:t>
      </w:r>
    </w:p>
    <w:p>
      <w:pPr/>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pPr/>
      <w:r>
        <w:t>La Figura 49 muestra las diferencias de pérdidas para el contraste principal. La escasez de pares y la ausencia de intervalos válidos obligan a interpretar sus puntos como descriptivos, no como inferencia estadística concluyente.</w:t>
      </w:r>
    </w:p>
    <w:p>
      <w:pPr>
        <w:jc w:val="center"/>
      </w:pPr>
      <w:r>
        <w:drawing>
          <wp:inline xmlns:a="http://schemas.openxmlformats.org/drawingml/2006/main" xmlns:pic="http://schemas.openxmlformats.org/drawingml/2006/picture">
            <wp:extent cx="5669280" cy="3440088"/>
            <wp:docPr id="1678057674" name="Picture 1678057674"/>
            <wp:cNvGraphicFramePr>
              <a:graphicFrameLocks noChangeAspect="1"/>
            </wp:cNvGraphicFramePr>
            <a:graphic>
              <a:graphicData uri="http://schemas.openxmlformats.org/drawingml/2006/picture">
                <pic:pic>
                  <pic:nvPicPr>
                    <pic:cNvPr id="0" name="F19.png"/>
                    <pic:cNvPicPr/>
                  </pic:nvPicPr>
                  <pic:blipFill>
                    <a:blip r:embed="rId45"/>
                    <a:stretch>
                      <a:fillRect/>
                    </a:stretch>
                  </pic:blipFill>
                  <pic:spPr>
                    <a:xfrm>
                      <a:off x="0" y="0"/>
                      <a:ext cx="5669280" cy="3440088"/>
                    </a:xfrm>
                    <a:prstGeom prst="rect"/>
                  </pic:spPr>
                </pic:pic>
              </a:graphicData>
            </a:graphic>
          </wp:inline>
        </w:drawing>
      </w:r>
    </w:p>
    <w:p>
      <w:pPr>
        <w:pStyle w:val="Descripcin"/>
      </w:pPr>
      <w:r>
        <w:t>Figura 49. Diferencias de pérdidas pareadas para H1 en el horizonte principal. Fuente: salida del pipeline, corrida run_20260924T195600Z_86a6f5.</w:t>
      </w:r>
    </w:p>
    <w:p>
      <w:pPr>
        <w:pStyle w:val="Ttulo2"/>
      </w:pPr>
      <w:r>
        <w:t>Alcance de los resultados</w:t>
      </w:r>
    </w:p>
    <w:p>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r>
        <w:t>Interpretación de los hallazgos y contraste con antecedentes</w:t>
      </w:r>
    </w:p>
    <w:p w14:paraId="2904F3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pPr/>
      <w:r>
        <w:t>Este patrón es compatible con la evidencia amplia de M4: las combinaciones pueden lograr resultados competitivos, pero ese resultado agregado no garantiza que una combinación determinada mejore en cada serie o contexto (Makridakis et al., 2018a,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pPr/>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pPr/>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pPr/>
      <w:r>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pPr/>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E02E970"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pPr/>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pPr/>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pPr/>
      <w:r>
        <w:t>El diseño temporal reduce el riesgo de usar información futura para ajustar los modelos, pero la selección interna con cinco orígenes y la evaluación externa con pocos casos dejan incertidumbre sobre la estabilidad de las diferencias. El bootstrap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pPr/>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La corrida evaluada muestra que el pipeline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17FB310A"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1A94FE2A"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pPr/>
      <w:r>
        <w:t>En términos de aplicación, la salida constituye un insumo de consulta y no una orden de compra. El pronóstico de cuatro semanas incluido en los resultados se emitió desde un origen histórico de agosto de 2025, por lo que no representa un presupuesto vigente. Para su uso operativo se requiere actualizar la ingesta, verificar la cobertura y volver a emitir el pronóstico para la fecha de decisión correspondiente.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pPr/>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pPr/>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