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8DCDF"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36BE173A" w14:textId="77777777" w:rsidR="00CF0519" w:rsidRDefault="00CF0519">
      <w:pPr>
        <w:tabs>
          <w:tab w:val="left" w:pos="4520"/>
        </w:tabs>
        <w:spacing w:before="0" w:after="0"/>
        <w:jc w:val="center"/>
        <w:rPr>
          <w:b/>
          <w:bCs/>
        </w:rPr>
      </w:pPr>
    </w:p>
    <w:p w14:paraId="358DD919" w14:textId="77777777" w:rsidR="00CF0519" w:rsidRDefault="00CF0519">
      <w:pPr>
        <w:tabs>
          <w:tab w:val="left" w:pos="4520"/>
        </w:tabs>
        <w:spacing w:before="0" w:after="0"/>
        <w:jc w:val="center"/>
        <w:rPr>
          <w:b/>
          <w:bCs/>
        </w:rPr>
      </w:pPr>
    </w:p>
    <w:p w14:paraId="1DCE636F"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11C95A84" w14:textId="77777777" w:rsidR="00CF0519" w:rsidRDefault="00CF0519">
      <w:pPr>
        <w:spacing w:before="0" w:after="0"/>
        <w:jc w:val="center"/>
        <w:rPr>
          <w:b/>
          <w:bCs/>
        </w:rPr>
      </w:pPr>
    </w:p>
    <w:p w14:paraId="74A22E7A" w14:textId="77777777" w:rsidR="00CF0519" w:rsidRDefault="00691DC4">
      <w:pPr>
        <w:spacing w:before="0" w:after="0"/>
        <w:jc w:val="center"/>
        <w:rPr>
          <w:b/>
          <w:bCs/>
        </w:rPr>
      </w:pPr>
      <w:r>
        <w:rPr>
          <w:b/>
          <w:bCs/>
        </w:rPr>
        <w:t>TESIS PARA OBTENER EL GRADO DE MAESTRO EN</w:t>
      </w:r>
    </w:p>
    <w:p w14:paraId="0CDDE4D3" w14:textId="77777777" w:rsidR="00CF0519" w:rsidRDefault="00691DC4">
      <w:pPr>
        <w:spacing w:before="0" w:after="0"/>
        <w:jc w:val="center"/>
        <w:rPr>
          <w:b/>
          <w:bCs/>
        </w:rPr>
      </w:pPr>
      <w:r>
        <w:rPr>
          <w:b/>
          <w:bCs/>
        </w:rPr>
        <w:t>INTELIGENCIA ARTIFICIAL</w:t>
      </w:r>
    </w:p>
    <w:p w14:paraId="37A038B6" w14:textId="77777777" w:rsidR="00CF0519" w:rsidRDefault="00CF0519">
      <w:pPr>
        <w:spacing w:before="0" w:after="0"/>
        <w:jc w:val="center"/>
        <w:rPr>
          <w:b/>
          <w:bCs/>
        </w:rPr>
      </w:pPr>
    </w:p>
    <w:p w14:paraId="18AC7197" w14:textId="77777777" w:rsidR="00CF0519" w:rsidRDefault="00CF0519">
      <w:pPr>
        <w:spacing w:before="0" w:after="0"/>
        <w:jc w:val="center"/>
        <w:rPr>
          <w:b/>
          <w:bCs/>
        </w:rPr>
      </w:pPr>
    </w:p>
    <w:p w14:paraId="2A8E6EAC" w14:textId="77777777" w:rsidR="00CF0519" w:rsidRDefault="00691DC4">
      <w:pPr>
        <w:spacing w:before="0" w:after="0"/>
        <w:jc w:val="center"/>
        <w:rPr>
          <w:b/>
          <w:bCs/>
        </w:rPr>
      </w:pPr>
      <w:r>
        <w:rPr>
          <w:b/>
          <w:bCs/>
        </w:rPr>
        <w:t>PRESENTADA POR:</w:t>
      </w:r>
    </w:p>
    <w:p w14:paraId="35387488" w14:textId="77777777" w:rsidR="00CF0519" w:rsidRDefault="00CF0519">
      <w:pPr>
        <w:spacing w:before="0" w:after="0"/>
        <w:jc w:val="center"/>
        <w:rPr>
          <w:b/>
          <w:bCs/>
        </w:rPr>
      </w:pPr>
    </w:p>
    <w:p w14:paraId="51DB5A26" w14:textId="77777777" w:rsidR="00CF0519" w:rsidRDefault="00CF0519">
      <w:pPr>
        <w:spacing w:before="0" w:after="0"/>
        <w:jc w:val="center"/>
        <w:rPr>
          <w:b/>
          <w:bCs/>
        </w:rPr>
      </w:pPr>
    </w:p>
    <w:p w14:paraId="671E4E5A" w14:textId="77777777" w:rsidR="00CF0519" w:rsidRDefault="00691DC4">
      <w:pPr>
        <w:spacing w:before="0" w:after="0"/>
        <w:jc w:val="center"/>
        <w:rPr>
          <w:b/>
          <w:bCs/>
        </w:rPr>
      </w:pPr>
      <w:r>
        <w:rPr>
          <w:b/>
          <w:bCs/>
        </w:rPr>
        <w:t>RODRIGO ADRIÁN MARTÍNEZ FLORES</w:t>
      </w:r>
    </w:p>
    <w:p w14:paraId="10B0B7C7" w14:textId="77777777" w:rsidR="00CF0519" w:rsidRDefault="00CF0519">
      <w:pPr>
        <w:spacing w:before="0" w:after="0"/>
        <w:jc w:val="center"/>
        <w:rPr>
          <w:b/>
          <w:bCs/>
        </w:rPr>
      </w:pPr>
    </w:p>
    <w:p w14:paraId="6687020A" w14:textId="77777777" w:rsidR="00CF0519" w:rsidRDefault="00CF0519">
      <w:pPr>
        <w:spacing w:before="0" w:after="0"/>
        <w:jc w:val="center"/>
        <w:rPr>
          <w:b/>
          <w:bCs/>
        </w:rPr>
      </w:pPr>
    </w:p>
    <w:p w14:paraId="6466350A" w14:textId="77777777" w:rsidR="00CF0519" w:rsidRDefault="00691DC4">
      <w:pPr>
        <w:spacing w:before="0" w:after="0"/>
        <w:jc w:val="center"/>
        <w:rPr>
          <w:b/>
          <w:bCs/>
        </w:rPr>
      </w:pPr>
      <w:r>
        <w:rPr>
          <w:b/>
          <w:bCs/>
        </w:rPr>
        <w:t>DIRECTOR DE TESIS:</w:t>
      </w:r>
    </w:p>
    <w:p w14:paraId="400DA0B1" w14:textId="77777777" w:rsidR="00CF0519" w:rsidRDefault="00691DC4">
      <w:pPr>
        <w:spacing w:before="0" w:after="0"/>
        <w:jc w:val="center"/>
        <w:rPr>
          <w:b/>
          <w:bCs/>
        </w:rPr>
      </w:pPr>
      <w:r>
        <w:rPr>
          <w:b/>
          <w:bCs/>
        </w:rPr>
        <w:t>LUIS EDUARDO URBAN RIVERO</w:t>
      </w:r>
    </w:p>
    <w:p w14:paraId="65DA7AE5" w14:textId="77777777" w:rsidR="00CF0519" w:rsidRDefault="00CF0519">
      <w:pPr>
        <w:spacing w:before="0" w:after="0"/>
        <w:jc w:val="center"/>
        <w:rPr>
          <w:b/>
          <w:bCs/>
        </w:rPr>
      </w:pPr>
    </w:p>
    <w:p w14:paraId="09A97FCE" w14:textId="77777777" w:rsidR="00CF0519" w:rsidRDefault="00CF0519">
      <w:pPr>
        <w:spacing w:before="0" w:after="0"/>
        <w:jc w:val="center"/>
        <w:rPr>
          <w:b/>
          <w:bCs/>
        </w:rPr>
      </w:pPr>
    </w:p>
    <w:p w14:paraId="4698C8CB" w14:textId="77777777" w:rsidR="00CF0519" w:rsidRDefault="00CF0519">
      <w:pPr>
        <w:spacing w:before="0" w:after="0"/>
        <w:jc w:val="center"/>
        <w:rPr>
          <w:b/>
          <w:bCs/>
        </w:rPr>
      </w:pPr>
    </w:p>
    <w:p w14:paraId="6E5BEE1B" w14:textId="77777777" w:rsidR="00CF0519" w:rsidRDefault="00CF0519">
      <w:pPr>
        <w:spacing w:before="0" w:after="0"/>
        <w:jc w:val="center"/>
        <w:rPr>
          <w:b/>
          <w:bCs/>
        </w:rPr>
      </w:pPr>
    </w:p>
    <w:p w14:paraId="57CA8442"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F40BAF6" w14:textId="77777777" w:rsidR="00CF0519" w:rsidRDefault="00691DC4">
      <w:pPr>
        <w:spacing w:before="0" w:after="0"/>
        <w:rPr>
          <w:b/>
          <w:bCs/>
        </w:rPr>
      </w:pPr>
      <w:r>
        <w:rPr>
          <w:b/>
          <w:bCs/>
        </w:rPr>
        <w:lastRenderedPageBreak/>
        <w:t>DEDICATORIA</w:t>
      </w:r>
    </w:p>
    <w:p w14:paraId="415120D2" w14:textId="77777777" w:rsidR="00CF0519" w:rsidRDefault="00CF0519">
      <w:pPr>
        <w:spacing w:before="0" w:after="0"/>
      </w:pPr>
    </w:p>
    <w:p w14:paraId="6064EDA1" w14:textId="77777777" w:rsidR="00CF0519" w:rsidRDefault="00691DC4">
      <w:pPr>
        <w:spacing w:before="0" w:after="0"/>
      </w:pPr>
      <w:r>
        <w:t>A mi amada esposa, mi compañera de vida, mi mejor complemento, quien me ha impulsado para alcanzar cada nuevo reto.</w:t>
      </w:r>
    </w:p>
    <w:p w14:paraId="1AFD356C" w14:textId="77777777" w:rsidR="00CF0519" w:rsidRDefault="00691DC4">
      <w:pPr>
        <w:spacing w:before="0" w:after="0"/>
      </w:pPr>
      <w:r>
        <w:t>A mis hijos que han sido inspiración avanzar en mi formación académica y que con su espontaneidad han llenado mi vida de entusiasmo por seguir adelante.</w:t>
      </w:r>
    </w:p>
    <w:p w14:paraId="7EF73457" w14:textId="77777777" w:rsidR="00CF0519" w:rsidRDefault="00691DC4">
      <w:pPr>
        <w:spacing w:before="0" w:after="0"/>
      </w:pPr>
      <w:r>
        <w:t>A mis padres que siempre me han apoyado.</w:t>
      </w:r>
    </w:p>
    <w:p w14:paraId="6C9FF214" w14:textId="77777777" w:rsidR="00CF0519" w:rsidRDefault="00691DC4">
      <w:pPr>
        <w:spacing w:before="0" w:after="0"/>
        <w:rPr>
          <w:b/>
          <w:bCs/>
        </w:rPr>
      </w:pPr>
      <w:r>
        <w:br w:type="page"/>
      </w:r>
    </w:p>
    <w:p w14:paraId="4F16C880" w14:textId="77777777" w:rsidR="00CF0519" w:rsidRDefault="00691DC4">
      <w:pPr>
        <w:spacing w:before="0" w:after="0"/>
        <w:rPr>
          <w:b/>
          <w:bCs/>
        </w:rPr>
      </w:pPr>
      <w:r>
        <w:rPr>
          <w:b/>
          <w:bCs/>
        </w:rPr>
        <w:lastRenderedPageBreak/>
        <w:t>AGRADECIMIENTOS</w:t>
      </w:r>
    </w:p>
    <w:p w14:paraId="3816AB3F" w14:textId="77777777" w:rsidR="00CF0519" w:rsidRDefault="00CF0519">
      <w:pPr>
        <w:spacing w:before="0" w:after="0"/>
        <w:rPr>
          <w:b/>
          <w:bCs/>
        </w:rPr>
      </w:pPr>
    </w:p>
    <w:p w14:paraId="58B45412" w14:textId="77777777" w:rsidR="00CF0519" w:rsidRDefault="00691DC4">
      <w:pPr>
        <w:spacing w:before="0" w:after="0"/>
      </w:pPr>
      <w:r>
        <w:t xml:space="preserve">A la Universidad Politécnica Metropolitana de Hidalgo </w:t>
      </w:r>
      <w:r>
        <w:br w:type="page"/>
      </w:r>
    </w:p>
    <w:p w14:paraId="190A1B9F"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33D25783" w14:textId="77777777" w:rsidR="000645ED" w:rsidRDefault="000645ED" w:rsidP="000F7586">
          <w:pPr>
            <w:pStyle w:val="TtuloTDC"/>
            <w:spacing w:before="0"/>
          </w:pPr>
          <w:r>
            <w:rPr>
              <w:lang w:val="es-ES"/>
            </w:rPr>
            <w:t>Contenido</w:t>
          </w:r>
        </w:p>
        <w:p w14:paraId="277411A3"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2AD553E9"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5500E63D"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1E8D8EC6"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37AB08E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780C6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62588F1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 xml:space="preserve">Demanda intermitente, </w:t>
            </w:r>
            <w:r w:rsidR="00253ED1" w:rsidRPr="00253ED1">
              <w:rPr>
                <w:rStyle w:val="Hipervnculo"/>
                <w:i/>
                <w:noProof/>
              </w:rPr>
              <w:t>small data</w:t>
            </w:r>
            <w:r w:rsidRPr="00074A6F">
              <w:rPr>
                <w:rStyle w:val="Hipervnculo"/>
                <w:noProof/>
              </w:rPr>
              <w:t xml:space="preserve">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7A76BB5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37FE3C8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2F657A0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630787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32E370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5A6C8E7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1A26B7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00530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6A7CDA0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52C50CC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6C87AD5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2C10EEC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20A4B6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69EFFE4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6F9D10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28D4524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7465671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71312D3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06A01F4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47DD86B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1887029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0E7B0CF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21ADE6E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277F1C95"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5278479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6B60107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5F63F16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182FFBC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03DA6CC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6D8B578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15A96BA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1F92989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55F4ACE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269AD24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1C826B0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5251A97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21DF089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459FC0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0B254F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3170C0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4DA637F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7CBCC4F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70DDC6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071007A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0D023CC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29E17C9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A75D42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255966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71C26B9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4AA5DEBD"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585EC7B5"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47205C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3F94C31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90E3AE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41F6841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293532F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78F1808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63DBACF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D87E40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614418B7"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C75109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020AC1E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71BDB29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1578B4A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52B84AC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0318BC43"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66FB0A4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47C5A7D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04C4215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733F0E3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551071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72F1472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2D4494D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3B0FC48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66F2DAC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0DC135C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837FEE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273BFE27"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4391E42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4EEA78AB" w14:textId="6FAF91B8"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 xml:space="preserve">Estado de la implementación del </w:t>
            </w:r>
            <w:r w:rsidR="00006179" w:rsidRPr="00006179">
              <w:rPr>
                <w:rStyle w:val="Hipervnculo"/>
                <w:i/>
                <w:noProof/>
              </w:rPr>
              <w:t>pipeline</w:t>
            </w:r>
            <w:r w:rsidRPr="00074A6F">
              <w:rPr>
                <w:rStyle w:val="Hipervnculo"/>
                <w:noProof/>
              </w:rPr>
              <w:t xml:space="preserv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424236C"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496F9DE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5A09A58C"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F20C4A6"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6724F78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103822F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54A18D4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54B4F3AB"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CF4C708"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1584449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0E472D2B"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5B9C90D4"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206CF66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0F366C2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35E08CC8"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0285A25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5BB264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65D04F4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037F323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41B70BE7"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6506A2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7605D7D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59378790"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42587B66"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5782DAF5"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5216E037"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52A4777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0A87259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7DBA994D"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7A9811A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6EB6A60"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005CABD6" w14:textId="77777777" w:rsidR="000645ED" w:rsidRDefault="000645ED" w:rsidP="000F7586">
          <w:pPr>
            <w:spacing w:before="0"/>
          </w:pPr>
          <w:r>
            <w:rPr>
              <w:b/>
              <w:bCs/>
              <w:lang w:val="es-ES"/>
            </w:rPr>
            <w:fldChar w:fldCharType="end"/>
          </w:r>
        </w:p>
      </w:sdtContent>
    </w:sdt>
    <w:p w14:paraId="7E38E4BD" w14:textId="77777777" w:rsidR="00CF0519" w:rsidRDefault="00691DC4">
      <w:pPr>
        <w:spacing w:before="0" w:after="0"/>
      </w:pPr>
      <w:r>
        <w:br w:type="page"/>
      </w:r>
    </w:p>
    <w:p w14:paraId="67AC291C" w14:textId="77777777" w:rsidR="00CF0519" w:rsidRDefault="003B198D">
      <w:pPr>
        <w:rPr>
          <w:b/>
          <w:bCs/>
        </w:rPr>
      </w:pPr>
      <w:r>
        <w:rPr>
          <w:b/>
          <w:bCs/>
        </w:rPr>
        <w:lastRenderedPageBreak/>
        <w:t>TABLAS, IMÁGENES Y ECUACIONES</w:t>
      </w:r>
    </w:p>
    <w:p w14:paraId="52B2088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2FE692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4514E0E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4D04A8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46BA71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798E596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6508B20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19A2F99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1C4D9BB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685B02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06747A3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3D80C6C7" w14:textId="7AA0F3D4"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 xml:space="preserve">Figura 27 - Trazabilidad del </w:t>
        </w:r>
        <w:r w:rsidR="00006179" w:rsidRPr="00006179">
          <w:rPr>
            <w:rStyle w:val="Hipervnculo"/>
            <w:i/>
            <w:noProof/>
          </w:rPr>
          <w:t>pipeline</w:t>
        </w:r>
        <w:r w:rsidRPr="00B5248F">
          <w:rPr>
            <w:rStyle w:val="Hipervnculo"/>
            <w:noProof/>
          </w:rPr>
          <w:t xml:space="preserv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1056886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62BA9AA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2BCCA37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64A88E3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3164700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7529AD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5AF7D0F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7018396B" w14:textId="3A323662"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 xml:space="preserve">Figura 26 - Esquema de validación temporal </w:t>
        </w:r>
        <w:r w:rsidR="00DD44DD" w:rsidRPr="00DD44DD">
          <w:rPr>
            <w:rStyle w:val="Hipervnculo"/>
            <w:i/>
            <w:noProof/>
          </w:rPr>
          <w:t>Rolling window</w:t>
        </w:r>
        <w:r w:rsidRPr="00B5248F">
          <w:rPr>
            <w:rStyle w:val="Hipervnculo"/>
            <w:noProof/>
          </w:rPr>
          <w:t>.</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6C5FA5B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C657AC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 xml:space="preserve">Figura 29 - Interfaz funcional del tablero DSS implementado para </w:t>
        </w:r>
        <w:r w:rsidR="00253ED1" w:rsidRPr="00253ED1">
          <w:rPr>
            <w:rStyle w:val="Hipervnculo"/>
            <w:i/>
            <w:noProof/>
          </w:rPr>
          <w:t>Cup&amp;Cake</w:t>
        </w:r>
        <w:r w:rsidRPr="00B5248F">
          <w:rPr>
            <w:rStyle w:val="Hipervnculo"/>
            <w:noProof/>
          </w:rPr>
          <w:t>.</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4C2322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7AE1ABB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3E85C09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2C39EF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459352F4" w14:textId="77777777" w:rsidR="00CF0519" w:rsidRDefault="000645ED">
      <w:pPr>
        <w:rPr>
          <w:b/>
          <w:bCs/>
        </w:rPr>
      </w:pPr>
      <w:r>
        <w:br w:type="page"/>
      </w:r>
    </w:p>
    <w:p w14:paraId="3FE24710"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66CD0448" w14:textId="77777777" w:rsidR="00801477" w:rsidRDefault="00542948" w:rsidP="007C180C">
      <w:pPr>
        <w:spacing w:after="120"/>
      </w:pPr>
      <w:r>
        <w:t xml:space="preserve">Esta investigación se propone desarrollar un modelo híbrido que integre métodos estadísticos y de aprendizaje automático para estimar el importe total semanal de compras y su distribución porcentual entre los principales insumos de </w:t>
      </w:r>
      <w:proofErr w:type="spellStart"/>
      <w:r w:rsidR="00253ED1" w:rsidRPr="00253ED1">
        <w:rPr>
          <w:i/>
        </w:rPr>
        <w:t>Cup&amp;Cake</w:t>
      </w:r>
      <w:proofErr w:type="spellEnd"/>
      <w:r>
        <w:t>, una microempresa de repostería creativa ubicada en Tizayuca, Hidalgo. El problema de estudio se enmarca en la planeación del presupuesto de abastecimiento bajo condiciones de datos limitados y variación temporal. Se consideran registros históricos de compras y ventas, junto con variables calendáricas y exógenas que estén disponibles en el momento de emitir cada pronóstico. El importe objetivo se delimita a las categorías presupuestarias elegibles; categorías fuera del alcance, como combustible, muebles, herramienta, imputados y otros, no forman parte del objetivo.</w:t>
      </w:r>
    </w:p>
    <w:p w14:paraId="622A2555" w14:textId="77777777" w:rsidR="00801477" w:rsidRDefault="00542948" w:rsidP="007C180C">
      <w:pPr>
        <w:spacing w:after="120"/>
      </w:pPr>
      <w:r>
        <w:t xml:space="preserve">La evaluación se plantea mediante validación temporal </w:t>
      </w:r>
      <w:proofErr w:type="spellStart"/>
      <w:r w:rsidR="00253ED1">
        <w:t>r</w:t>
      </w:r>
      <w:r w:rsidR="00253ED1">
        <w:rPr>
          <w:i/>
          <w:iCs/>
        </w:rPr>
        <w:t>olling</w:t>
      </w:r>
      <w:proofErr w:type="spellEnd"/>
      <w:r w:rsidR="00253ED1">
        <w:rPr>
          <w:i/>
          <w:iCs/>
        </w:rPr>
        <w:t xml:space="preserve"> </w:t>
      </w:r>
      <w:proofErr w:type="spellStart"/>
      <w:r w:rsidR="00253ED1">
        <w:rPr>
          <w:i/>
          <w:iCs/>
        </w:rPr>
        <w:t>window</w:t>
      </w:r>
      <w:proofErr w:type="spellEnd"/>
      <w:r>
        <w:t>, con una ventana de entrenamiento de 52 semanas, avance de tres semanas, un bloque final de 20 semanas para evaluación y horizontes de pronóstico de una a cuatro semanas. El desempeño del modelo híbrido se contrastará con modelos de referencia usando métricas de error monetario; la distribución porcentual se evaluará con métricas de error de participación. El diseño busca determinar la precisión que puede ofrecer el procedimiento en este caso y aportar evidencia para valorar su posible uso como apoyo a la planeación, sin presuponer que la integración híbrida mejore el desempeño ni que sustituya la decisión de la persona responsable.</w:t>
      </w:r>
    </w:p>
    <w:p w14:paraId="05E70C4B" w14:textId="77777777" w:rsidR="00801477" w:rsidRDefault="00542948" w:rsidP="007C180C">
      <w:pPr>
        <w:spacing w:after="120"/>
      </w:pPr>
      <w:r>
        <w:t xml:space="preserve">Palabras clave: </w:t>
      </w:r>
      <w:r w:rsidR="00562B79">
        <w:t xml:space="preserve">aprendizaje automático, </w:t>
      </w:r>
      <w:r>
        <w:t>pronóstico de compras, presupuesto de abastecimiento, microempresa, series temporales, modelo híbrido, validación temporal.</w:t>
      </w:r>
    </w:p>
    <w:p w14:paraId="0BCF47A1"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29FBAFAD"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78F3E90" w14:textId="77777777" w:rsidR="00801477" w:rsidRPr="00C6294A" w:rsidRDefault="00542948" w:rsidP="007C180C">
      <w:pPr>
        <w:spacing w:after="120"/>
        <w:rPr>
          <w:lang w:val="en-US"/>
        </w:rPr>
      </w:pPr>
      <w:r w:rsidRPr="00562B79">
        <w:rPr>
          <w:lang w:val="en-US"/>
        </w:rPr>
        <w:t xml:space="preserve">This study proposes the development of a hybrid model combining statistical methods and machine learning to estimate the total weekly purchasing amount and its percentage allocation among the main inputs of </w:t>
      </w:r>
      <w:proofErr w:type="spellStart"/>
      <w:r w:rsidR="00253ED1" w:rsidRPr="00253ED1">
        <w:rPr>
          <w:i/>
          <w:lang w:val="en-US"/>
        </w:rPr>
        <w:t>Cup&amp;Cake</w:t>
      </w:r>
      <w:proofErr w:type="spellEnd"/>
      <w:r w:rsidRPr="00562B79">
        <w:rPr>
          <w:lang w:val="en-US"/>
        </w:rPr>
        <w:t xml:space="preserve">, a creative baking microenterprise in </w:t>
      </w:r>
      <w:proofErr w:type="spellStart"/>
      <w:r w:rsidRPr="00562B79">
        <w:rPr>
          <w:lang w:val="en-US"/>
        </w:rPr>
        <w:t>Tizayuca</w:t>
      </w:r>
      <w:proofErr w:type="spellEnd"/>
      <w:r w:rsidRPr="00562B79">
        <w:rPr>
          <w:lang w:val="en-US"/>
        </w:rPr>
        <w:t xml:space="preserve">, Hidalgo, Mexico. The research addresses procurement-budget planning under </w:t>
      </w:r>
      <w:proofErr w:type="gramStart"/>
      <w:r w:rsidRPr="00562B79">
        <w:rPr>
          <w:lang w:val="en-US"/>
        </w:rPr>
        <w:t>limited-data</w:t>
      </w:r>
      <w:proofErr w:type="gramEnd"/>
      <w:r w:rsidRPr="00562B79">
        <w:rPr>
          <w:lang w:val="en-US"/>
        </w:rPr>
        <w:t xml:space="preserve"> and time-varying conditions. It considers historical purchasing and sales records, together with calendar and exogenous variables that are available when each forecast is issued. The monetary target is restricted to eligible budget categories; out-of-scope items, including fuel, furniture, tools, imputed categories, and others, are excluded.</w:t>
      </w:r>
    </w:p>
    <w:p w14:paraId="0D5FF56E" w14:textId="77777777" w:rsidR="00FC0FE2" w:rsidRPr="00562B79" w:rsidRDefault="00000000">
      <w:pPr>
        <w:rPr>
          <w:lang w:val="en-US"/>
        </w:rPr>
      </w:pPr>
      <w:r w:rsidRPr="00562B79">
        <w:rPr>
          <w:lang w:val="en-US"/>
        </w:rPr>
        <w:t xml:space="preserve">The proposed evaluation uses </w:t>
      </w:r>
      <w:r w:rsidR="00562B79" w:rsidRPr="00562B79">
        <w:rPr>
          <w:i/>
          <w:lang w:val="en-US"/>
        </w:rPr>
        <w:t>rolling</w:t>
      </w:r>
      <w:r w:rsidR="00253ED1">
        <w:rPr>
          <w:i/>
          <w:lang w:val="en-US"/>
        </w:rPr>
        <w:t xml:space="preserve"> window</w:t>
      </w:r>
      <w:r w:rsidRPr="00562B79">
        <w:rPr>
          <w:lang w:val="en-US"/>
        </w:rPr>
        <w:t xml:space="preserve"> temporal validation, a 52-week training window, a three-week step, a final 20-week evaluation block, and forecast horizons of one to four weeks. The hybrid model is to be compared with reference models using monetary error metrics, while the percentage allocation is to be assessed with share-error metrics. The design aims to determine the accuracy attainable in this case and provide evidence for assessing the method as a possible aid to procurement planning. It does not presuppose that hybrid integration improves forecast performance or replaces the </w:t>
      </w:r>
      <w:proofErr w:type="gramStart"/>
      <w:r w:rsidRPr="00562B79">
        <w:rPr>
          <w:lang w:val="en-US"/>
        </w:rPr>
        <w:t>decision-maker</w:t>
      </w:r>
      <w:proofErr w:type="gramEnd"/>
      <w:r w:rsidRPr="00562B79">
        <w:rPr>
          <w:lang w:val="en-US"/>
        </w:rPr>
        <w:t>.</w:t>
      </w:r>
    </w:p>
    <w:p w14:paraId="35572BA4" w14:textId="77777777" w:rsidR="00801477" w:rsidRPr="00C6294A" w:rsidRDefault="00542948" w:rsidP="007C180C">
      <w:pPr>
        <w:spacing w:after="120"/>
        <w:rPr>
          <w:lang w:val="en-US"/>
        </w:rPr>
      </w:pPr>
      <w:r w:rsidRPr="00562B79">
        <w:rPr>
          <w:lang w:val="en-US"/>
        </w:rPr>
        <w:t xml:space="preserve">Keywords: </w:t>
      </w:r>
      <w:r w:rsidR="00562B79">
        <w:rPr>
          <w:lang w:val="en-US"/>
        </w:rPr>
        <w:t xml:space="preserve">machine learning, </w:t>
      </w:r>
      <w:r w:rsidRPr="00562B79">
        <w:rPr>
          <w:lang w:val="en-US"/>
        </w:rPr>
        <w:t>purchasing forecast, procurement budget, microenterprise, time series, hybrid model, temporal validation.</w:t>
      </w:r>
    </w:p>
    <w:p w14:paraId="6C3212A2"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801CBCF" w14:textId="77777777" w:rsidR="00CF0519" w:rsidRDefault="00691DC4">
      <w:r>
        <w:t>Un emprendimiento surge cuando una persona identifica una oportunidad para ofrecer un producto o servicio y organiza recursos para desarrollarla. El Global Entrepreneurship Monitor 2023/2024 sitúa la actividad emprendedora como un componente de la salud de las economías y analiza las condiciones que favorecen o limitan su desarrollo (Global Entrepreneurship Monitor, 2024).</w:t>
      </w:r>
    </w:p>
    <w:p w14:paraId="57F4A0E2" w14:textId="77777777" w:rsidR="00CF0519" w:rsidRDefault="00691DC4">
      <w:r>
        <w:t>Los emprendimientos o microempresas enfrentan desafíos de planeación y aprendizaje durante sus primeras etapas. Minniti y Bygrave (2001) explican que el proceso emprendedor es dinámico y se nutre del aprendizaje derivado de la interacción con el entorno y de las decisiones bajo incertidumbre. Ries (2017), desde la perspectiva lean startup, describe la validación iterativa de supuestos y el ajuste del modelo de negocio mediante experimentación.</w:t>
      </w:r>
    </w:p>
    <w:p w14:paraId="5ECCF264" w14:textId="77777777" w:rsidR="00CF0519" w:rsidRDefault="00691DC4">
      <w:r>
        <w:rPr>
          <w:highlight w:val="yellow"/>
        </w:rPr>
        <w:t>La Organización para la Cooperación y el Desarrollo Económicos documenta brechas de digitalización y capacidades en las pequeñas empresas, las cuales limitan el aprovechamiento sistemático de información para gestionar el negocio (OCDE, 2021). Las consecuencias específicas de esas brechas sobre el pronóstico de compras y el inventario deben evaluarse en cada contexto. Kantis, Federico y García (2020) señalan que las capacidades de gestión durante las etapas tempranas influyen en la organización interna, el uso de recursos y las posibilidades de crecimiento.</w:t>
      </w:r>
    </w:p>
    <w:p w14:paraId="777BBC91" w14:textId="77777777" w:rsidR="00CF0519" w:rsidRDefault="00691DC4">
      <w:r>
        <w:t>Cuando un producto o servicio obtiene aceptación en el mercado aparecen nuevos retos de coordinación, capacidad y planeación. El aprendizaje emprendedor puede desarrollarse de manera progresiva conforme se toman decisiones y se recibe información del entorno (Minniti y Bygrave, 2001). Los efectos concretos sobre desperdicio, productividad y compras requieren evidencia propia del sector y del negocio analizado.</w:t>
      </w:r>
    </w:p>
    <w:p w14:paraId="60FE0980" w14:textId="77777777" w:rsidR="00CF0519" w:rsidRDefault="00691DC4">
      <w:r>
        <w:t>Las microempresas constituyen la mayoría de las unidades económicas de México. Los resultados oportunos de los Censos Económicos 2024 indican que en 2023 operaron 5,451,113 unidades económicas del sector privado y empresas paraestatales; 95.5% eran microempresas y empleaban 41.5% del personal ocupado (INEGI, 2025). Estas cifras delimitan su importancia económica, pero no demuestran por sí mismas limitaciones específicas en planeación financiera, inventarios o cadena de suministro.</w:t>
      </w:r>
    </w:p>
    <w:p w14:paraId="0CBF5309" w14:textId="77777777" w:rsidR="00CF0519" w:rsidRDefault="00691DC4">
      <w:r>
        <w:t>Las pequeñas empresas presentan brechas de adopción digital y de capacidades para aprovechar tecnologías avanzadas (OCDE, 2021). La magnitud de esas brechas y sus efectos sobre decisiones de compras, inventarios e ingresos varían según el país, el sector y la empresa. Por ello, la utilidad de herramientas analíticas para una microempresa de repostería debe evaluarse con datos del caso, sin atribuir a la OCDE una proporción no documentada.</w:t>
      </w:r>
    </w:p>
    <w:p w14:paraId="22E14A73"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(Hübner et al., 2024). En cuanto a la comparación de métodos, la evidencia de competencias de </w:t>
      </w:r>
      <w:r>
        <w:rPr>
          <w:highlight w:val="yellow"/>
        </w:rPr>
        <w:lastRenderedPageBreak/>
        <w:t>pronóstico muestra que una mayor complejidad no garantiza una precisión superior y que el desempeño debe evaluarse fuera de muestra para cada contexto (Makridakis et al., 2018; Spiliotis et al., 2025).</w:t>
      </w:r>
    </w:p>
    <w:p w14:paraId="37F1F0E0" w14:textId="77777777" w:rsidR="00CF0519" w:rsidRPr="00253ED1" w:rsidRDefault="00691DC4">
      <w:pPr>
        <w:rPr>
          <w:b/>
          <w:bCs/>
        </w:rPr>
      </w:pPr>
      <w:r>
        <w:t xml:space="preserve">La literatura reciente muestra que </w:t>
      </w:r>
      <w:r w:rsidRPr="00253ED1">
        <w:rPr>
          <w:highlight w:val="yellow"/>
        </w:rPr>
        <w:t>los modelos de aprendizaje automático pueden capturar relaciones no lineales, estacionalidad y variables externas</w:t>
      </w:r>
      <w:r>
        <w:t xml:space="preserve">; sin embargo, </w:t>
      </w:r>
      <w:r w:rsidRPr="00253ED1">
        <w:rPr>
          <w:highlight w:val="yellow"/>
        </w:rPr>
        <w:t>su desempeño frente a los métodos estadísticos depende de las características de la serie, la disponibilidad de datos, el horizonte de pronóstico y el protocolo de evaluación</w:t>
      </w:r>
      <w:r>
        <w:t xml:space="preserve"> </w:t>
      </w:r>
      <w:r w:rsidRPr="00253ED1">
        <w:rPr>
          <w:b/>
          <w:bCs/>
          <w:highlight w:val="yellow"/>
        </w:rPr>
        <w:t>(Makridakis et al., 2018; Spiliotis et al., 2022).</w:t>
      </w:r>
    </w:p>
    <w:p w14:paraId="57B285B5" w14:textId="77777777" w:rsidR="00CF0519" w:rsidRDefault="00691DC4">
      <w:r>
        <w:t>Frente a este escenario, el aprendizaje automático (</w:t>
      </w:r>
      <w:r w:rsidRPr="00253ED1">
        <w:rPr>
          <w:i/>
          <w:iCs/>
        </w:rPr>
        <w:t>ML</w:t>
      </w:r>
      <w:r>
        <w:t xml:space="preserve"> por sus siglas en inglés, </w:t>
      </w:r>
      <w:r w:rsidRPr="00253ED1">
        <w:rPr>
          <w:i/>
          <w:iCs/>
        </w:rPr>
        <w:t xml:space="preserve">Machine </w:t>
      </w:r>
      <w:proofErr w:type="spellStart"/>
      <w:r w:rsidRPr="00253ED1">
        <w:rPr>
          <w:i/>
          <w:iCs/>
        </w:rPr>
        <w:t>Learning</w:t>
      </w:r>
      <w:proofErr w:type="spellEnd"/>
      <w:r>
        <w:t xml:space="preserve">) como rama de la Inteligencia Artificial ha emergido como herramienta clave para transformar la planeación financiera y la gestión de la cadena de suministro. </w:t>
      </w:r>
    </w:p>
    <w:p w14:paraId="76C063C4"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4DC04F70"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65B451A1"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51AC7470" w14:textId="77777777" w:rsidR="00CF0519" w:rsidRDefault="00691DC4">
      <w:r>
        <w:t>Hübner et al. (2024) analizaron la implementación del servicio de aprendizaje automático Foodforecast en panaderías de Alemania. El estudio aplicó una evaluación de ciclo de vida y comparó los impactos directos del sistema con los beneficios asociados a la reducción de devoluciones de productos de panadería. Los autores reportaron una reducción promedio de 30% en devoluciones durante 2022, según los informes de ventas utilizados. El trabajo aporta evidencia sobre reducción de desperdicio e impactos ambientales, pero no realiza una evaluación independiente del error de pronóstico.</w:t>
      </w:r>
    </w:p>
    <w:p w14:paraId="5FFBDC8E"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5C4914B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7AABB3B9"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281AAFDA"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w:t>
      </w:r>
      <w:r w:rsidRPr="00253ED1">
        <w:rPr>
          <w:i/>
          <w:iCs/>
          <w:highlight w:val="cyan"/>
        </w:rPr>
        <w:t>XAI</w:t>
      </w:r>
      <w:r>
        <w:rPr>
          <w:highlight w:val="cyan"/>
        </w:rPr>
        <w:t>)</w:t>
      </w:r>
      <w:r>
        <w:t xml:space="preserve">. Los resultados del estudio evidencian una </w:t>
      </w:r>
      <w:r>
        <w:rPr>
          <w:highlight w:val="green"/>
        </w:rPr>
        <w:t>mejora significativa en la precisión de los pronósticos</w:t>
      </w:r>
      <w:r>
        <w:t>.</w:t>
      </w:r>
    </w:p>
    <w:p w14:paraId="22D90A8D" w14:textId="77777777" w:rsidR="008D055D" w:rsidRDefault="00000000" w:rsidP="00146E07">
      <w:pPr>
        <w:pStyle w:val="Ttulo3"/>
        <w:numPr>
          <w:ilvl w:val="2"/>
          <w:numId w:val="19"/>
        </w:numPr>
      </w:pPr>
      <w:bookmarkStart w:id="11" w:name="_Toc240207700"/>
      <w:r>
        <w:t xml:space="preserve">Demanda intermitente, </w:t>
      </w:r>
      <w:proofErr w:type="spellStart"/>
      <w:r w:rsidR="00253ED1" w:rsidRPr="00253ED1">
        <w:rPr>
          <w:i/>
          <w:iCs/>
        </w:rPr>
        <w:t>small</w:t>
      </w:r>
      <w:proofErr w:type="spellEnd"/>
      <w:r w:rsidR="00253ED1" w:rsidRPr="00253ED1">
        <w:rPr>
          <w:i/>
          <w:iCs/>
        </w:rPr>
        <w:t xml:space="preserve"> data </w:t>
      </w:r>
      <w:r>
        <w:t>y comparación de modelos</w:t>
      </w:r>
      <w:bookmarkEnd w:id="11"/>
    </w:p>
    <w:p w14:paraId="7B767A37" w14:textId="77777777" w:rsidR="008D055D" w:rsidRPr="00146E07" w:rsidRDefault="00000000" w:rsidP="00146E07">
      <w:r>
        <w:t>La agregación temporal debe corresponder a la frecuencia de la decisión y modifica tanto la variabilidad como el número de observaciones disponibles (Hyndman &amp; Athanasopoulos, 2021). En series de compras, la conveniencia de resumir registros diarios por semana debe comprobarse con la cobertura y la finalidad de planeación de cada caso. Con independencia de la frecuencia elegida, los modelos de aprendizaje automático deben compararse con métodos estadísticos establecidos y no asumirse superiores por su mayor complejidad (Spiliotis et al., 2022).</w:t>
      </w:r>
    </w:p>
    <w:p w14:paraId="0B3B9CA0" w14:textId="77777777" w:rsidR="008D055D" w:rsidRPr="00146E07" w:rsidRDefault="00000000" w:rsidP="00146E07">
      <w:r w:rsidRPr="00253ED1">
        <w:rPr>
          <w:highlight w:val="yellow"/>
        </w:rPr>
        <w:t>La competencia M4 ofrece evidencia comparativa a gran escala: reunió 100</w:t>
      </w:r>
      <w:r w:rsidR="00253ED1" w:rsidRPr="00253ED1">
        <w:rPr>
          <w:highlight w:val="yellow"/>
        </w:rPr>
        <w:t>,</w:t>
      </w:r>
      <w:r w:rsidRPr="00253ED1">
        <w:rPr>
          <w:highlight w:val="yellow"/>
        </w:rPr>
        <w:t xml:space="preserve">000 series y evaluó 61 métodos </w:t>
      </w:r>
      <w:r w:rsidRPr="00253ED1">
        <w:rPr>
          <w:b/>
          <w:bCs/>
          <w:highlight w:val="yellow"/>
        </w:rPr>
        <w:t>(Makridakis et al., 2020)</w:t>
      </w:r>
      <w:r w:rsidRPr="00253ED1">
        <w:rPr>
          <w:highlight w:val="yellow"/>
        </w:rPr>
        <w:t>.</w:t>
      </w:r>
      <w:r>
        <w:t xml:space="preserve"> En el análisis inicial, </w:t>
      </w:r>
      <w:r w:rsidRPr="00253ED1">
        <w:rPr>
          <w:highlight w:val="green"/>
        </w:rPr>
        <w:t>12 de los 17 métodos mejor posicionados fueron combinaciones, y el de mayor precisión integró elementos estadísticos y de aprendizaje automático</w:t>
      </w:r>
      <w:r>
        <w:t xml:space="preserve">; su </w:t>
      </w:r>
      <w:r w:rsidR="00253ED1" w:rsidRPr="00253ED1">
        <w:rPr>
          <w:i/>
        </w:rPr>
        <w:t>SMAPE</w:t>
      </w:r>
      <w:r>
        <w:t xml:space="preserve"> medio fue cercano a 10% mejor que el </w:t>
      </w:r>
      <w:proofErr w:type="spellStart"/>
      <w:r w:rsidR="00253ED1" w:rsidRPr="00253ED1">
        <w:rPr>
          <w:i/>
        </w:rPr>
        <w:t>benchmark</w:t>
      </w:r>
      <w:proofErr w:type="spellEnd"/>
      <w:r>
        <w:t xml:space="preserve"> de combinación. </w:t>
      </w:r>
      <w:r w:rsidRPr="00253ED1">
        <w:rPr>
          <w:highlight w:val="yellow"/>
        </w:rPr>
        <w:t xml:space="preserve">Los seis métodos exclusivamente de aprendizaje automático no superaron ese </w:t>
      </w:r>
      <w:proofErr w:type="spellStart"/>
      <w:r w:rsidR="00253ED1" w:rsidRPr="00253ED1">
        <w:rPr>
          <w:i/>
          <w:highlight w:val="yellow"/>
        </w:rPr>
        <w:t>benchmark</w:t>
      </w:r>
      <w:proofErr w:type="spellEnd"/>
      <w:r w:rsidRPr="00253ED1">
        <w:rPr>
          <w:highlight w:val="yellow"/>
        </w:rPr>
        <w:t xml:space="preserve"> </w:t>
      </w:r>
      <w:r w:rsidRPr="00253ED1">
        <w:rPr>
          <w:b/>
          <w:bCs/>
          <w:highlight w:val="yellow"/>
        </w:rPr>
        <w:t>(</w:t>
      </w:r>
      <w:proofErr w:type="spellStart"/>
      <w:r w:rsidRPr="00253ED1">
        <w:rPr>
          <w:b/>
          <w:bCs/>
          <w:highlight w:val="yellow"/>
        </w:rPr>
        <w:t>Makridakis</w:t>
      </w:r>
      <w:proofErr w:type="spellEnd"/>
      <w:r w:rsidRPr="00253ED1">
        <w:rPr>
          <w:b/>
          <w:bCs/>
          <w:highlight w:val="yellow"/>
        </w:rPr>
        <w:t xml:space="preserve"> et al., 2018)</w:t>
      </w:r>
      <w:r>
        <w:t xml:space="preserve">. Estos resultados justifican evaluar combinaciones, pero no establecen su superioridad para compras semanales de una microempresa, pues la M4 incluye series de distintos dominios y frecuencias. De manera consistente, </w:t>
      </w:r>
      <w:r w:rsidRPr="00253ED1">
        <w:rPr>
          <w:b/>
          <w:bCs/>
          <w:highlight w:val="yellow"/>
        </w:rPr>
        <w:t>Hewamalage et al. (2021)</w:t>
      </w:r>
      <w:r w:rsidRPr="00253ED1">
        <w:rPr>
          <w:highlight w:val="yellow"/>
        </w:rPr>
        <w:t xml:space="preserve"> advierten que las redes neuronales recurrentes no son soluciones universales, especialmente con series individuales cortas o heterogéneas.</w:t>
      </w:r>
    </w:p>
    <w:p w14:paraId="08F4575B"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 xml:space="preserve">en un contexto de </w:t>
      </w:r>
      <w:proofErr w:type="spellStart"/>
      <w:r w:rsidR="00253ED1" w:rsidRPr="00253ED1">
        <w:rPr>
          <w:i/>
          <w:highlight w:val="yellow"/>
        </w:rPr>
        <w:t>small</w:t>
      </w:r>
      <w:proofErr w:type="spellEnd"/>
      <w:r w:rsidR="00253ED1" w:rsidRPr="00253ED1">
        <w:rPr>
          <w:i/>
          <w:highlight w:val="yellow"/>
        </w:rPr>
        <w:t xml:space="preserve"> data</w:t>
      </w:r>
      <w:r w:rsidRPr="00146E07">
        <w:rPr>
          <w:highlight w:val="yellow"/>
        </w:rPr>
        <w:t xml:space="preserve">, una validación </w:t>
      </w:r>
      <w:proofErr w:type="spellStart"/>
      <w:r w:rsidR="00253ED1" w:rsidRPr="00253ED1">
        <w:rPr>
          <w:i/>
          <w:highlight w:val="yellow"/>
        </w:rPr>
        <w:t>rolling</w:t>
      </w:r>
      <w:proofErr w:type="spellEnd"/>
      <w:r w:rsidR="00253ED1" w:rsidRPr="00253ED1">
        <w:rPr>
          <w:i/>
          <w:highlight w:val="yellow"/>
        </w:rPr>
        <w:t xml:space="preserve"> </w:t>
      </w:r>
      <w:proofErr w:type="spellStart"/>
      <w:r w:rsidR="00253ED1" w:rsidRPr="00253ED1">
        <w:rPr>
          <w:i/>
          <w:highlight w:val="yellow"/>
        </w:rPr>
        <w:t>window</w:t>
      </w:r>
      <w:proofErr w:type="spellEnd"/>
      <w:r w:rsidRPr="00146E07">
        <w:rPr>
          <w:highlight w:val="yellow"/>
        </w:rPr>
        <w:t xml:space="preserve"> y la comparación con líneas base reproducibles son más pertinentes que inferir superioridad a partir de un </w:t>
      </w:r>
      <w:proofErr w:type="gramStart"/>
      <w:r w:rsidRPr="00146E07">
        <w:rPr>
          <w:highlight w:val="yellow"/>
        </w:rPr>
        <w:t>único modelo o una única partición</w:t>
      </w:r>
      <w:proofErr w:type="gramEnd"/>
      <w:r w:rsidRPr="00146E07">
        <w:t>.</w:t>
      </w:r>
    </w:p>
    <w:p w14:paraId="17EFE587" w14:textId="77777777" w:rsidR="00B302B0" w:rsidRDefault="00000000" w:rsidP="00DD6BF1">
      <w:pPr>
        <w:pStyle w:val="Ttulo4"/>
      </w:pPr>
      <w:r>
        <w:lastRenderedPageBreak/>
        <w:t xml:space="preserve">Análisis de series temporales para demanda errática y </w:t>
      </w:r>
      <w:proofErr w:type="spellStart"/>
      <w:r w:rsidR="00253ED1" w:rsidRPr="00253ED1">
        <w:t>small</w:t>
      </w:r>
      <w:proofErr w:type="spellEnd"/>
      <w:r w:rsidR="00253ED1" w:rsidRPr="00253ED1">
        <w:t xml:space="preserve"> data</w:t>
      </w:r>
    </w:p>
    <w:p w14:paraId="69452E5A" w14:textId="77777777" w:rsidR="00B302B0" w:rsidRPr="008D6230" w:rsidRDefault="00000000">
      <w:pPr>
        <w:rPr>
          <w:b/>
          <w:bCs/>
        </w:rPr>
      </w:pPr>
      <w:r>
        <w:t>El pronóstico constituye una fase posterior a la caracterización de la serie. Antes de comparar algoritmos conviene examinar la frecuencia, la tendencia, la autocorrelación y la estabilidad de los patrones estacionales (Hyndman &amp; Athanasopoulos, 2021). La validación y el preprocesamiento también deben respetar el orden temporal para evitar que información posterior intervenga en el ajuste (Bergmeir &amp; Benítez, 2012). Cuando existen huecos de captura, primero debe distinguirse una ausencia de registro de un valor económico igual a cero; esta distinción corresponde a la depuración del caso.</w:t>
      </w:r>
    </w:p>
    <w:p w14:paraId="1E102962" w14:textId="77777777" w:rsidR="00B302B0" w:rsidRDefault="00000000">
      <w:r>
        <w:t>En series con periodos sin movimiento, el intervalo promedio entre ocurrencias (ADI) y el cuadrado del coeficiente de variación de los importes positivos (CV²) permiten clasificar patrones de demanda (Syntetos et al., 2005). Esta clasificación orienta el diagnóstico, pero no determina por sí sola el modelo ganador. Croston-SBA constituye una corrección para demanda intermitente (Syntetos &amp; Boylan, 2005), mientras que TSB incorpora una actualización explícita de la probabilidad de ocurrencia (Teunter et al., 2011).</w:t>
      </w:r>
    </w:p>
    <w:p w14:paraId="6D1063A6"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w:t>
      </w:r>
      <w:proofErr w:type="gramStart"/>
      <w:r w:rsidRPr="00157D68">
        <w:rPr>
          <w:highlight w:val="yellow"/>
        </w:rPr>
        <w:t xml:space="preserve">aprendizaje </w:t>
      </w:r>
      <w:r w:rsidR="00157D68">
        <w:t>.</w:t>
      </w:r>
      <w:proofErr w:type="gramEnd"/>
    </w:p>
    <w:p w14:paraId="28CBC959"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2CF8207E" w14:textId="77777777" w:rsidR="00CF0519" w:rsidRDefault="00691DC4">
      <w:r>
        <w:rPr>
          <w:highlight w:val="lightGray"/>
        </w:rPr>
        <w:t>Borsato (2023) examina la repostería como una forma de estética comestible en la que convergen técnicas culinarias y expresión artística. Desde ese alcance, la repostería creativa o cake design puede caracterizarse por el énfasis en el diseño y la personalización de productos para celebraciones y ocasiones especiales. La fuente no se utiliza para inferir por sí sola una transformación económica de toda la industria.</w:t>
      </w:r>
    </w:p>
    <w:p w14:paraId="46034E5A"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07E19E9A"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758E2D7E"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6A7439C6" w14:textId="77777777" w:rsidR="00CF0519" w:rsidRDefault="00691DC4">
      <w:r>
        <w:t>Las capacidades de analítica de datos pueden relacionarse con innovación y desempeño organizacional, aunque la evidencia de Mikalef et al. (2019) y Dubey et al. (2021) no se limita al sector panadero. Para este sector, Aprodu et al. (2025) revisan aplicaciones de tecnologías de Industria 4.0. En conjunto, estas fuentes permiten plantear que la digitalización puede apoyar actividades operativas, pero sus efectos sobre pedidos, inventarios y producción deben comprobarse en cada organización.</w:t>
      </w:r>
    </w:p>
    <w:p w14:paraId="07D95CA4"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38C3AEC9" w14:textId="77777777" w:rsidR="00CF0519" w:rsidRDefault="00691DC4">
      <w:r>
        <w:t>Las aplicaciones descritas se han estudiado principalmente en contextos con mayor disponibilidad de datos y capacidades tecnológicas. Para las PYMES latinoamericanas, Poveda-Valverde y Fierro Barragán (2026) identifican barreras de infraestructura, presupuesto y talento especializado. La búsqueda documental realizada para este capítulo encontró poca evidencia directamente referida a microempresas de repostería creativa; este resultado delimita la revisión efectuada y no demuestra la inexistencia de otros estudios.</w:t>
      </w:r>
    </w:p>
    <w:p w14:paraId="46151921"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3271E519" w14:textId="77777777" w:rsidR="00CF0519" w:rsidRDefault="00691DC4">
      <w:r>
        <w:t>Diversos estudios han analizado los factores que influyen en la adopción de tecnologías basadas en inteligencia artificial dentro de pequeñas y medianas empresas.</w:t>
      </w:r>
    </w:p>
    <w:p w14:paraId="566ECF51" w14:textId="77777777" w:rsidR="00CF0519" w:rsidRDefault="00691DC4">
      <w:r>
        <w:rPr>
          <w:b/>
          <w:bCs/>
          <w:highlight w:val="yellow"/>
        </w:rPr>
        <w:t>Poveda-Valverde y Fierro Barragán (2026), mediante una revisión sistemática de aplicaciones de inteligencia artificial en PYMES latinoamericanas, identifican barreras recurrentes relacionadas con infraestructura tecnológica, recursos financieros y disponibilidad de talento especializado.</w:t>
      </w:r>
    </w:p>
    <w:p w14:paraId="74142B18"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44C61B4C"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 xml:space="preserve">la integración de analítica avanzada y herramientas de inteligencia artificial contribuye significativamente al desempeño operativo de </w:t>
      </w:r>
      <w:r>
        <w:rPr>
          <w:highlight w:val="yellow"/>
        </w:rPr>
        <w:lastRenderedPageBreak/>
        <w:t>las organizaciones cuando se combina con capacidades dinámicas y estrategias de innovación.</w:t>
      </w:r>
    </w:p>
    <w:p w14:paraId="7F121BE1"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74C48ECE" w14:textId="77777777" w:rsidR="00CF0519" w:rsidRDefault="00691DC4">
      <w:r>
        <w:t>En el contexto mexicano, diversos estudios han analizado el impacto de la adopción tecnológica y la digitalización en el desempeño de las pequeñas y medianas empresas.</w:t>
      </w:r>
    </w:p>
    <w:p w14:paraId="33A76FA5" w14:textId="77777777" w:rsidR="00CF0519" w:rsidRDefault="00691DC4">
      <w:r>
        <w:t>Valdez-Juárez, García-Pérez-de-Lema y Maldonado-Guzmán (2018) analizaron datos de 412 PYMES industriales y de servicios del noroeste de México. Sus resultados muestran relaciones entre el uso de tecnologías de información y comunicación, la gestión del conocimiento, la innovación y la rentabilidad, por lo que el estudio aporta evidencia nacional sobre capacidades digitales y desempeño empresarial.</w:t>
      </w:r>
    </w:p>
    <w:p w14:paraId="3972DBB1" w14:textId="77777777" w:rsidR="00CF0519" w:rsidRDefault="00691DC4">
      <w:r>
        <w:t xml:space="preserve">De manera similar, </w:t>
      </w:r>
      <w:r>
        <w:rPr>
          <w:b/>
          <w:bCs/>
          <w:highlight w:val="yellow"/>
        </w:rPr>
        <w:t>Cuevas</w:t>
      </w:r>
      <w:r w:rsidR="00253ED1">
        <w:rPr>
          <w:b/>
          <w:bCs/>
          <w:highlight w:val="yellow"/>
        </w:rPr>
        <w:t xml:space="preserve"> </w:t>
      </w:r>
      <w:r>
        <w:rPr>
          <w:b/>
          <w:bCs/>
          <w:highlight w:val="yellow"/>
        </w:rPr>
        <w:t>Vargas, Estrada y Larios</w:t>
      </w:r>
      <w:r w:rsidR="00253ED1">
        <w:rPr>
          <w:b/>
          <w:bCs/>
          <w:highlight w:val="yellow"/>
        </w:rPr>
        <w:t xml:space="preserve"> </w:t>
      </w:r>
      <w:r>
        <w:rPr>
          <w:b/>
          <w:bCs/>
          <w:highlight w:val="yellow"/>
        </w:rPr>
        <w:t>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662EB79" w14:textId="77777777" w:rsidR="00CF0519" w:rsidRDefault="00691DC4">
      <w:r>
        <w:t>Maldonado-Guzmán y Garza-Reyes (2020) estudiaron la adopción de prácticas de ecoinnovación en la industria automotriz. El trabajo aporta evidencia sobre innovación tecnológica y organizacional en un sector industrial, pero no aborda transformación digital ni modelos predictivos en microempresas.</w:t>
      </w:r>
    </w:p>
    <w:p w14:paraId="1BF03017" w14:textId="77777777" w:rsidR="00CF0519" w:rsidRDefault="00691DC4">
      <w:r>
        <w:t xml:space="preserve">Asimismo, </w:t>
      </w:r>
      <w:r>
        <w:rPr>
          <w:b/>
          <w:bCs/>
          <w:highlight w:val="yellow"/>
        </w:rPr>
        <w:t>Saavedra</w:t>
      </w:r>
      <w:r w:rsidR="00253ED1">
        <w:rPr>
          <w:b/>
          <w:bCs/>
          <w:highlight w:val="yellow"/>
        </w:rPr>
        <w:t xml:space="preserve"> </w:t>
      </w:r>
      <w:r>
        <w:rPr>
          <w:b/>
          <w:bCs/>
          <w:highlight w:val="yellow"/>
        </w:rPr>
        <w:t>García y Tapia</w:t>
      </w:r>
      <w:r w:rsidR="00253ED1">
        <w:rPr>
          <w:b/>
          <w:bCs/>
          <w:highlight w:val="yellow"/>
        </w:rPr>
        <w:t xml:space="preserve"> </w:t>
      </w:r>
      <w:r>
        <w:rPr>
          <w:b/>
          <w:bCs/>
          <w:highlight w:val="yellow"/>
        </w:rPr>
        <w:t>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8719F7F" w14:textId="77777777" w:rsidR="00CF0519" w:rsidRDefault="00691DC4">
      <w:r>
        <w:t xml:space="preserve">Finalmente, </w:t>
      </w:r>
      <w:r>
        <w:rPr>
          <w:b/>
          <w:bCs/>
          <w:highlight w:val="yellow"/>
        </w:rPr>
        <w:t>Romero</w:t>
      </w:r>
      <w:r w:rsidR="00253ED1">
        <w:rPr>
          <w:b/>
          <w:bCs/>
          <w:highlight w:val="yellow"/>
        </w:rPr>
        <w:t xml:space="preserve"> </w:t>
      </w:r>
      <w:r>
        <w:rPr>
          <w:b/>
          <w:bCs/>
          <w:highlight w:val="yellow"/>
        </w:rPr>
        <w:t>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6A00AD5E" w14:textId="77777777" w:rsidR="008D055D" w:rsidRDefault="00000000">
      <w:r>
        <w:t>Como complemento regional, Poveda-Valverde y Fierro Barragán (2026), en una revisión sistemática sobre inteligencia artificial en PYMES latinoamericanas, identifican restricciones de infraestructura, presupuesto y talento especializado, además de una distribución heterogénea de aplicaciones entre actividades empresariales. Estos resultados justifican desarrollar estudios aplicados y reproducibles en organizaciones con menor disponibilidad de datos, sin atribuir a la revisión una concentración sectorial más precisa que la informada por sus autores.</w:t>
      </w:r>
    </w:p>
    <w:p w14:paraId="3707CE02"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4176FAEB"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464AECD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0C84DB32" w14:textId="77777777" w:rsidR="006D6A1B" w:rsidRDefault="00000000">
            <w:r>
              <w:rPr>
                <w:b/>
                <w:sz w:val="13"/>
              </w:rPr>
              <w:t>Autor(es) y año</w:t>
            </w:r>
          </w:p>
        </w:tc>
        <w:tc>
          <w:tcPr>
            <w:tcW w:w="433" w:type="pct"/>
          </w:tcPr>
          <w:p w14:paraId="5FD9CE20" w14:textId="77777777" w:rsidR="006D6A1B" w:rsidRDefault="00000000">
            <w:r>
              <w:rPr>
                <w:b/>
                <w:sz w:val="13"/>
              </w:rPr>
              <w:t>País de origen</w:t>
            </w:r>
          </w:p>
        </w:tc>
        <w:tc>
          <w:tcPr>
            <w:tcW w:w="625" w:type="pct"/>
          </w:tcPr>
          <w:p w14:paraId="41C58DF9" w14:textId="77777777" w:rsidR="006D6A1B" w:rsidRDefault="00000000">
            <w:r>
              <w:rPr>
                <w:b/>
                <w:sz w:val="13"/>
              </w:rPr>
              <w:t>Palabras clave</w:t>
            </w:r>
          </w:p>
        </w:tc>
        <w:tc>
          <w:tcPr>
            <w:tcW w:w="611" w:type="pct"/>
          </w:tcPr>
          <w:p w14:paraId="52E455F5" w14:textId="77777777" w:rsidR="006D6A1B" w:rsidRDefault="00000000">
            <w:r>
              <w:rPr>
                <w:b/>
                <w:sz w:val="13"/>
              </w:rPr>
              <w:t>Contexto y datos</w:t>
            </w:r>
          </w:p>
        </w:tc>
        <w:tc>
          <w:tcPr>
            <w:tcW w:w="517" w:type="pct"/>
          </w:tcPr>
          <w:p w14:paraId="1CC2834E" w14:textId="77777777" w:rsidR="006D6A1B" w:rsidRDefault="00000000">
            <w:r>
              <w:rPr>
                <w:b/>
                <w:sz w:val="13"/>
              </w:rPr>
              <w:t>Metodología</w:t>
            </w:r>
          </w:p>
        </w:tc>
        <w:tc>
          <w:tcPr>
            <w:tcW w:w="704" w:type="pct"/>
          </w:tcPr>
          <w:p w14:paraId="6D33FF01" w14:textId="77777777" w:rsidR="006D6A1B" w:rsidRDefault="00000000">
            <w:r>
              <w:rPr>
                <w:b/>
                <w:sz w:val="13"/>
              </w:rPr>
              <w:t>Hallazgo relevante</w:t>
            </w:r>
          </w:p>
        </w:tc>
        <w:tc>
          <w:tcPr>
            <w:tcW w:w="624" w:type="pct"/>
          </w:tcPr>
          <w:p w14:paraId="7ECAC7FD" w14:textId="77777777" w:rsidR="006D6A1B" w:rsidRDefault="00000000">
            <w:r>
              <w:rPr>
                <w:b/>
                <w:sz w:val="13"/>
              </w:rPr>
              <w:t>Limitación o brecha</w:t>
            </w:r>
          </w:p>
        </w:tc>
        <w:tc>
          <w:tcPr>
            <w:tcW w:w="957" w:type="pct"/>
          </w:tcPr>
          <w:p w14:paraId="44673437" w14:textId="77777777" w:rsidR="006D6A1B" w:rsidRDefault="00000000">
            <w:r>
              <w:rPr>
                <w:b/>
                <w:sz w:val="13"/>
              </w:rPr>
              <w:t>Relación con la investigación</w:t>
            </w:r>
          </w:p>
        </w:tc>
      </w:tr>
      <w:tr w:rsidR="006D6A1B" w14:paraId="625784E4" w14:textId="77777777" w:rsidTr="0056449B">
        <w:trPr>
          <w:cantSplit/>
          <w:trHeight w:val="170"/>
        </w:trPr>
        <w:tc>
          <w:tcPr>
            <w:tcW w:w="529" w:type="pct"/>
          </w:tcPr>
          <w:p w14:paraId="436C92D4" w14:textId="77777777" w:rsidR="006D6A1B" w:rsidRDefault="00000000">
            <w:r>
              <w:rPr>
                <w:sz w:val="13"/>
              </w:rPr>
              <w:t>Hübner et al. (2024)</w:t>
            </w:r>
          </w:p>
        </w:tc>
        <w:tc>
          <w:tcPr>
            <w:tcW w:w="433" w:type="pct"/>
          </w:tcPr>
          <w:p w14:paraId="374994A0" w14:textId="77777777" w:rsidR="006D6A1B" w:rsidRDefault="00000000">
            <w:r>
              <w:rPr>
                <w:sz w:val="13"/>
              </w:rPr>
              <w:t>Alemania</w:t>
            </w:r>
          </w:p>
        </w:tc>
        <w:tc>
          <w:tcPr>
            <w:tcW w:w="625" w:type="pct"/>
          </w:tcPr>
          <w:p w14:paraId="1CD78E27" w14:textId="77777777" w:rsidR="006D6A1B" w:rsidRDefault="00000000">
            <w:r>
              <w:rPr>
                <w:sz w:val="13"/>
              </w:rPr>
              <w:t>panadería; ML; pronóstico; desperdicio</w:t>
            </w:r>
          </w:p>
        </w:tc>
        <w:tc>
          <w:tcPr>
            <w:tcW w:w="611" w:type="pct"/>
          </w:tcPr>
          <w:p w14:paraId="14752159" w14:textId="77777777" w:rsidR="006D6A1B" w:rsidRDefault="00000000">
            <w:r>
              <w:rPr>
                <w:sz w:val="13"/>
              </w:rPr>
              <w:t>Panaderías; ventas, producción y desperdicio</w:t>
            </w:r>
          </w:p>
        </w:tc>
        <w:tc>
          <w:tcPr>
            <w:tcW w:w="517" w:type="pct"/>
          </w:tcPr>
          <w:p w14:paraId="6C8D0921" w14:textId="77777777" w:rsidR="006D6A1B" w:rsidRDefault="00000000">
            <w:r>
              <w:rPr>
                <w:sz w:val="13"/>
              </w:rPr>
              <w:t>Caso cuantitativo con ML</w:t>
            </w:r>
          </w:p>
        </w:tc>
        <w:tc>
          <w:tcPr>
            <w:tcW w:w="704" w:type="pct"/>
          </w:tcPr>
          <w:p w14:paraId="79A420DC" w14:textId="77777777" w:rsidR="006D6A1B" w:rsidRDefault="00000000">
            <w:r>
              <w:rPr>
                <w:sz w:val="13"/>
              </w:rPr>
              <w:t>El pronóstico de demanda puede apoyar la reducción de desperdicio.</w:t>
            </w:r>
          </w:p>
        </w:tc>
        <w:tc>
          <w:tcPr>
            <w:tcW w:w="624" w:type="pct"/>
          </w:tcPr>
          <w:p w14:paraId="288D8B17" w14:textId="77777777" w:rsidR="006D6A1B" w:rsidRDefault="00000000">
            <w:r>
              <w:rPr>
                <w:sz w:val="13"/>
              </w:rPr>
              <w:t>Caso con infraestructura superior a la microempresa.</w:t>
            </w:r>
          </w:p>
        </w:tc>
        <w:tc>
          <w:tcPr>
            <w:tcW w:w="957" w:type="pct"/>
          </w:tcPr>
          <w:p w14:paraId="591DABE0" w14:textId="77777777" w:rsidR="006D6A1B" w:rsidRDefault="00000000">
            <w:r>
              <w:rPr>
                <w:sz w:val="13"/>
              </w:rPr>
              <w:t>Aporta el antecedente sectorial; justifica evaluar una solución acotada a registros internos.</w:t>
            </w:r>
          </w:p>
        </w:tc>
      </w:tr>
      <w:tr w:rsidR="006D6A1B" w14:paraId="1394C3C8" w14:textId="77777777" w:rsidTr="0056449B">
        <w:trPr>
          <w:cantSplit/>
          <w:trHeight w:val="170"/>
        </w:trPr>
        <w:tc>
          <w:tcPr>
            <w:tcW w:w="529" w:type="pct"/>
          </w:tcPr>
          <w:p w14:paraId="52921AD5"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4A1C4ED2" w14:textId="77777777" w:rsidR="006D6A1B" w:rsidRDefault="00000000">
            <w:r>
              <w:rPr>
                <w:sz w:val="13"/>
              </w:rPr>
              <w:t>Alemania</w:t>
            </w:r>
          </w:p>
        </w:tc>
        <w:tc>
          <w:tcPr>
            <w:tcW w:w="625" w:type="pct"/>
          </w:tcPr>
          <w:p w14:paraId="3B08A847" w14:textId="77777777" w:rsidR="006D6A1B" w:rsidRDefault="00000000">
            <w:proofErr w:type="spellStart"/>
            <w:r>
              <w:rPr>
                <w:sz w:val="13"/>
              </w:rPr>
              <w:t>retail</w:t>
            </w:r>
            <w:proofErr w:type="spellEnd"/>
            <w:r>
              <w:rPr>
                <w:sz w:val="13"/>
              </w:rPr>
              <w:t>; ML; calendario; demanda diaria</w:t>
            </w:r>
          </w:p>
        </w:tc>
        <w:tc>
          <w:tcPr>
            <w:tcW w:w="611" w:type="pct"/>
          </w:tcPr>
          <w:p w14:paraId="562C8B67" w14:textId="77777777" w:rsidR="006D6A1B" w:rsidRDefault="00000000">
            <w:proofErr w:type="spellStart"/>
            <w:r>
              <w:rPr>
                <w:sz w:val="13"/>
              </w:rPr>
              <w:t>Retail</w:t>
            </w:r>
            <w:proofErr w:type="spellEnd"/>
            <w:r>
              <w:rPr>
                <w:sz w:val="13"/>
              </w:rPr>
              <w:t xml:space="preserve"> diario; ventas y calendario</w:t>
            </w:r>
          </w:p>
        </w:tc>
        <w:tc>
          <w:tcPr>
            <w:tcW w:w="517" w:type="pct"/>
          </w:tcPr>
          <w:p w14:paraId="05ECBF92" w14:textId="77777777" w:rsidR="006D6A1B" w:rsidRDefault="00000000">
            <w:r>
              <w:rPr>
                <w:sz w:val="13"/>
              </w:rPr>
              <w:t>Comparación de ML con variables calendáricas</w:t>
            </w:r>
          </w:p>
        </w:tc>
        <w:tc>
          <w:tcPr>
            <w:tcW w:w="704" w:type="pct"/>
          </w:tcPr>
          <w:p w14:paraId="667DECA6" w14:textId="77777777" w:rsidR="006D6A1B" w:rsidRDefault="00000000">
            <w:r>
              <w:rPr>
                <w:sz w:val="13"/>
              </w:rPr>
              <w:t>Las variables de calendario mejoran pronósticos en eventos.</w:t>
            </w:r>
          </w:p>
        </w:tc>
        <w:tc>
          <w:tcPr>
            <w:tcW w:w="624" w:type="pct"/>
          </w:tcPr>
          <w:p w14:paraId="07EC8762" w14:textId="77777777" w:rsidR="006D6A1B" w:rsidRDefault="00000000">
            <w:r>
              <w:rPr>
                <w:sz w:val="13"/>
              </w:rPr>
              <w:t>Contexto minorista de mayor escala.</w:t>
            </w:r>
          </w:p>
        </w:tc>
        <w:tc>
          <w:tcPr>
            <w:tcW w:w="957" w:type="pct"/>
          </w:tcPr>
          <w:p w14:paraId="18125D5F" w14:textId="77777777" w:rsidR="006D6A1B" w:rsidRDefault="00000000">
            <w:r>
              <w:rPr>
                <w:sz w:val="13"/>
              </w:rPr>
              <w:t>Sustenta incluir calendario y eventos disponibles en el dataset.</w:t>
            </w:r>
          </w:p>
        </w:tc>
      </w:tr>
      <w:tr w:rsidR="006D6A1B" w14:paraId="3CD4E4AC" w14:textId="77777777" w:rsidTr="0056449B">
        <w:trPr>
          <w:cantSplit/>
          <w:trHeight w:val="170"/>
        </w:trPr>
        <w:tc>
          <w:tcPr>
            <w:tcW w:w="529" w:type="pct"/>
          </w:tcPr>
          <w:p w14:paraId="4D2780F5" w14:textId="77777777" w:rsidR="006D6A1B" w:rsidRDefault="00000000">
            <w:r>
              <w:rPr>
                <w:sz w:val="13"/>
              </w:rPr>
              <w:t>Abrar et al. (2024)</w:t>
            </w:r>
          </w:p>
        </w:tc>
        <w:tc>
          <w:tcPr>
            <w:tcW w:w="433" w:type="pct"/>
          </w:tcPr>
          <w:p w14:paraId="7F8B24C5" w14:textId="77777777" w:rsidR="006D6A1B" w:rsidRDefault="000E5FA7">
            <w:r>
              <w:rPr>
                <w:sz w:val="13"/>
              </w:rPr>
              <w:t>Internacional</w:t>
            </w:r>
          </w:p>
        </w:tc>
        <w:tc>
          <w:tcPr>
            <w:tcW w:w="625" w:type="pct"/>
          </w:tcPr>
          <w:p w14:paraId="180E9DBE" w14:textId="77777777" w:rsidR="006D6A1B" w:rsidRDefault="00000000">
            <w:r>
              <w:rPr>
                <w:sz w:val="13"/>
              </w:rPr>
              <w:t>cadena de suministro; CNN; LSTM; XAI</w:t>
            </w:r>
          </w:p>
        </w:tc>
        <w:tc>
          <w:tcPr>
            <w:tcW w:w="611" w:type="pct"/>
          </w:tcPr>
          <w:p w14:paraId="03C64563"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860A5C1" w14:textId="77777777" w:rsidR="006D6A1B" w:rsidRDefault="00000000">
            <w:r>
              <w:rPr>
                <w:sz w:val="13"/>
              </w:rPr>
              <w:t>Preprint arXiv; modelo híbrido CNN-LSTM con XAI</w:t>
            </w:r>
          </w:p>
        </w:tc>
        <w:tc>
          <w:tcPr>
            <w:tcW w:w="704" w:type="pct"/>
          </w:tcPr>
          <w:p w14:paraId="5EC3BF31" w14:textId="77777777" w:rsidR="006D6A1B" w:rsidRDefault="00000000">
            <w:r>
              <w:rPr>
                <w:sz w:val="13"/>
              </w:rPr>
              <w:t>Los modelos híbridos pueden integrar señales complejas.</w:t>
            </w:r>
          </w:p>
        </w:tc>
        <w:tc>
          <w:tcPr>
            <w:tcW w:w="624" w:type="pct"/>
          </w:tcPr>
          <w:p w14:paraId="168AB217" w14:textId="77777777" w:rsidR="006D6A1B" w:rsidRDefault="00000000">
            <w:r>
              <w:rPr>
                <w:sz w:val="13"/>
              </w:rPr>
              <w:t>Arquitectura compleja evaluada con mayor disponibilidad de datos; evidencia aún como preprint.</w:t>
            </w:r>
          </w:p>
        </w:tc>
        <w:tc>
          <w:tcPr>
            <w:tcW w:w="957" w:type="pct"/>
          </w:tcPr>
          <w:p w14:paraId="61DED66C" w14:textId="77777777" w:rsidR="006D6A1B" w:rsidRDefault="00000000">
            <w:r>
              <w:rPr>
                <w:sz w:val="13"/>
              </w:rPr>
              <w:t xml:space="preserve">Sirve como contraste: la tesis evalúa alternativas parsimoniosas en </w:t>
            </w:r>
            <w:proofErr w:type="spellStart"/>
            <w:r w:rsidR="00253ED1" w:rsidRPr="00253ED1">
              <w:rPr>
                <w:i/>
                <w:sz w:val="13"/>
              </w:rPr>
              <w:t>small</w:t>
            </w:r>
            <w:proofErr w:type="spellEnd"/>
            <w:r w:rsidR="00253ED1" w:rsidRPr="00253ED1">
              <w:rPr>
                <w:i/>
                <w:sz w:val="13"/>
              </w:rPr>
              <w:t xml:space="preserve"> data</w:t>
            </w:r>
            <w:r>
              <w:rPr>
                <w:sz w:val="13"/>
              </w:rPr>
              <w:t>.</w:t>
            </w:r>
          </w:p>
        </w:tc>
      </w:tr>
      <w:tr w:rsidR="006D6A1B" w14:paraId="236F309D" w14:textId="77777777" w:rsidTr="0056449B">
        <w:trPr>
          <w:cantSplit/>
          <w:trHeight w:val="170"/>
        </w:trPr>
        <w:tc>
          <w:tcPr>
            <w:tcW w:w="529" w:type="pct"/>
          </w:tcPr>
          <w:p w14:paraId="4E55627D" w14:textId="77777777" w:rsidR="006D6A1B" w:rsidRDefault="00000000">
            <w:r>
              <w:rPr>
                <w:sz w:val="13"/>
              </w:rPr>
              <w:t>Spiliotis et al. (2022)</w:t>
            </w:r>
          </w:p>
        </w:tc>
        <w:tc>
          <w:tcPr>
            <w:tcW w:w="433" w:type="pct"/>
          </w:tcPr>
          <w:p w14:paraId="3CB0449B" w14:textId="77777777" w:rsidR="006D6A1B" w:rsidRDefault="00000000">
            <w:r>
              <w:rPr>
                <w:sz w:val="13"/>
              </w:rPr>
              <w:t>Grecia</w:t>
            </w:r>
          </w:p>
        </w:tc>
        <w:tc>
          <w:tcPr>
            <w:tcW w:w="625" w:type="pct"/>
          </w:tcPr>
          <w:p w14:paraId="5144B710" w14:textId="77777777" w:rsidR="006D6A1B" w:rsidRDefault="00000000">
            <w:r>
              <w:rPr>
                <w:sz w:val="13"/>
              </w:rPr>
              <w:t>SKU; demanda diaria; ML; métodos estadísticos</w:t>
            </w:r>
          </w:p>
        </w:tc>
        <w:tc>
          <w:tcPr>
            <w:tcW w:w="611" w:type="pct"/>
          </w:tcPr>
          <w:p w14:paraId="542FC8F6" w14:textId="77777777" w:rsidR="006D6A1B" w:rsidRDefault="00000000">
            <w:r>
              <w:rPr>
                <w:sz w:val="13"/>
              </w:rPr>
              <w:t>SKU diarios; series irregulares e intermitentes</w:t>
            </w:r>
          </w:p>
        </w:tc>
        <w:tc>
          <w:tcPr>
            <w:tcW w:w="517" w:type="pct"/>
          </w:tcPr>
          <w:p w14:paraId="483D71A3" w14:textId="77777777" w:rsidR="006D6A1B" w:rsidRDefault="00000000">
            <w:r>
              <w:rPr>
                <w:sz w:val="13"/>
              </w:rPr>
              <w:t>Comparación de métodos estadísticos y ML</w:t>
            </w:r>
          </w:p>
        </w:tc>
        <w:tc>
          <w:tcPr>
            <w:tcW w:w="704" w:type="pct"/>
          </w:tcPr>
          <w:p w14:paraId="783D661C" w14:textId="77777777" w:rsidR="006D6A1B" w:rsidRDefault="00000000">
            <w:r>
              <w:rPr>
                <w:sz w:val="13"/>
              </w:rPr>
              <w:t>La superioridad de ML depende del objetivo y debe verificarse empíricamente.</w:t>
            </w:r>
          </w:p>
        </w:tc>
        <w:tc>
          <w:tcPr>
            <w:tcW w:w="624" w:type="pct"/>
          </w:tcPr>
          <w:p w14:paraId="66832F97" w14:textId="77777777" w:rsidR="006D6A1B" w:rsidRDefault="00000000">
            <w:r>
              <w:rPr>
                <w:sz w:val="13"/>
              </w:rPr>
              <w:t>Datos minoristas con múltiples SKU.</w:t>
            </w:r>
          </w:p>
        </w:tc>
        <w:tc>
          <w:tcPr>
            <w:tcW w:w="957" w:type="pct"/>
          </w:tcPr>
          <w:p w14:paraId="51C59197" w14:textId="77777777" w:rsidR="006D6A1B" w:rsidRDefault="00000000">
            <w:r>
              <w:rPr>
                <w:sz w:val="13"/>
              </w:rPr>
              <w:t>Fundamenta comparar Random Forest, ARIMA y línea base empírica.</w:t>
            </w:r>
          </w:p>
        </w:tc>
      </w:tr>
      <w:tr w:rsidR="006D6A1B" w14:paraId="4F8A21E7" w14:textId="77777777" w:rsidTr="0056449B">
        <w:trPr>
          <w:cantSplit/>
          <w:trHeight w:val="170"/>
        </w:trPr>
        <w:tc>
          <w:tcPr>
            <w:tcW w:w="529" w:type="pct"/>
          </w:tcPr>
          <w:p w14:paraId="7BA8B9F1" w14:textId="77777777" w:rsidR="006D6A1B" w:rsidRDefault="00000000">
            <w:proofErr w:type="spellStart"/>
            <w:r>
              <w:rPr>
                <w:sz w:val="13"/>
              </w:rPr>
              <w:t>Makridakis</w:t>
            </w:r>
            <w:proofErr w:type="spellEnd"/>
            <w:r>
              <w:rPr>
                <w:sz w:val="13"/>
              </w:rPr>
              <w:t xml:space="preserve"> et al. (2018)</w:t>
            </w:r>
          </w:p>
        </w:tc>
        <w:tc>
          <w:tcPr>
            <w:tcW w:w="433" w:type="pct"/>
          </w:tcPr>
          <w:p w14:paraId="12F25AA0" w14:textId="77777777" w:rsidR="006D6A1B" w:rsidRDefault="00000000">
            <w:r>
              <w:rPr>
                <w:sz w:val="13"/>
              </w:rPr>
              <w:t>Internacional</w:t>
            </w:r>
          </w:p>
        </w:tc>
        <w:tc>
          <w:tcPr>
            <w:tcW w:w="625" w:type="pct"/>
          </w:tcPr>
          <w:p w14:paraId="768B5A34"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5B1071ED" w14:textId="77777777" w:rsidR="006D6A1B" w:rsidRDefault="00000000">
            <w:r>
              <w:rPr>
                <w:sz w:val="13"/>
              </w:rPr>
              <w:t>Competencia M4; múltiples series y horizontes</w:t>
            </w:r>
          </w:p>
        </w:tc>
        <w:tc>
          <w:tcPr>
            <w:tcW w:w="517" w:type="pct"/>
          </w:tcPr>
          <w:p w14:paraId="20EF86D0"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20139AC1" w14:textId="77777777" w:rsidR="006D6A1B" w:rsidRDefault="00000000">
            <w:r>
              <w:rPr>
                <w:sz w:val="13"/>
              </w:rPr>
              <w:t>Los modelos complejos no dominan de forma universal.</w:t>
            </w:r>
          </w:p>
        </w:tc>
        <w:tc>
          <w:tcPr>
            <w:tcW w:w="624" w:type="pct"/>
          </w:tcPr>
          <w:p w14:paraId="2B2492A4" w14:textId="77777777" w:rsidR="006D6A1B" w:rsidRDefault="00000000">
            <w:r>
              <w:rPr>
                <w:sz w:val="13"/>
              </w:rPr>
              <w:t>No estudia microempresas ni compras.</w:t>
            </w:r>
          </w:p>
        </w:tc>
        <w:tc>
          <w:tcPr>
            <w:tcW w:w="957" w:type="pct"/>
          </w:tcPr>
          <w:p w14:paraId="351A5DB8" w14:textId="77777777" w:rsidR="006D6A1B" w:rsidRDefault="00000000">
            <w:r>
              <w:rPr>
                <w:sz w:val="13"/>
              </w:rPr>
              <w:t>Sustenta una hipótesis condicional y la evaluación comparativa.</w:t>
            </w:r>
          </w:p>
        </w:tc>
      </w:tr>
      <w:tr w:rsidR="006D6A1B" w14:paraId="0F361F85" w14:textId="77777777" w:rsidTr="0056449B">
        <w:trPr>
          <w:cantSplit/>
          <w:trHeight w:val="170"/>
        </w:trPr>
        <w:tc>
          <w:tcPr>
            <w:tcW w:w="529" w:type="pct"/>
          </w:tcPr>
          <w:p w14:paraId="01436E64" w14:textId="77777777" w:rsidR="006D6A1B" w:rsidRDefault="00000000">
            <w:proofErr w:type="spellStart"/>
            <w:r>
              <w:rPr>
                <w:sz w:val="13"/>
              </w:rPr>
              <w:t>Hewamalage</w:t>
            </w:r>
            <w:proofErr w:type="spellEnd"/>
            <w:r>
              <w:rPr>
                <w:sz w:val="13"/>
              </w:rPr>
              <w:t xml:space="preserve"> et al. (2021)</w:t>
            </w:r>
          </w:p>
        </w:tc>
        <w:tc>
          <w:tcPr>
            <w:tcW w:w="433" w:type="pct"/>
          </w:tcPr>
          <w:p w14:paraId="12EEB325" w14:textId="77777777" w:rsidR="006D6A1B" w:rsidRDefault="00000000">
            <w:r>
              <w:rPr>
                <w:sz w:val="13"/>
              </w:rPr>
              <w:t>Australia</w:t>
            </w:r>
          </w:p>
        </w:tc>
        <w:tc>
          <w:tcPr>
            <w:tcW w:w="625" w:type="pct"/>
          </w:tcPr>
          <w:p w14:paraId="6A5B4A7D" w14:textId="77777777" w:rsidR="006D6A1B" w:rsidRDefault="00000000">
            <w:r>
              <w:rPr>
                <w:sz w:val="13"/>
              </w:rPr>
              <w:t>RNN; series temporales; ARIMA; ETS</w:t>
            </w:r>
          </w:p>
        </w:tc>
        <w:tc>
          <w:tcPr>
            <w:tcW w:w="611" w:type="pct"/>
          </w:tcPr>
          <w:p w14:paraId="4B457DA8" w14:textId="77777777" w:rsidR="006D6A1B" w:rsidRDefault="00000000">
            <w:r>
              <w:rPr>
                <w:sz w:val="13"/>
              </w:rPr>
              <w:t>Series temporales con RNN</w:t>
            </w:r>
          </w:p>
        </w:tc>
        <w:tc>
          <w:tcPr>
            <w:tcW w:w="517" w:type="pct"/>
          </w:tcPr>
          <w:p w14:paraId="43F268E7" w14:textId="77777777" w:rsidR="006D6A1B" w:rsidRDefault="00000000">
            <w:r>
              <w:rPr>
                <w:sz w:val="13"/>
              </w:rPr>
              <w:t>Estudio empírico frente a ETS y ARIMA</w:t>
            </w:r>
          </w:p>
        </w:tc>
        <w:tc>
          <w:tcPr>
            <w:tcW w:w="704" w:type="pct"/>
          </w:tcPr>
          <w:p w14:paraId="45AF3BB6" w14:textId="77777777" w:rsidR="006D6A1B" w:rsidRDefault="00000000">
            <w:r>
              <w:rPr>
                <w:sz w:val="13"/>
              </w:rPr>
              <w:t>Las RNN son competitivas, pero no son soluciones universales.</w:t>
            </w:r>
          </w:p>
        </w:tc>
        <w:tc>
          <w:tcPr>
            <w:tcW w:w="624" w:type="pct"/>
          </w:tcPr>
          <w:p w14:paraId="6E928E21" w14:textId="77777777" w:rsidR="006D6A1B" w:rsidRDefault="00000000">
            <w:r>
              <w:rPr>
                <w:sz w:val="13"/>
              </w:rPr>
              <w:t>No se centra en presupuesto de compras de microempresas.</w:t>
            </w:r>
          </w:p>
        </w:tc>
        <w:tc>
          <w:tcPr>
            <w:tcW w:w="957" w:type="pct"/>
          </w:tcPr>
          <w:p w14:paraId="0763801A" w14:textId="77777777" w:rsidR="006D6A1B" w:rsidRDefault="00000000">
            <w:r>
              <w:rPr>
                <w:sz w:val="13"/>
              </w:rPr>
              <w:t>Justifica reportar RNN/LSTM sin asumir superioridad frente a modelos simples.</w:t>
            </w:r>
          </w:p>
        </w:tc>
      </w:tr>
      <w:tr w:rsidR="006D6A1B" w14:paraId="4B503382" w14:textId="77777777" w:rsidTr="0056449B">
        <w:trPr>
          <w:cantSplit/>
          <w:trHeight w:val="170"/>
        </w:trPr>
        <w:tc>
          <w:tcPr>
            <w:tcW w:w="529" w:type="pct"/>
          </w:tcPr>
          <w:p w14:paraId="2A63DC07" w14:textId="77777777" w:rsidR="006D6A1B" w:rsidRDefault="00000000">
            <w:r>
              <w:rPr>
                <w:sz w:val="13"/>
              </w:rPr>
              <w:t>Giannopoulos et al. (2025)</w:t>
            </w:r>
          </w:p>
        </w:tc>
        <w:tc>
          <w:tcPr>
            <w:tcW w:w="433" w:type="pct"/>
          </w:tcPr>
          <w:p w14:paraId="53FCC08C" w14:textId="77777777" w:rsidR="006D6A1B" w:rsidRDefault="00000000">
            <w:r>
              <w:rPr>
                <w:sz w:val="13"/>
              </w:rPr>
              <w:t>Grecia</w:t>
            </w:r>
          </w:p>
        </w:tc>
        <w:tc>
          <w:tcPr>
            <w:tcW w:w="625" w:type="pct"/>
          </w:tcPr>
          <w:p w14:paraId="2273AA0E" w14:textId="77777777" w:rsidR="006D6A1B" w:rsidRDefault="00000000">
            <w:r>
              <w:rPr>
                <w:sz w:val="13"/>
              </w:rPr>
              <w:t>demanda intermitente; ML; evaluación</w:t>
            </w:r>
          </w:p>
        </w:tc>
        <w:tc>
          <w:tcPr>
            <w:tcW w:w="611" w:type="pct"/>
          </w:tcPr>
          <w:p w14:paraId="4A4FA3D7" w14:textId="77777777" w:rsidR="006D6A1B" w:rsidRDefault="00000000">
            <w:r>
              <w:rPr>
                <w:sz w:val="13"/>
              </w:rPr>
              <w:t>Demanda intermitente en distintas industrias</w:t>
            </w:r>
          </w:p>
        </w:tc>
        <w:tc>
          <w:tcPr>
            <w:tcW w:w="517" w:type="pct"/>
          </w:tcPr>
          <w:p w14:paraId="6C4D5741" w14:textId="77777777" w:rsidR="006D6A1B" w:rsidRDefault="00000000">
            <w:r>
              <w:rPr>
                <w:sz w:val="13"/>
              </w:rPr>
              <w:t>Revisión de ML y protocolos de evaluación</w:t>
            </w:r>
          </w:p>
        </w:tc>
        <w:tc>
          <w:tcPr>
            <w:tcW w:w="704" w:type="pct"/>
          </w:tcPr>
          <w:p w14:paraId="6E1944E2" w14:textId="77777777" w:rsidR="006D6A1B" w:rsidRDefault="00000000">
            <w:r>
              <w:rPr>
                <w:sz w:val="13"/>
              </w:rPr>
              <w:t>La intermitencia exige atención a partición temporal, ajuste y métricas.</w:t>
            </w:r>
          </w:p>
        </w:tc>
        <w:tc>
          <w:tcPr>
            <w:tcW w:w="624" w:type="pct"/>
          </w:tcPr>
          <w:p w14:paraId="5A747E12" w14:textId="77777777" w:rsidR="006D6A1B" w:rsidRDefault="00000000">
            <w:r>
              <w:rPr>
                <w:sz w:val="13"/>
              </w:rPr>
              <w:t>Predomina evidencia de SKU y refacciones.</w:t>
            </w:r>
          </w:p>
        </w:tc>
        <w:tc>
          <w:tcPr>
            <w:tcW w:w="957" w:type="pct"/>
          </w:tcPr>
          <w:p w14:paraId="42156F00" w14:textId="15C7E25C" w:rsidR="006D6A1B" w:rsidRDefault="00000000">
            <w:r>
              <w:rPr>
                <w:sz w:val="13"/>
              </w:rPr>
              <w:t>Sustenta la validación rolling-origin y el uso cauteloso de métricas; small data corresponde a la condición de esta tesis.</w:t>
            </w:r>
          </w:p>
        </w:tc>
      </w:tr>
      <w:tr w:rsidR="006D6A1B" w14:paraId="73CAF7F7" w14:textId="77777777" w:rsidTr="0056449B">
        <w:trPr>
          <w:cantSplit/>
          <w:trHeight w:val="170"/>
        </w:trPr>
        <w:tc>
          <w:tcPr>
            <w:tcW w:w="529" w:type="pct"/>
          </w:tcPr>
          <w:p w14:paraId="5ED4DA44" w14:textId="77777777" w:rsidR="006D6A1B" w:rsidRDefault="00000000">
            <w:r>
              <w:rPr>
                <w:sz w:val="13"/>
              </w:rPr>
              <w:t>Borsato (2023)</w:t>
            </w:r>
          </w:p>
        </w:tc>
        <w:tc>
          <w:tcPr>
            <w:tcW w:w="433" w:type="pct"/>
          </w:tcPr>
          <w:p w14:paraId="26C64CF4" w14:textId="77777777" w:rsidR="006D6A1B" w:rsidRDefault="00000000">
            <w:r>
              <w:rPr>
                <w:sz w:val="13"/>
              </w:rPr>
              <w:t>Italia</w:t>
            </w:r>
          </w:p>
        </w:tc>
        <w:tc>
          <w:tcPr>
            <w:tcW w:w="625" w:type="pct"/>
          </w:tcPr>
          <w:p w14:paraId="2082F5D9" w14:textId="77777777" w:rsidR="006D6A1B" w:rsidRDefault="00000000">
            <w:r>
              <w:rPr>
                <w:sz w:val="13"/>
              </w:rPr>
              <w:t>repostería; estética; personalización</w:t>
            </w:r>
          </w:p>
        </w:tc>
        <w:tc>
          <w:tcPr>
            <w:tcW w:w="611" w:type="pct"/>
          </w:tcPr>
          <w:p w14:paraId="5B1E4B10" w14:textId="77777777" w:rsidR="006D6A1B" w:rsidRDefault="00000000">
            <w:r>
              <w:rPr>
                <w:sz w:val="13"/>
              </w:rPr>
              <w:t>Repostería creativa y valor estético</w:t>
            </w:r>
          </w:p>
        </w:tc>
        <w:tc>
          <w:tcPr>
            <w:tcW w:w="517" w:type="pct"/>
          </w:tcPr>
          <w:p w14:paraId="34329EB9" w14:textId="77777777" w:rsidR="006D6A1B" w:rsidRDefault="00000000">
            <w:r>
              <w:rPr>
                <w:sz w:val="13"/>
              </w:rPr>
              <w:t>Estudio sectorial cualitativo</w:t>
            </w:r>
          </w:p>
        </w:tc>
        <w:tc>
          <w:tcPr>
            <w:tcW w:w="704" w:type="pct"/>
          </w:tcPr>
          <w:p w14:paraId="14FFE6FE" w14:textId="77777777" w:rsidR="006D6A1B" w:rsidRDefault="00000000">
            <w:r>
              <w:rPr>
                <w:sz w:val="13"/>
              </w:rPr>
              <w:t>La personalización distingue a la repostería creativa.</w:t>
            </w:r>
          </w:p>
        </w:tc>
        <w:tc>
          <w:tcPr>
            <w:tcW w:w="624" w:type="pct"/>
          </w:tcPr>
          <w:p w14:paraId="384D5233" w14:textId="77777777" w:rsidR="006D6A1B" w:rsidRDefault="00000000">
            <w:r>
              <w:rPr>
                <w:sz w:val="13"/>
              </w:rPr>
              <w:t>No evalúa pronósticos ni IA.</w:t>
            </w:r>
          </w:p>
        </w:tc>
        <w:tc>
          <w:tcPr>
            <w:tcW w:w="957" w:type="pct"/>
          </w:tcPr>
          <w:p w14:paraId="095743A6" w14:textId="77777777" w:rsidR="006D6A1B" w:rsidRDefault="00000000">
            <w:r>
              <w:rPr>
                <w:sz w:val="13"/>
              </w:rPr>
              <w:t xml:space="preserve">Delimita el contexto de negocio del caso </w:t>
            </w:r>
            <w:proofErr w:type="spellStart"/>
            <w:r w:rsidR="00253ED1" w:rsidRPr="00253ED1">
              <w:rPr>
                <w:i/>
                <w:sz w:val="13"/>
              </w:rPr>
              <w:t>Cup&amp;Cake</w:t>
            </w:r>
            <w:proofErr w:type="spellEnd"/>
            <w:r>
              <w:rPr>
                <w:sz w:val="13"/>
              </w:rPr>
              <w:t>.</w:t>
            </w:r>
          </w:p>
        </w:tc>
      </w:tr>
      <w:tr w:rsidR="006D6A1B" w14:paraId="363A2BAA" w14:textId="77777777" w:rsidTr="0056449B">
        <w:trPr>
          <w:cantSplit/>
          <w:trHeight w:val="170"/>
        </w:trPr>
        <w:tc>
          <w:tcPr>
            <w:tcW w:w="529" w:type="pct"/>
          </w:tcPr>
          <w:p w14:paraId="4C97B591" w14:textId="77777777" w:rsidR="006D6A1B" w:rsidRDefault="00000000">
            <w:r>
              <w:rPr>
                <w:sz w:val="13"/>
              </w:rPr>
              <w:t>Ab Karim et al. (2020)</w:t>
            </w:r>
          </w:p>
        </w:tc>
        <w:tc>
          <w:tcPr>
            <w:tcW w:w="433" w:type="pct"/>
          </w:tcPr>
          <w:p w14:paraId="731D58CF" w14:textId="77777777" w:rsidR="006D6A1B" w:rsidRDefault="00000000">
            <w:r>
              <w:rPr>
                <w:sz w:val="13"/>
              </w:rPr>
              <w:t>Malasia</w:t>
            </w:r>
          </w:p>
        </w:tc>
        <w:tc>
          <w:tcPr>
            <w:tcW w:w="625" w:type="pct"/>
          </w:tcPr>
          <w:p w14:paraId="47E4F4EF" w14:textId="77777777" w:rsidR="006D6A1B" w:rsidRDefault="00000000">
            <w:r>
              <w:rPr>
                <w:sz w:val="13"/>
              </w:rPr>
              <w:t>pastelería; creatividad; experiencia</w:t>
            </w:r>
          </w:p>
        </w:tc>
        <w:tc>
          <w:tcPr>
            <w:tcW w:w="611" w:type="pct"/>
          </w:tcPr>
          <w:p w14:paraId="359558DB" w14:textId="77777777" w:rsidR="006D6A1B" w:rsidRDefault="00000000">
            <w:r>
              <w:rPr>
                <w:sz w:val="13"/>
              </w:rPr>
              <w:t>Pastelería; creatividad y experiencia</w:t>
            </w:r>
          </w:p>
        </w:tc>
        <w:tc>
          <w:tcPr>
            <w:tcW w:w="517" w:type="pct"/>
          </w:tcPr>
          <w:p w14:paraId="3D7E8FD8" w14:textId="77777777" w:rsidR="006D6A1B" w:rsidRDefault="00000000">
            <w:r>
              <w:rPr>
                <w:sz w:val="13"/>
              </w:rPr>
              <w:t>Estudio de retrato/teoría integrada</w:t>
            </w:r>
          </w:p>
        </w:tc>
        <w:tc>
          <w:tcPr>
            <w:tcW w:w="704" w:type="pct"/>
          </w:tcPr>
          <w:p w14:paraId="3B61137B" w14:textId="77777777" w:rsidR="006D6A1B" w:rsidRDefault="00000000">
            <w:r>
              <w:rPr>
                <w:sz w:val="13"/>
              </w:rPr>
              <w:t>La creatividad y personalización influyen en la oferta del sector.</w:t>
            </w:r>
          </w:p>
        </w:tc>
        <w:tc>
          <w:tcPr>
            <w:tcW w:w="624" w:type="pct"/>
          </w:tcPr>
          <w:p w14:paraId="16353080" w14:textId="77777777" w:rsidR="006D6A1B" w:rsidRDefault="00000000">
            <w:r>
              <w:rPr>
                <w:sz w:val="13"/>
              </w:rPr>
              <w:t>No modela demanda.</w:t>
            </w:r>
          </w:p>
        </w:tc>
        <w:tc>
          <w:tcPr>
            <w:tcW w:w="957" w:type="pct"/>
          </w:tcPr>
          <w:p w14:paraId="119257AC" w14:textId="77777777" w:rsidR="006D6A1B" w:rsidRDefault="00000000">
            <w:r>
              <w:rPr>
                <w:sz w:val="13"/>
              </w:rPr>
              <w:t>Apoya la explicación de la variabilidad comercial del caso.</w:t>
            </w:r>
          </w:p>
        </w:tc>
      </w:tr>
      <w:tr w:rsidR="006D6A1B" w14:paraId="08675396" w14:textId="77777777" w:rsidTr="0056449B">
        <w:trPr>
          <w:cantSplit/>
          <w:trHeight w:val="170"/>
        </w:trPr>
        <w:tc>
          <w:tcPr>
            <w:tcW w:w="529" w:type="pct"/>
          </w:tcPr>
          <w:p w14:paraId="70A9EBDA" w14:textId="77777777" w:rsidR="006D6A1B" w:rsidRDefault="00000000">
            <w:r>
              <w:rPr>
                <w:sz w:val="13"/>
              </w:rPr>
              <w:t>Ben Abdallah et al. (2022)</w:t>
            </w:r>
          </w:p>
        </w:tc>
        <w:tc>
          <w:tcPr>
            <w:tcW w:w="433" w:type="pct"/>
          </w:tcPr>
          <w:p w14:paraId="41C9F4E5" w14:textId="77777777" w:rsidR="006D6A1B" w:rsidRDefault="00000000">
            <w:r>
              <w:rPr>
                <w:sz w:val="13"/>
              </w:rPr>
              <w:t>Túnez</w:t>
            </w:r>
          </w:p>
        </w:tc>
        <w:tc>
          <w:tcPr>
            <w:tcW w:w="625" w:type="pct"/>
          </w:tcPr>
          <w:p w14:paraId="7BC4C1D7" w14:textId="77777777" w:rsidR="006D6A1B" w:rsidRDefault="00000000">
            <w:r>
              <w:rPr>
                <w:sz w:val="13"/>
              </w:rPr>
              <w:t>innovación; pastelería; competitividad</w:t>
            </w:r>
          </w:p>
        </w:tc>
        <w:tc>
          <w:tcPr>
            <w:tcW w:w="611" w:type="pct"/>
          </w:tcPr>
          <w:p w14:paraId="464D4E57" w14:textId="77777777" w:rsidR="006D6A1B" w:rsidRDefault="00000000">
            <w:r>
              <w:rPr>
                <w:sz w:val="13"/>
              </w:rPr>
              <w:t>Empresas pasteleras; innovación de producto</w:t>
            </w:r>
          </w:p>
        </w:tc>
        <w:tc>
          <w:tcPr>
            <w:tcW w:w="517" w:type="pct"/>
          </w:tcPr>
          <w:p w14:paraId="1EC3358D" w14:textId="77777777" w:rsidR="006D6A1B" w:rsidRDefault="00000000">
            <w:r>
              <w:rPr>
                <w:sz w:val="13"/>
              </w:rPr>
              <w:t>Estudio exploratorio</w:t>
            </w:r>
          </w:p>
        </w:tc>
        <w:tc>
          <w:tcPr>
            <w:tcW w:w="704" w:type="pct"/>
          </w:tcPr>
          <w:p w14:paraId="41EA22D0" w14:textId="77777777" w:rsidR="006D6A1B" w:rsidRDefault="00000000">
            <w:r>
              <w:rPr>
                <w:sz w:val="13"/>
              </w:rPr>
              <w:t>La innovación favorece desempeño y posicionamiento competitivo.</w:t>
            </w:r>
          </w:p>
        </w:tc>
        <w:tc>
          <w:tcPr>
            <w:tcW w:w="624" w:type="pct"/>
          </w:tcPr>
          <w:p w14:paraId="4E464F11" w14:textId="77777777" w:rsidR="006D6A1B" w:rsidRDefault="00000000">
            <w:r>
              <w:rPr>
                <w:sz w:val="13"/>
              </w:rPr>
              <w:t>No analiza pronóstico ni ML.</w:t>
            </w:r>
          </w:p>
        </w:tc>
        <w:tc>
          <w:tcPr>
            <w:tcW w:w="957" w:type="pct"/>
          </w:tcPr>
          <w:p w14:paraId="7A542048" w14:textId="77777777" w:rsidR="006D6A1B" w:rsidRDefault="00000000">
            <w:r>
              <w:rPr>
                <w:sz w:val="13"/>
              </w:rPr>
              <w:t>Complementa la caracterización del sector de repostería.</w:t>
            </w:r>
          </w:p>
        </w:tc>
      </w:tr>
      <w:tr w:rsidR="006D6A1B" w14:paraId="44A1BC16" w14:textId="77777777" w:rsidTr="0056449B">
        <w:trPr>
          <w:cantSplit/>
          <w:trHeight w:val="170"/>
        </w:trPr>
        <w:tc>
          <w:tcPr>
            <w:tcW w:w="529" w:type="pct"/>
          </w:tcPr>
          <w:p w14:paraId="7EFE447B" w14:textId="77777777" w:rsidR="006D6A1B" w:rsidRDefault="00000000">
            <w:r>
              <w:rPr>
                <w:sz w:val="13"/>
              </w:rPr>
              <w:t>Mikalef et al. (2019)</w:t>
            </w:r>
          </w:p>
        </w:tc>
        <w:tc>
          <w:tcPr>
            <w:tcW w:w="433" w:type="pct"/>
          </w:tcPr>
          <w:p w14:paraId="7B961C37" w14:textId="77777777" w:rsidR="006D6A1B" w:rsidRDefault="00000000">
            <w:r>
              <w:rPr>
                <w:sz w:val="13"/>
              </w:rPr>
              <w:t>Noruega</w:t>
            </w:r>
          </w:p>
        </w:tc>
        <w:tc>
          <w:tcPr>
            <w:tcW w:w="625" w:type="pct"/>
          </w:tcPr>
          <w:p w14:paraId="48C55BC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565F77A7" w14:textId="77777777" w:rsidR="006D6A1B" w:rsidRDefault="00000000">
            <w:r>
              <w:rPr>
                <w:sz w:val="13"/>
              </w:rPr>
              <w:t>Organizaciones orientadas a datos</w:t>
            </w:r>
          </w:p>
        </w:tc>
        <w:tc>
          <w:tcPr>
            <w:tcW w:w="517" w:type="pct"/>
          </w:tcPr>
          <w:p w14:paraId="277E13A4" w14:textId="77777777" w:rsidR="006D6A1B" w:rsidRDefault="00000000">
            <w:r>
              <w:rPr>
                <w:sz w:val="13"/>
              </w:rPr>
              <w:t>Modelo de capacidades analíticas</w:t>
            </w:r>
          </w:p>
        </w:tc>
        <w:tc>
          <w:tcPr>
            <w:tcW w:w="704" w:type="pct"/>
          </w:tcPr>
          <w:p w14:paraId="2AC4497B" w14:textId="77777777" w:rsidR="006D6A1B" w:rsidRDefault="00000000">
            <w:r>
              <w:rPr>
                <w:sz w:val="13"/>
              </w:rPr>
              <w:t>Las capacidades analíticas se relacionan con innovación.</w:t>
            </w:r>
          </w:p>
        </w:tc>
        <w:tc>
          <w:tcPr>
            <w:tcW w:w="624" w:type="pct"/>
          </w:tcPr>
          <w:p w14:paraId="4743B16D" w14:textId="77777777" w:rsidR="006D6A1B" w:rsidRDefault="00000000">
            <w:r>
              <w:rPr>
                <w:sz w:val="13"/>
              </w:rPr>
              <w:t>No se limita a microempresas ni pronóstico.</w:t>
            </w:r>
          </w:p>
        </w:tc>
        <w:tc>
          <w:tcPr>
            <w:tcW w:w="957" w:type="pct"/>
          </w:tcPr>
          <w:p w14:paraId="0AFA6FDA" w14:textId="77777777" w:rsidR="006D6A1B" w:rsidRDefault="00000000">
            <w:r>
              <w:rPr>
                <w:sz w:val="13"/>
              </w:rPr>
              <w:t>Sustenta la adopción de datos como capacidad organizacional.</w:t>
            </w:r>
          </w:p>
        </w:tc>
      </w:tr>
      <w:tr w:rsidR="006D6A1B" w14:paraId="5D988BF2" w14:textId="77777777" w:rsidTr="0056449B">
        <w:trPr>
          <w:cantSplit/>
          <w:trHeight w:val="170"/>
        </w:trPr>
        <w:tc>
          <w:tcPr>
            <w:tcW w:w="529" w:type="pct"/>
          </w:tcPr>
          <w:p w14:paraId="0BB9732F" w14:textId="77777777" w:rsidR="006D6A1B" w:rsidRDefault="00000000">
            <w:r>
              <w:rPr>
                <w:sz w:val="13"/>
              </w:rPr>
              <w:t>Dubey et al. (2021)</w:t>
            </w:r>
          </w:p>
        </w:tc>
        <w:tc>
          <w:tcPr>
            <w:tcW w:w="433" w:type="pct"/>
          </w:tcPr>
          <w:p w14:paraId="648487B9" w14:textId="77777777" w:rsidR="006D6A1B" w:rsidRDefault="00000000">
            <w:r>
              <w:rPr>
                <w:sz w:val="13"/>
              </w:rPr>
              <w:t>Reino Unido / India</w:t>
            </w:r>
          </w:p>
        </w:tc>
        <w:tc>
          <w:tcPr>
            <w:tcW w:w="625" w:type="pct"/>
          </w:tcPr>
          <w:p w14:paraId="4B57A025"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7BA78068" w14:textId="77777777" w:rsidR="006D6A1B" w:rsidRDefault="00000000">
            <w:r>
              <w:rPr>
                <w:sz w:val="13"/>
              </w:rPr>
              <w:t>Manufactura; analítica, IA y desempeño</w:t>
            </w:r>
          </w:p>
        </w:tc>
        <w:tc>
          <w:tcPr>
            <w:tcW w:w="517" w:type="pct"/>
          </w:tcPr>
          <w:p w14:paraId="63F6153B" w14:textId="77777777" w:rsidR="006D6A1B" w:rsidRDefault="00000000">
            <w:r>
              <w:rPr>
                <w:sz w:val="13"/>
              </w:rPr>
              <w:t>Modelo empírico de desempeño operativo</w:t>
            </w:r>
          </w:p>
        </w:tc>
        <w:tc>
          <w:tcPr>
            <w:tcW w:w="704" w:type="pct"/>
          </w:tcPr>
          <w:p w14:paraId="72997796" w14:textId="77777777" w:rsidR="006D6A1B" w:rsidRDefault="00000000">
            <w:r>
              <w:rPr>
                <w:sz w:val="13"/>
              </w:rPr>
              <w:t>El valor de IA depende de capacidades y contexto.</w:t>
            </w:r>
          </w:p>
        </w:tc>
        <w:tc>
          <w:tcPr>
            <w:tcW w:w="624" w:type="pct"/>
          </w:tcPr>
          <w:p w14:paraId="048D98B4" w14:textId="77777777" w:rsidR="006D6A1B" w:rsidRDefault="00000000">
            <w:r>
              <w:rPr>
                <w:sz w:val="13"/>
              </w:rPr>
              <w:t>Contexto industrial.</w:t>
            </w:r>
          </w:p>
        </w:tc>
        <w:tc>
          <w:tcPr>
            <w:tcW w:w="957" w:type="pct"/>
          </w:tcPr>
          <w:p w14:paraId="4727D163" w14:textId="77777777" w:rsidR="006D6A1B" w:rsidRDefault="00000000">
            <w:r>
              <w:rPr>
                <w:sz w:val="13"/>
              </w:rPr>
              <w:t>Refuerza que el DSS es apoyo y no garantía automática de desempeño.</w:t>
            </w:r>
          </w:p>
        </w:tc>
      </w:tr>
      <w:tr w:rsidR="006D6A1B" w14:paraId="3334CE80" w14:textId="77777777" w:rsidTr="0056449B">
        <w:trPr>
          <w:cantSplit/>
          <w:trHeight w:val="170"/>
        </w:trPr>
        <w:tc>
          <w:tcPr>
            <w:tcW w:w="529" w:type="pct"/>
          </w:tcPr>
          <w:p w14:paraId="403D999B" w14:textId="77777777" w:rsidR="006D6A1B" w:rsidRDefault="00000000">
            <w:proofErr w:type="spellStart"/>
            <w:r>
              <w:rPr>
                <w:sz w:val="13"/>
              </w:rPr>
              <w:t>Aprodu</w:t>
            </w:r>
            <w:proofErr w:type="spellEnd"/>
            <w:r>
              <w:rPr>
                <w:sz w:val="13"/>
              </w:rPr>
              <w:t xml:space="preserve"> et al. (2025)</w:t>
            </w:r>
          </w:p>
        </w:tc>
        <w:tc>
          <w:tcPr>
            <w:tcW w:w="433" w:type="pct"/>
          </w:tcPr>
          <w:p w14:paraId="163AAF38" w14:textId="77777777" w:rsidR="006D6A1B" w:rsidRDefault="00000000">
            <w:r>
              <w:rPr>
                <w:sz w:val="13"/>
              </w:rPr>
              <w:t>Rumania</w:t>
            </w:r>
          </w:p>
        </w:tc>
        <w:tc>
          <w:tcPr>
            <w:tcW w:w="625" w:type="pct"/>
          </w:tcPr>
          <w:p w14:paraId="6460BE00" w14:textId="77777777" w:rsidR="006D6A1B" w:rsidRDefault="00000000">
            <w:r>
              <w:rPr>
                <w:sz w:val="13"/>
              </w:rPr>
              <w:t>panadería; Industria 4.0; digitalización</w:t>
            </w:r>
          </w:p>
        </w:tc>
        <w:tc>
          <w:tcPr>
            <w:tcW w:w="611" w:type="pct"/>
          </w:tcPr>
          <w:p w14:paraId="6E65EADA" w14:textId="77777777" w:rsidR="006D6A1B" w:rsidRDefault="00000000">
            <w:r>
              <w:rPr>
                <w:sz w:val="13"/>
              </w:rPr>
              <w:t>Sector panadero e Industria 4.0</w:t>
            </w:r>
          </w:p>
        </w:tc>
        <w:tc>
          <w:tcPr>
            <w:tcW w:w="517" w:type="pct"/>
          </w:tcPr>
          <w:p w14:paraId="56EF99C4" w14:textId="77777777" w:rsidR="006D6A1B" w:rsidRDefault="00000000">
            <w:r>
              <w:rPr>
                <w:sz w:val="13"/>
              </w:rPr>
              <w:t>Revisión sistemática</w:t>
            </w:r>
          </w:p>
        </w:tc>
        <w:tc>
          <w:tcPr>
            <w:tcW w:w="704" w:type="pct"/>
          </w:tcPr>
          <w:p w14:paraId="40EAD5AF" w14:textId="77777777" w:rsidR="006D6A1B" w:rsidRDefault="00000000">
            <w:r>
              <w:rPr>
                <w:sz w:val="13"/>
              </w:rPr>
              <w:t>La digitalización integra datos y automatización en panadería.</w:t>
            </w:r>
          </w:p>
        </w:tc>
        <w:tc>
          <w:tcPr>
            <w:tcW w:w="624" w:type="pct"/>
          </w:tcPr>
          <w:p w14:paraId="0C14807B" w14:textId="77777777" w:rsidR="006D6A1B" w:rsidRDefault="00000000">
            <w:r>
              <w:rPr>
                <w:sz w:val="13"/>
              </w:rPr>
              <w:t>Evidencia sectorial heterogénea.</w:t>
            </w:r>
          </w:p>
        </w:tc>
        <w:tc>
          <w:tcPr>
            <w:tcW w:w="957" w:type="pct"/>
          </w:tcPr>
          <w:p w14:paraId="0991A35D" w14:textId="77777777" w:rsidR="006D6A1B" w:rsidRDefault="00000000">
            <w:r>
              <w:rPr>
                <w:sz w:val="13"/>
              </w:rPr>
              <w:t>Apoya la pertinencia de digitalizar ventas y compras del caso.</w:t>
            </w:r>
          </w:p>
        </w:tc>
      </w:tr>
      <w:tr w:rsidR="006D6A1B" w14:paraId="10D948C1" w14:textId="77777777" w:rsidTr="0056449B">
        <w:trPr>
          <w:cantSplit/>
          <w:trHeight w:val="170"/>
        </w:trPr>
        <w:tc>
          <w:tcPr>
            <w:tcW w:w="529" w:type="pct"/>
          </w:tcPr>
          <w:p w14:paraId="0BE2C252" w14:textId="77777777" w:rsidR="006D6A1B" w:rsidRDefault="00000000">
            <w:r>
              <w:rPr>
                <w:sz w:val="13"/>
              </w:rPr>
              <w:t>Valdez-Juárez et al. (2018)</w:t>
            </w:r>
          </w:p>
        </w:tc>
        <w:tc>
          <w:tcPr>
            <w:tcW w:w="433" w:type="pct"/>
          </w:tcPr>
          <w:p w14:paraId="154571A6" w14:textId="77777777" w:rsidR="006D6A1B" w:rsidRDefault="00000000">
            <w:r>
              <w:rPr>
                <w:sz w:val="13"/>
              </w:rPr>
              <w:t>México</w:t>
            </w:r>
          </w:p>
        </w:tc>
        <w:tc>
          <w:tcPr>
            <w:tcW w:w="625" w:type="pct"/>
          </w:tcPr>
          <w:p w14:paraId="2425A714" w14:textId="77777777" w:rsidR="006D6A1B" w:rsidRDefault="00000000">
            <w:r>
              <w:rPr>
                <w:sz w:val="13"/>
              </w:rPr>
              <w:t>TIC; gestión del conocimiento; innovación; rentabilidad</w:t>
            </w:r>
          </w:p>
        </w:tc>
        <w:tc>
          <w:tcPr>
            <w:tcW w:w="611" w:type="pct"/>
          </w:tcPr>
          <w:p w14:paraId="53875F77" w14:textId="77777777" w:rsidR="006D6A1B" w:rsidRDefault="00000000">
            <w:r>
              <w:rPr>
                <w:sz w:val="13"/>
              </w:rPr>
              <w:t>412 PYMES industriales y de servicios del noroeste de México</w:t>
            </w:r>
          </w:p>
        </w:tc>
        <w:tc>
          <w:tcPr>
            <w:tcW w:w="517" w:type="pct"/>
          </w:tcPr>
          <w:p w14:paraId="0B6630B9" w14:textId="77777777" w:rsidR="006D6A1B" w:rsidRDefault="00000000">
            <w:r>
              <w:rPr>
                <w:sz w:val="13"/>
              </w:rPr>
              <w:t>Encuesta y modelado PLS-SEM</w:t>
            </w:r>
          </w:p>
        </w:tc>
        <w:tc>
          <w:tcPr>
            <w:tcW w:w="704" w:type="pct"/>
          </w:tcPr>
          <w:p w14:paraId="6A67F089" w14:textId="77777777" w:rsidR="006D6A1B" w:rsidRDefault="00000000">
            <w:r>
              <w:rPr>
                <w:sz w:val="13"/>
              </w:rPr>
              <w:t>Las TIC se relacionan con la gestión del conocimiento, la innovación y la rentabilidad.</w:t>
            </w:r>
          </w:p>
        </w:tc>
        <w:tc>
          <w:tcPr>
            <w:tcW w:w="624" w:type="pct"/>
          </w:tcPr>
          <w:p w14:paraId="3083B4FA" w14:textId="77777777" w:rsidR="006D6A1B" w:rsidRDefault="00000000">
            <w:r>
              <w:rPr>
                <w:sz w:val="13"/>
              </w:rPr>
              <w:t>No evalúa IA ni pronósticos.</w:t>
            </w:r>
          </w:p>
        </w:tc>
        <w:tc>
          <w:tcPr>
            <w:tcW w:w="957" w:type="pct"/>
          </w:tcPr>
          <w:p w14:paraId="47C2A24D" w14:textId="77777777" w:rsidR="006D6A1B" w:rsidRDefault="00000000">
            <w:r>
              <w:rPr>
                <w:sz w:val="13"/>
              </w:rPr>
              <w:t>Aporta contexto nacional sobre capacidades digitales y desempeño empresarial.</w:t>
            </w:r>
          </w:p>
        </w:tc>
      </w:tr>
      <w:tr w:rsidR="006D6A1B" w14:paraId="34860F8B" w14:textId="77777777" w:rsidTr="0056449B">
        <w:trPr>
          <w:cantSplit/>
          <w:trHeight w:val="170"/>
        </w:trPr>
        <w:tc>
          <w:tcPr>
            <w:tcW w:w="529" w:type="pct"/>
          </w:tcPr>
          <w:p w14:paraId="7AC8D359" w14:textId="77777777" w:rsidR="006D6A1B" w:rsidRDefault="00000000">
            <w:r>
              <w:rPr>
                <w:sz w:val="13"/>
              </w:rPr>
              <w:t>Cuevas-Vargas et al. (2016)</w:t>
            </w:r>
          </w:p>
        </w:tc>
        <w:tc>
          <w:tcPr>
            <w:tcW w:w="433" w:type="pct"/>
          </w:tcPr>
          <w:p w14:paraId="0561093A" w14:textId="77777777" w:rsidR="006D6A1B" w:rsidRDefault="00000000">
            <w:r>
              <w:rPr>
                <w:sz w:val="13"/>
              </w:rPr>
              <w:t>México</w:t>
            </w:r>
          </w:p>
        </w:tc>
        <w:tc>
          <w:tcPr>
            <w:tcW w:w="625" w:type="pct"/>
          </w:tcPr>
          <w:p w14:paraId="76ABAE57" w14:textId="77777777" w:rsidR="006D6A1B" w:rsidRDefault="00000000">
            <w:r>
              <w:rPr>
                <w:sz w:val="13"/>
              </w:rPr>
              <w:t>TIC; PYMES; innovación</w:t>
            </w:r>
          </w:p>
        </w:tc>
        <w:tc>
          <w:tcPr>
            <w:tcW w:w="611" w:type="pct"/>
          </w:tcPr>
          <w:p w14:paraId="334C2941" w14:textId="77777777" w:rsidR="006D6A1B" w:rsidRDefault="00000000">
            <w:r>
              <w:rPr>
                <w:sz w:val="13"/>
              </w:rPr>
              <w:t>PYMES mexicanas; TIC y desempeño</w:t>
            </w:r>
          </w:p>
        </w:tc>
        <w:tc>
          <w:tcPr>
            <w:tcW w:w="517" w:type="pct"/>
          </w:tcPr>
          <w:p w14:paraId="0BD780F4" w14:textId="77777777" w:rsidR="006D6A1B" w:rsidRDefault="00000000">
            <w:r>
              <w:rPr>
                <w:sz w:val="13"/>
              </w:rPr>
              <w:t>Estudio cuantitativo</w:t>
            </w:r>
          </w:p>
        </w:tc>
        <w:tc>
          <w:tcPr>
            <w:tcW w:w="704" w:type="pct"/>
          </w:tcPr>
          <w:p w14:paraId="657AB80D" w14:textId="77777777" w:rsidR="006D6A1B" w:rsidRDefault="00000000">
            <w:r>
              <w:rPr>
                <w:sz w:val="13"/>
              </w:rPr>
              <w:t>Las TIC favorecen la innovación y el desempeño organizacional.</w:t>
            </w:r>
          </w:p>
        </w:tc>
        <w:tc>
          <w:tcPr>
            <w:tcW w:w="624" w:type="pct"/>
          </w:tcPr>
          <w:p w14:paraId="2FF3B965" w14:textId="77777777" w:rsidR="006D6A1B" w:rsidRDefault="00000000">
            <w:r>
              <w:rPr>
                <w:sz w:val="13"/>
              </w:rPr>
              <w:t>No incorpora ML.</w:t>
            </w:r>
          </w:p>
        </w:tc>
        <w:tc>
          <w:tcPr>
            <w:tcW w:w="957" w:type="pct"/>
          </w:tcPr>
          <w:p w14:paraId="341C1608" w14:textId="77777777" w:rsidR="006D6A1B" w:rsidRDefault="00000000">
            <w:r>
              <w:rPr>
                <w:sz w:val="13"/>
              </w:rPr>
              <w:t>Sustenta el antecedente mexicano de digitalización.</w:t>
            </w:r>
          </w:p>
        </w:tc>
      </w:tr>
      <w:tr w:rsidR="006D6A1B" w14:paraId="6D5B1A5D" w14:textId="77777777" w:rsidTr="0056449B">
        <w:trPr>
          <w:cantSplit/>
          <w:trHeight w:val="170"/>
        </w:trPr>
        <w:tc>
          <w:tcPr>
            <w:tcW w:w="529" w:type="pct"/>
          </w:tcPr>
          <w:p w14:paraId="160F0AC9" w14:textId="77777777" w:rsidR="006D6A1B" w:rsidRDefault="00000000">
            <w:r>
              <w:rPr>
                <w:sz w:val="13"/>
              </w:rPr>
              <w:lastRenderedPageBreak/>
              <w:t>Maldonado-Guzmán y Garza-Reyes (2020)</w:t>
            </w:r>
          </w:p>
        </w:tc>
        <w:tc>
          <w:tcPr>
            <w:tcW w:w="433" w:type="pct"/>
          </w:tcPr>
          <w:p w14:paraId="5A1D78D7" w14:textId="77777777" w:rsidR="006D6A1B" w:rsidRDefault="00000000">
            <w:r>
              <w:rPr>
                <w:sz w:val="13"/>
              </w:rPr>
              <w:t>México</w:t>
            </w:r>
          </w:p>
        </w:tc>
        <w:tc>
          <w:tcPr>
            <w:tcW w:w="625" w:type="pct"/>
          </w:tcPr>
          <w:p w14:paraId="37B1B64F" w14:textId="77777777" w:rsidR="006D6A1B" w:rsidRDefault="00000000">
            <w:r>
              <w:rPr>
                <w:sz w:val="13"/>
              </w:rPr>
              <w:t>ecoinnovación; adopción; industria automotriz</w:t>
            </w:r>
          </w:p>
        </w:tc>
        <w:tc>
          <w:tcPr>
            <w:tcW w:w="611" w:type="pct"/>
          </w:tcPr>
          <w:p w14:paraId="37ABC53F" w14:textId="77777777" w:rsidR="006D6A1B" w:rsidRDefault="00000000">
            <w:r>
              <w:rPr>
                <w:sz w:val="13"/>
              </w:rPr>
              <w:t>Empresas del sector automotriz</w:t>
            </w:r>
          </w:p>
        </w:tc>
        <w:tc>
          <w:tcPr>
            <w:tcW w:w="517" w:type="pct"/>
          </w:tcPr>
          <w:p w14:paraId="53BAE5D7" w14:textId="77777777" w:rsidR="006D6A1B" w:rsidRDefault="00000000">
            <w:r>
              <w:rPr>
                <w:sz w:val="13"/>
              </w:rPr>
              <w:t>Estudio empírico de adopción de prácticas de ecoinnovación</w:t>
            </w:r>
          </w:p>
        </w:tc>
        <w:tc>
          <w:tcPr>
            <w:tcW w:w="704" w:type="pct"/>
          </w:tcPr>
          <w:p w14:paraId="44104EC9" w14:textId="77777777" w:rsidR="006D6A1B" w:rsidRDefault="00000000">
            <w:r>
              <w:rPr>
                <w:sz w:val="13"/>
              </w:rPr>
              <w:t>Analiza la adopción de innovaciones tecnológicas y organizacionales en un contexto industrial.</w:t>
            </w:r>
          </w:p>
        </w:tc>
        <w:tc>
          <w:tcPr>
            <w:tcW w:w="624" w:type="pct"/>
          </w:tcPr>
          <w:p w14:paraId="40AB3B27" w14:textId="77777777" w:rsidR="006D6A1B" w:rsidRDefault="00000000">
            <w:r>
              <w:rPr>
                <w:sz w:val="13"/>
              </w:rPr>
              <w:t>No estudia transformación digital, IA ni pronósticos en microempresas.</w:t>
            </w:r>
          </w:p>
        </w:tc>
        <w:tc>
          <w:tcPr>
            <w:tcW w:w="957" w:type="pct"/>
          </w:tcPr>
          <w:p w14:paraId="0409219C" w14:textId="77777777" w:rsidR="006D6A1B" w:rsidRDefault="00000000">
            <w:r>
              <w:rPr>
                <w:sz w:val="13"/>
              </w:rPr>
              <w:t>Aporta un antecedente mexicano sobre adopción de innovación, con alcance sectorial delimitado.</w:t>
            </w:r>
          </w:p>
        </w:tc>
      </w:tr>
      <w:tr w:rsidR="006D6A1B" w14:paraId="4129D01C" w14:textId="77777777" w:rsidTr="0056449B">
        <w:trPr>
          <w:cantSplit/>
          <w:trHeight w:val="170"/>
        </w:trPr>
        <w:tc>
          <w:tcPr>
            <w:tcW w:w="529" w:type="pct"/>
          </w:tcPr>
          <w:p w14:paraId="5B0F4091" w14:textId="77777777" w:rsidR="006D6A1B" w:rsidRDefault="00000000">
            <w:r>
              <w:rPr>
                <w:sz w:val="13"/>
              </w:rPr>
              <w:t>Saavedra-García y Tapia-Sánchez (2020)</w:t>
            </w:r>
          </w:p>
        </w:tc>
        <w:tc>
          <w:tcPr>
            <w:tcW w:w="433" w:type="pct"/>
          </w:tcPr>
          <w:p w14:paraId="732CF255" w14:textId="77777777" w:rsidR="006D6A1B" w:rsidRDefault="00000000">
            <w:r>
              <w:rPr>
                <w:sz w:val="13"/>
              </w:rPr>
              <w:t>México</w:t>
            </w:r>
          </w:p>
        </w:tc>
        <w:tc>
          <w:tcPr>
            <w:tcW w:w="625" w:type="pct"/>
          </w:tcPr>
          <w:p w14:paraId="1E59AA28" w14:textId="77777777" w:rsidR="006D6A1B" w:rsidRDefault="00000000">
            <w:r>
              <w:rPr>
                <w:sz w:val="13"/>
              </w:rPr>
              <w:t>TIC; PYMES; competitividad</w:t>
            </w:r>
          </w:p>
        </w:tc>
        <w:tc>
          <w:tcPr>
            <w:tcW w:w="611" w:type="pct"/>
          </w:tcPr>
          <w:p w14:paraId="70E17CFF" w14:textId="77777777" w:rsidR="006D6A1B" w:rsidRDefault="00000000">
            <w:r>
              <w:rPr>
                <w:sz w:val="13"/>
              </w:rPr>
              <w:t>PYMES mexicanas; adopción de TIC</w:t>
            </w:r>
          </w:p>
        </w:tc>
        <w:tc>
          <w:tcPr>
            <w:tcW w:w="517" w:type="pct"/>
          </w:tcPr>
          <w:p w14:paraId="158532E2" w14:textId="77777777" w:rsidR="006D6A1B" w:rsidRDefault="00000000">
            <w:r>
              <w:rPr>
                <w:sz w:val="13"/>
              </w:rPr>
              <w:t>Análisis de adopción tecnológica</w:t>
            </w:r>
          </w:p>
        </w:tc>
        <w:tc>
          <w:tcPr>
            <w:tcW w:w="704" w:type="pct"/>
          </w:tcPr>
          <w:p w14:paraId="31FDBF7A" w14:textId="77777777" w:rsidR="006D6A1B" w:rsidRDefault="00000000">
            <w:r>
              <w:rPr>
                <w:sz w:val="13"/>
              </w:rPr>
              <w:t>Las restricciones financieras y de talento limitan la adopción.</w:t>
            </w:r>
          </w:p>
        </w:tc>
        <w:tc>
          <w:tcPr>
            <w:tcW w:w="624" w:type="pct"/>
          </w:tcPr>
          <w:p w14:paraId="6EA767B6" w14:textId="77777777" w:rsidR="006D6A1B" w:rsidRDefault="00000000">
            <w:r>
              <w:rPr>
                <w:sz w:val="13"/>
              </w:rPr>
              <w:t>Enfoque descriptivo.</w:t>
            </w:r>
          </w:p>
        </w:tc>
        <w:tc>
          <w:tcPr>
            <w:tcW w:w="957" w:type="pct"/>
          </w:tcPr>
          <w:p w14:paraId="27429A65" w14:textId="77777777" w:rsidR="006D6A1B" w:rsidRDefault="00000000">
            <w:r>
              <w:rPr>
                <w:sz w:val="13"/>
              </w:rPr>
              <w:t>Respalda la pertinencia de una solución reproducible y accesible.</w:t>
            </w:r>
          </w:p>
        </w:tc>
      </w:tr>
      <w:tr w:rsidR="006D6A1B" w14:paraId="6F8F0438" w14:textId="77777777" w:rsidTr="0056449B">
        <w:trPr>
          <w:cantSplit/>
          <w:trHeight w:val="170"/>
        </w:trPr>
        <w:tc>
          <w:tcPr>
            <w:tcW w:w="529" w:type="pct"/>
          </w:tcPr>
          <w:p w14:paraId="7C219D95" w14:textId="77777777" w:rsidR="006D6A1B" w:rsidRDefault="00000000">
            <w:r>
              <w:rPr>
                <w:sz w:val="13"/>
              </w:rPr>
              <w:t>Romero-Hidalgo et al. (2021)</w:t>
            </w:r>
          </w:p>
        </w:tc>
        <w:tc>
          <w:tcPr>
            <w:tcW w:w="433" w:type="pct"/>
          </w:tcPr>
          <w:p w14:paraId="30A74E0C" w14:textId="77777777" w:rsidR="006D6A1B" w:rsidRDefault="00000000">
            <w:r>
              <w:rPr>
                <w:sz w:val="13"/>
              </w:rPr>
              <w:t>México</w:t>
            </w:r>
          </w:p>
        </w:tc>
        <w:tc>
          <w:tcPr>
            <w:tcW w:w="625" w:type="pct"/>
          </w:tcPr>
          <w:p w14:paraId="1D69F203" w14:textId="77777777" w:rsidR="006D6A1B" w:rsidRDefault="00000000">
            <w:r>
              <w:rPr>
                <w:sz w:val="13"/>
              </w:rPr>
              <w:t>gestión del conocimiento; innovación; datos</w:t>
            </w:r>
          </w:p>
        </w:tc>
        <w:tc>
          <w:tcPr>
            <w:tcW w:w="611" w:type="pct"/>
          </w:tcPr>
          <w:p w14:paraId="047613CB" w14:textId="77777777" w:rsidR="006D6A1B" w:rsidRDefault="00000000">
            <w:r>
              <w:rPr>
                <w:sz w:val="13"/>
              </w:rPr>
              <w:t>Pequeñas empresas; conocimiento e innovación</w:t>
            </w:r>
          </w:p>
        </w:tc>
        <w:tc>
          <w:tcPr>
            <w:tcW w:w="517" w:type="pct"/>
          </w:tcPr>
          <w:p w14:paraId="40E1F6C9" w14:textId="77777777" w:rsidR="006D6A1B" w:rsidRDefault="00000000">
            <w:r>
              <w:rPr>
                <w:sz w:val="13"/>
              </w:rPr>
              <w:t>Modelo de gestión del conocimiento</w:t>
            </w:r>
          </w:p>
        </w:tc>
        <w:tc>
          <w:tcPr>
            <w:tcW w:w="704" w:type="pct"/>
          </w:tcPr>
          <w:p w14:paraId="37C56505" w14:textId="77777777" w:rsidR="006D6A1B" w:rsidRDefault="00000000">
            <w:r>
              <w:rPr>
                <w:sz w:val="13"/>
              </w:rPr>
              <w:t>El uso de datos favorece la innovación organizacional.</w:t>
            </w:r>
          </w:p>
        </w:tc>
        <w:tc>
          <w:tcPr>
            <w:tcW w:w="624" w:type="pct"/>
          </w:tcPr>
          <w:p w14:paraId="2AC14F27" w14:textId="77777777" w:rsidR="006D6A1B" w:rsidRDefault="00000000">
            <w:r>
              <w:rPr>
                <w:sz w:val="13"/>
              </w:rPr>
              <w:t>No evalúa precisión predictiva.</w:t>
            </w:r>
          </w:p>
        </w:tc>
        <w:tc>
          <w:tcPr>
            <w:tcW w:w="957" w:type="pct"/>
          </w:tcPr>
          <w:p w14:paraId="550658F1" w14:textId="77777777" w:rsidR="006D6A1B" w:rsidRDefault="00000000">
            <w:r>
              <w:rPr>
                <w:sz w:val="13"/>
              </w:rPr>
              <w:t>Complementa el valor de formalizar registros dispersos.</w:t>
            </w:r>
          </w:p>
        </w:tc>
      </w:tr>
      <w:tr w:rsidR="006D6A1B" w14:paraId="0E0E646A" w14:textId="77777777" w:rsidTr="0056449B">
        <w:trPr>
          <w:cantSplit/>
          <w:trHeight w:val="170"/>
        </w:trPr>
        <w:tc>
          <w:tcPr>
            <w:tcW w:w="529" w:type="pct"/>
          </w:tcPr>
          <w:p w14:paraId="5CA1BD0C" w14:textId="77777777" w:rsidR="006D6A1B" w:rsidRDefault="00000000">
            <w:r>
              <w:rPr>
                <w:sz w:val="13"/>
              </w:rPr>
              <w:t>Poveda-Valverde y Fierro Barragán (2026)</w:t>
            </w:r>
          </w:p>
        </w:tc>
        <w:tc>
          <w:tcPr>
            <w:tcW w:w="433" w:type="pct"/>
          </w:tcPr>
          <w:p w14:paraId="43DE53FE" w14:textId="77777777" w:rsidR="006D6A1B" w:rsidRDefault="00000000">
            <w:r>
              <w:rPr>
                <w:sz w:val="13"/>
              </w:rPr>
              <w:t>Ecuador / América Latina</w:t>
            </w:r>
          </w:p>
        </w:tc>
        <w:tc>
          <w:tcPr>
            <w:tcW w:w="625" w:type="pct"/>
          </w:tcPr>
          <w:p w14:paraId="434920EC" w14:textId="77777777" w:rsidR="006D6A1B" w:rsidRDefault="00000000">
            <w:r>
              <w:rPr>
                <w:sz w:val="13"/>
              </w:rPr>
              <w:t>IA; PYMES; adopción; barreras</w:t>
            </w:r>
          </w:p>
        </w:tc>
        <w:tc>
          <w:tcPr>
            <w:tcW w:w="611" w:type="pct"/>
          </w:tcPr>
          <w:p w14:paraId="6780DBEB" w14:textId="77777777" w:rsidR="006D6A1B" w:rsidRDefault="00000000">
            <w:r>
              <w:rPr>
                <w:sz w:val="13"/>
              </w:rPr>
              <w:t>PYMES latinoamericanas; adopción de IA</w:t>
            </w:r>
          </w:p>
        </w:tc>
        <w:tc>
          <w:tcPr>
            <w:tcW w:w="517" w:type="pct"/>
          </w:tcPr>
          <w:p w14:paraId="5581AC93" w14:textId="77777777" w:rsidR="006D6A1B" w:rsidRDefault="00000000">
            <w:r>
              <w:rPr>
                <w:sz w:val="13"/>
              </w:rPr>
              <w:t>Revisión sistemática</w:t>
            </w:r>
          </w:p>
        </w:tc>
        <w:tc>
          <w:tcPr>
            <w:tcW w:w="704" w:type="pct"/>
          </w:tcPr>
          <w:p w14:paraId="6AC653F3" w14:textId="77777777" w:rsidR="006D6A1B" w:rsidRDefault="00000000">
            <w:r>
              <w:rPr>
                <w:sz w:val="13"/>
              </w:rPr>
              <w:t>Persisten barreras de infraestructura, presupuesto y talento; las aplicaciones revisadas abarcan distintas actividades empresariales.</w:t>
            </w:r>
          </w:p>
        </w:tc>
        <w:tc>
          <w:tcPr>
            <w:tcW w:w="624" w:type="pct"/>
          </w:tcPr>
          <w:p w14:paraId="558F753B" w14:textId="77777777" w:rsidR="006D6A1B" w:rsidRDefault="00000000">
            <w:r>
              <w:rPr>
                <w:sz w:val="13"/>
              </w:rPr>
              <w:t>No se centra en microempresas de repostería.</w:t>
            </w:r>
          </w:p>
        </w:tc>
        <w:tc>
          <w:tcPr>
            <w:tcW w:w="957" w:type="pct"/>
          </w:tcPr>
          <w:p w14:paraId="7B913E42" w14:textId="77777777" w:rsidR="006D6A1B" w:rsidRDefault="00000000">
            <w:r>
              <w:rPr>
                <w:sz w:val="13"/>
              </w:rPr>
              <w:t>Refuerza el vacío regional identificado por esta revisión y la necesidad de evidencia aplicada en microempresas.</w:t>
            </w:r>
          </w:p>
        </w:tc>
      </w:tr>
      <w:tr w:rsidR="004113EE" w14:paraId="3AB10B08" w14:textId="77777777" w:rsidTr="0056449B">
        <w:trPr>
          <w:cantSplit/>
          <w:trHeight w:val="170"/>
        </w:trPr>
        <w:tc>
          <w:tcPr>
            <w:tcW w:w="529" w:type="pct"/>
          </w:tcPr>
          <w:p w14:paraId="592EE27D" w14:textId="77777777" w:rsidR="004113EE" w:rsidRDefault="004113EE" w:rsidP="004113EE">
            <w:pPr>
              <w:rPr>
                <w:sz w:val="13"/>
              </w:rPr>
            </w:pPr>
            <w:r w:rsidRPr="004113EE">
              <w:rPr>
                <w:sz w:val="13"/>
              </w:rPr>
              <w:t>Hyndman y Athanasopoulos (2021)</w:t>
            </w:r>
          </w:p>
        </w:tc>
        <w:tc>
          <w:tcPr>
            <w:tcW w:w="433" w:type="pct"/>
          </w:tcPr>
          <w:p w14:paraId="76B3C726" w14:textId="77777777" w:rsidR="004113EE" w:rsidRDefault="004113EE" w:rsidP="004113EE">
            <w:pPr>
              <w:rPr>
                <w:sz w:val="13"/>
              </w:rPr>
            </w:pPr>
            <w:r w:rsidRPr="004113EE">
              <w:rPr>
                <w:sz w:val="13"/>
              </w:rPr>
              <w:t>Australia</w:t>
            </w:r>
          </w:p>
        </w:tc>
        <w:tc>
          <w:tcPr>
            <w:tcW w:w="625" w:type="pct"/>
          </w:tcPr>
          <w:p w14:paraId="69EBF2AA" w14:textId="77777777" w:rsidR="004113EE" w:rsidRDefault="004113EE" w:rsidP="004113EE">
            <w:pPr>
              <w:rPr>
                <w:sz w:val="13"/>
              </w:rPr>
            </w:pPr>
            <w:r w:rsidRPr="004113EE">
              <w:rPr>
                <w:sz w:val="13"/>
              </w:rPr>
              <w:t>series temporales; diagnóstico; pronóstico; validación.</w:t>
            </w:r>
          </w:p>
        </w:tc>
        <w:tc>
          <w:tcPr>
            <w:tcW w:w="611" w:type="pct"/>
          </w:tcPr>
          <w:p w14:paraId="1BC95953" w14:textId="77777777" w:rsidR="004113EE" w:rsidRDefault="004113EE" w:rsidP="004113EE">
            <w:pPr>
              <w:rPr>
                <w:sz w:val="13"/>
              </w:rPr>
            </w:pPr>
            <w:r w:rsidRPr="004113EE">
              <w:rPr>
                <w:sz w:val="13"/>
              </w:rPr>
              <w:t>Ejemplos de series reales de distintos sectores</w:t>
            </w:r>
          </w:p>
        </w:tc>
        <w:tc>
          <w:tcPr>
            <w:tcW w:w="517" w:type="pct"/>
          </w:tcPr>
          <w:p w14:paraId="16747868" w14:textId="77777777" w:rsidR="004113EE" w:rsidRDefault="004113EE" w:rsidP="004113EE">
            <w:pPr>
              <w:rPr>
                <w:sz w:val="13"/>
              </w:rPr>
            </w:pPr>
            <w:r w:rsidRPr="004113EE">
              <w:rPr>
                <w:sz w:val="13"/>
              </w:rPr>
              <w:t>Libro metodológico con aplicaciones en R</w:t>
            </w:r>
          </w:p>
        </w:tc>
        <w:tc>
          <w:tcPr>
            <w:tcW w:w="704" w:type="pct"/>
          </w:tcPr>
          <w:p w14:paraId="0D3BEA8D"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4EA1E29D" w14:textId="77777777" w:rsidR="004113EE" w:rsidRDefault="004113EE" w:rsidP="004113EE">
            <w:pPr>
              <w:rPr>
                <w:sz w:val="13"/>
              </w:rPr>
            </w:pPr>
            <w:r w:rsidRPr="004113EE">
              <w:rPr>
                <w:sz w:val="13"/>
              </w:rPr>
              <w:t>No estudia compras de microempresas.</w:t>
            </w:r>
          </w:p>
        </w:tc>
        <w:tc>
          <w:tcPr>
            <w:tcW w:w="957" w:type="pct"/>
          </w:tcPr>
          <w:p w14:paraId="337F6E23" w14:textId="77777777" w:rsidR="004113EE" w:rsidRDefault="004113EE" w:rsidP="004113EE">
            <w:pPr>
              <w:rPr>
                <w:sz w:val="13"/>
              </w:rPr>
            </w:pPr>
            <w:r w:rsidRPr="004113EE">
              <w:rPr>
                <w:sz w:val="13"/>
              </w:rPr>
              <w:t>Sustenta el diagnóstico temporal y la evaluación fuera de muestra.</w:t>
            </w:r>
          </w:p>
        </w:tc>
      </w:tr>
      <w:tr w:rsidR="004113EE" w14:paraId="0DC285E0" w14:textId="77777777" w:rsidTr="0056449B">
        <w:trPr>
          <w:cantSplit/>
          <w:trHeight w:val="170"/>
        </w:trPr>
        <w:tc>
          <w:tcPr>
            <w:tcW w:w="529" w:type="pct"/>
          </w:tcPr>
          <w:p w14:paraId="35011556"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059C5F82" w14:textId="77777777" w:rsidR="004113EE" w:rsidRDefault="004113EE" w:rsidP="004113EE">
            <w:pPr>
              <w:rPr>
                <w:sz w:val="13"/>
              </w:rPr>
            </w:pPr>
            <w:r w:rsidRPr="004113EE">
              <w:rPr>
                <w:sz w:val="13"/>
              </w:rPr>
              <w:t>Reino Unido</w:t>
            </w:r>
          </w:p>
        </w:tc>
        <w:tc>
          <w:tcPr>
            <w:tcW w:w="625" w:type="pct"/>
          </w:tcPr>
          <w:p w14:paraId="5B08BAD8" w14:textId="77777777" w:rsidR="004113EE" w:rsidRDefault="004113EE" w:rsidP="004113EE">
            <w:pPr>
              <w:rPr>
                <w:sz w:val="13"/>
              </w:rPr>
            </w:pPr>
            <w:r w:rsidRPr="004113EE">
              <w:rPr>
                <w:sz w:val="13"/>
              </w:rPr>
              <w:t>demanda intermitente; Croston; SBA; precisión</w:t>
            </w:r>
          </w:p>
        </w:tc>
        <w:tc>
          <w:tcPr>
            <w:tcW w:w="611" w:type="pct"/>
          </w:tcPr>
          <w:p w14:paraId="78F4C848" w14:textId="77777777" w:rsidR="004113EE" w:rsidRDefault="004113EE" w:rsidP="004113EE">
            <w:pPr>
              <w:rPr>
                <w:sz w:val="13"/>
              </w:rPr>
            </w:pPr>
            <w:r w:rsidRPr="004113EE">
              <w:rPr>
                <w:sz w:val="13"/>
              </w:rPr>
              <w:t>Industria automotriz; 3,000 series intermitentes</w:t>
            </w:r>
          </w:p>
        </w:tc>
        <w:tc>
          <w:tcPr>
            <w:tcW w:w="517" w:type="pct"/>
          </w:tcPr>
          <w:p w14:paraId="61B46DDC" w14:textId="77777777" w:rsidR="004113EE" w:rsidRDefault="004113EE" w:rsidP="004113EE">
            <w:pPr>
              <w:rPr>
                <w:sz w:val="13"/>
              </w:rPr>
            </w:pPr>
            <w:r w:rsidRPr="004113EE">
              <w:rPr>
                <w:sz w:val="13"/>
              </w:rPr>
              <w:t>Comparación de cuatro métodos y simulación</w:t>
            </w:r>
          </w:p>
        </w:tc>
        <w:tc>
          <w:tcPr>
            <w:tcW w:w="704" w:type="pct"/>
          </w:tcPr>
          <w:p w14:paraId="61E78CED" w14:textId="77777777" w:rsidR="004113EE" w:rsidRDefault="004113EE" w:rsidP="004113EE">
            <w:pPr>
              <w:rPr>
                <w:sz w:val="13"/>
              </w:rPr>
            </w:pPr>
            <w:r w:rsidRPr="004113EE">
              <w:rPr>
                <w:sz w:val="13"/>
              </w:rPr>
              <w:t>La modificación de Croston mejora la precisión en las series evaluadas.</w:t>
            </w:r>
          </w:p>
        </w:tc>
        <w:tc>
          <w:tcPr>
            <w:tcW w:w="624" w:type="pct"/>
          </w:tcPr>
          <w:p w14:paraId="0B16518B" w14:textId="77777777" w:rsidR="004113EE" w:rsidRDefault="004113EE" w:rsidP="004113EE">
            <w:pPr>
              <w:rPr>
                <w:sz w:val="13"/>
              </w:rPr>
            </w:pPr>
            <w:r w:rsidRPr="004113EE">
              <w:rPr>
                <w:sz w:val="13"/>
              </w:rPr>
              <w:t>No compara ML ni estudia microempresas alimentarias.</w:t>
            </w:r>
          </w:p>
        </w:tc>
        <w:tc>
          <w:tcPr>
            <w:tcW w:w="957" w:type="pct"/>
          </w:tcPr>
          <w:p w14:paraId="7242F51E" w14:textId="77777777" w:rsidR="004113EE" w:rsidRDefault="004113EE" w:rsidP="004113EE">
            <w:pPr>
              <w:rPr>
                <w:sz w:val="13"/>
              </w:rPr>
            </w:pPr>
            <w:r w:rsidRPr="004113EE">
              <w:rPr>
                <w:sz w:val="13"/>
              </w:rPr>
              <w:t xml:space="preserve">Fundamenta incluir Croston-SBA y métricas compatibles con </w:t>
            </w:r>
            <w:proofErr w:type="gramStart"/>
            <w:r w:rsidRPr="004113EE">
              <w:rPr>
                <w:sz w:val="13"/>
              </w:rPr>
              <w:t>ceros..</w:t>
            </w:r>
            <w:proofErr w:type="gramEnd"/>
          </w:p>
        </w:tc>
      </w:tr>
    </w:tbl>
    <w:p w14:paraId="7A968D28"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7CB22CDE"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5A702BDF" w14:textId="77777777" w:rsidR="00CF0519" w:rsidRDefault="00691DC4">
      <w:r>
        <w:t xml:space="preserve">La literatura revisada destaca el potencial de los modelos híbridos y las combinaciones de métodos para mejorar la precisión del pronóstico. </w:t>
      </w:r>
      <w:r w:rsidRPr="00253ED1">
        <w:rPr>
          <w:b/>
          <w:bCs/>
          <w:highlight w:val="yellow"/>
        </w:rPr>
        <w:t>Makridakis et al. (2018)</w:t>
      </w:r>
      <w:r w:rsidRPr="00253ED1">
        <w:rPr>
          <w:highlight w:val="yellow"/>
        </w:rPr>
        <w:t xml:space="preserve"> identificaron en la competencia M4 resultados destacados mediante la integración de componentes estadísticos y de aprendizaje automático</w:t>
      </w:r>
      <w:r>
        <w:t>. Por su parte,</w:t>
      </w:r>
      <w:r w:rsidRPr="00253ED1">
        <w:rPr>
          <w:b/>
          <w:bCs/>
        </w:rPr>
        <w:t xml:space="preserve"> </w:t>
      </w:r>
      <w:r w:rsidRPr="00253ED1">
        <w:rPr>
          <w:b/>
          <w:bCs/>
          <w:highlight w:val="yellow"/>
        </w:rPr>
        <w:t xml:space="preserve">Abrar et al. (2024) </w:t>
      </w:r>
      <w:r w:rsidRPr="00253ED1">
        <w:rPr>
          <w:highlight w:val="yellow"/>
        </w:rPr>
        <w:t>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1C4FE12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w:t>
      </w:r>
      <w:r w:rsidR="00253ED1">
        <w:rPr>
          <w:b/>
          <w:bCs/>
          <w:highlight w:val="yellow"/>
        </w:rPr>
        <w:t xml:space="preserve"> </w:t>
      </w:r>
      <w:r w:rsidRPr="0078774C">
        <w:rPr>
          <w:b/>
          <w:bCs/>
          <w:highlight w:val="yellow"/>
        </w:rPr>
        <w:t>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3F7D7886"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4B8580F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xml:space="preserve">. La distribución se fundamentará en la composición histórica de las compras y su variación temporal, y permitirá </w:t>
      </w:r>
      <w:r>
        <w:lastRenderedPageBreak/>
        <w:t>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5BB1B78F"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00253ED1" w:rsidRPr="00253ED1">
        <w:rPr>
          <w:i/>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4BDBC064"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48709531" w14:textId="77777777" w:rsidR="00CF0519" w:rsidRDefault="00691DC4">
      <w:r>
        <w:rPr>
          <w:highlight w:val="yellow"/>
        </w:rPr>
        <w:t>Góngora Chonillo (2023) aborda la evaluación del riesgo financiero en microempresas mediante inteligencia artificial. Esta referencia sustenta la relevancia de analizar información financiera en empresas pequeñas, pero no demuestra afirmaciones generales sobre variabilidad de la demanda, inventarios o gestión de la cadena de suministro.</w:t>
      </w:r>
    </w:p>
    <w:p w14:paraId="221862FA" w14:textId="77777777" w:rsidR="00CF0519" w:rsidRDefault="00691DC4">
      <w:r>
        <w:t>En empresas del sector alimentario, la perecibilidad y la variación de la demanda vuelven relevante coordinar compras, producción e inventarios. Los pronósticos aportan información para la planeación, pero no eliminan la incertidumbre ni determinan por sí solos los costos o faltantes de inventario (Hyndman &amp; Athanasopoulos, 2021). En esta tesis, los efectos financieros y operativos se mantendrán separados de las métricas de precisión predictiva.</w:t>
      </w:r>
    </w:p>
    <w:p w14:paraId="1C99D30F" w14:textId="77777777" w:rsidR="00CF0519" w:rsidRDefault="00691DC4">
      <w:r>
        <w:rPr>
          <w:highlight w:val="green"/>
        </w:rPr>
        <w:t xml:space="preserve">En el ámbito latinoamericano, la adopción de soluciones basadas en inteligencia artificial por parte de las PYMES enfrenta barreras de infraestructura, presupuesto y talento especializado. </w:t>
      </w:r>
      <w:r>
        <w:rPr>
          <w:highlight w:val="green"/>
        </w:rPr>
        <w:lastRenderedPageBreak/>
        <w:t>Estas condiciones limitan la transferencia directa de aplicaciones desarrolladas en organizaciones con mayores capacidades tecnológicas (Poveda-Valverde &amp; Fierro Barragán, 2026).</w:t>
      </w:r>
    </w:p>
    <w:p w14:paraId="5442AFC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1D5F4502" w14:textId="77777777" w:rsidR="00CF0519" w:rsidRDefault="00691DC4">
      <w:r>
        <w:t>La incorporación de analítica avanzada e inteligencia artificial se relaciona con capacidades organizacionales y orientación estratégica hacia la innovación (Dubey et al., 2021). En las PYMES latinoamericanas también intervienen restricciones de infraestructura, presupuesto y talento especializado (Poveda-Valverde &amp; Fierro Barragán, 2026). Estas condiciones deben considerarse al valorar la adopción tecnológica en una microempresa.</w:t>
      </w:r>
    </w:p>
    <w:p w14:paraId="6AE72907" w14:textId="77777777" w:rsidR="00CF0519" w:rsidRDefault="00691DC4">
      <w:r>
        <w:t>Consideradas conjuntamente, las fuentes muestran que las capacidades analíticas influyen en el aprovechamiento de los datos y que las PYMES latinoamericanas enfrentan barreras de adopción (Mikalef et al., 2019; Poveda-Valverde &amp; Fierro Barragán, 2026). Esta síntesis justifica evaluar la aplicabilidad de las herramientas en empresas de menor escala, sin presentarla como un resultado textual de una sola publicación ni anticipar efectos antes de la evaluación empírica.</w:t>
      </w:r>
    </w:p>
    <w:p w14:paraId="411DE070" w14:textId="77777777" w:rsidR="00CF0519" w:rsidRDefault="00691DC4">
      <w:pPr>
        <w:rPr>
          <w:b/>
          <w:bCs/>
        </w:rPr>
      </w:pPr>
      <w:r>
        <w:t>La revisión efectuada no identificó estudios directamente comparables que integren, en una microempresa, el pronóstico semanal del importe de compras y la distribución del presupuesto entre insumos. Esta observación se entiende como resultado de la búsqueda realizada y no como evidencia de ausencia total de investigaciones sobre el tema.</w:t>
      </w:r>
    </w:p>
    <w:p w14:paraId="3237FBEF"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8C8D219" w14:textId="77777777" w:rsidR="00CF0519" w:rsidRDefault="00691DC4">
      <w:r>
        <w:t>En una microempresa, la experiencia del propietario puede concentrar parte del conocimiento utilizado para decidir. Para el caso analizado, la investigación deberá documentar qué decisiones se apoyan en registros y cuáles dependen de conocimiento no formalizado, sin generalizar esta condición a todas las MIPYMES ni atribuirla a una fuente que estudia organizaciones basadas en conocimiento.</w:t>
      </w:r>
    </w:p>
    <w:p w14:paraId="3B30CD7E" w14:textId="77777777" w:rsidR="00CF0519" w:rsidRDefault="00253ED1">
      <w:proofErr w:type="spellStart"/>
      <w:r w:rsidRPr="00253ED1">
        <w:rPr>
          <w:i/>
        </w:rPr>
        <w:t>Cup&amp;Cake</w:t>
      </w:r>
      <w:proofErr w:type="spellEnd"/>
      <w:r w:rsidR="00691DC4">
        <w:t xml:space="preserve">, es una empresa </w:t>
      </w:r>
      <w:r>
        <w:t xml:space="preserve">mexicana </w:t>
      </w:r>
      <w:r w:rsidR="00691DC4">
        <w:t xml:space="preserve">fundada en 2014, </w:t>
      </w:r>
      <w:r w:rsidR="00691DC4">
        <w:rPr>
          <w:highlight w:val="magenta"/>
        </w:rPr>
        <w:t>con más de diez años de operación</w:t>
      </w:r>
      <w:r w:rsidR="00691DC4">
        <w:t xml:space="preserve"> el crecimiento orgánico le ha permitido subsistir gracias a las </w:t>
      </w:r>
      <w:r w:rsidR="00503DDF">
        <w:rPr>
          <w:highlight w:val="magenta"/>
        </w:rPr>
        <w:t>compras</w:t>
      </w:r>
      <w:r w:rsidR="00691DC4">
        <w:rPr>
          <w:highlight w:val="magenta"/>
        </w:rPr>
        <w:t xml:space="preserve"> que actualmente se realizan </w:t>
      </w:r>
      <w:r w:rsidR="00503DDF">
        <w:rPr>
          <w:highlight w:val="magenta"/>
        </w:rPr>
        <w:t xml:space="preserve">con </w:t>
      </w:r>
      <w:r w:rsidR="00691DC4">
        <w:rPr>
          <w:highlight w:val="magenta"/>
        </w:rPr>
        <w:t>base en el empirismo del empresario</w:t>
      </w:r>
      <w:r>
        <w:t xml:space="preserve">, </w:t>
      </w:r>
      <w:r w:rsidR="00691DC4">
        <w:t xml:space="preserve">ya que lo único que conoce son las fechas de eventos importantes como el Día de San Valentín (14 de febrero), el día del niño (30 de abril), el día de la madre (10 de mayo), entre otros que son los picos de venta que año con año se repiten. </w:t>
      </w:r>
    </w:p>
    <w:p w14:paraId="5A482E64" w14:textId="77777777" w:rsidR="00CF0519" w:rsidRDefault="00691DC4">
      <w:r>
        <w:t xml:space="preserve">Con el paso del tiempo, </w:t>
      </w:r>
      <w:proofErr w:type="spellStart"/>
      <w:r w:rsidR="00253ED1" w:rsidRPr="00253ED1">
        <w:rPr>
          <w:i/>
        </w:rP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1E28A772" w14:textId="77777777" w:rsidR="00CF0519" w:rsidRDefault="00691DC4">
      <w:r>
        <w:t xml:space="preserve">El reto de </w:t>
      </w:r>
      <w:proofErr w:type="spellStart"/>
      <w:r w:rsidR="00253ED1" w:rsidRPr="00253ED1">
        <w:rPr>
          <w:i/>
        </w:rPr>
        <w:t>Cup&amp;Cake</w:t>
      </w:r>
      <w:proofErr w:type="spellEnd"/>
      <w:r>
        <w:t xml:space="preserve"> es fortalecer la planeación semanal del presupuesto de abastecimiento. Para ello, requiere estimar al inicio de cada semana el importe probable de compra</w:t>
      </w:r>
      <w:r w:rsidR="00503DDF">
        <w:t xml:space="preserve"> semanal</w:t>
      </w:r>
      <w:r w:rsidR="00253ED1">
        <w:t>,</w:t>
      </w:r>
      <w:r w:rsidR="00503DDF">
        <w:t xml:space="preserve"> así como la distribución entre los principales insumos</w:t>
      </w:r>
      <w:r>
        <w:t>, considerando el comportamiento histórico, las fechas comerciales y las variables exógenas disponibles.</w:t>
      </w:r>
    </w:p>
    <w:p w14:paraId="18AC7039"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2A59E9D7"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566C9A3F"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 xml:space="preserve">para </w:t>
      </w:r>
      <w:r w:rsidRPr="00F4529E">
        <w:rPr>
          <w:highlight w:val="cyan"/>
        </w:rPr>
        <w:lastRenderedPageBreak/>
        <w:t>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1F66451F" w14:textId="77777777" w:rsidR="00CF0519" w:rsidRDefault="00691DC4">
      <w:pPr>
        <w:pStyle w:val="Ttulo3"/>
        <w:numPr>
          <w:ilvl w:val="2"/>
          <w:numId w:val="19"/>
        </w:numPr>
      </w:pPr>
      <w:bookmarkStart w:id="30" w:name="_Toc233383571"/>
      <w:bookmarkStart w:id="31" w:name="_Toc240207709"/>
      <w:r>
        <w:t>Objetivo</w:t>
      </w:r>
      <w:bookmarkEnd w:id="30"/>
      <w:bookmarkEnd w:id="31"/>
    </w:p>
    <w:p w14:paraId="31766EC2" w14:textId="77777777" w:rsidR="00CF0519" w:rsidRDefault="00691DC4">
      <w:pPr>
        <w:pStyle w:val="Ttulo4"/>
      </w:pPr>
      <w:r>
        <w:t xml:space="preserve">Objetivo general </w:t>
      </w:r>
    </w:p>
    <w:p w14:paraId="2783E0AB"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094ED1F2" w14:textId="77777777" w:rsidR="00CF0519" w:rsidRDefault="00691DC4">
      <w:pPr>
        <w:pStyle w:val="Ttulo4"/>
      </w:pPr>
      <w:r>
        <w:t>Objetivos específicos</w:t>
      </w:r>
    </w:p>
    <w:p w14:paraId="2FD8F1E1"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30C40AB9"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6BDC27B5"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77EC360C"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BE26EC2" w14:textId="77777777" w:rsidR="00CF0519" w:rsidRDefault="00691DC4">
      <w:pPr>
        <w:pStyle w:val="Ttulo2"/>
        <w:numPr>
          <w:ilvl w:val="1"/>
          <w:numId w:val="19"/>
        </w:numPr>
      </w:pPr>
      <w:bookmarkStart w:id="32" w:name="_Toc233383572"/>
      <w:bookmarkStart w:id="33" w:name="_Toc240207710"/>
      <w:r>
        <w:lastRenderedPageBreak/>
        <w:t>Justificación</w:t>
      </w:r>
      <w:bookmarkEnd w:id="32"/>
      <w:bookmarkEnd w:id="33"/>
    </w:p>
    <w:p w14:paraId="78BFE0D0" w14:textId="77777777" w:rsidR="00CF0519" w:rsidRDefault="00691DC4" w:rsidP="006E6E40">
      <w:pPr>
        <w:pStyle w:val="Ttulo4"/>
        <w:numPr>
          <w:ilvl w:val="1"/>
          <w:numId w:val="57"/>
        </w:numPr>
      </w:pPr>
      <w:r>
        <w:t>Relevancia social</w:t>
      </w:r>
    </w:p>
    <w:p w14:paraId="742091AE" w14:textId="77777777" w:rsidR="00CF0519" w:rsidRDefault="00691DC4">
      <w:r>
        <w:rPr>
          <w:highlight w:val="green"/>
        </w:rPr>
        <w:t>Poveda-Valverde y Fierro Barragán (2026) documentan restricciones de infraestructura, presupuesto y talento especializado que pueden dificultar la adopción de soluciones basadas en datos en PYMES latinoamericanas. A partir de ese contexto, esta investigación evaluará herramientas de pronóstico semanal con la información disponible en una microempresa y valorará su pertinencia de acuerdo con sus capacidades operativas. Esta última decisión corresponde al diseño del estudio.</w:t>
      </w:r>
    </w:p>
    <w:p w14:paraId="2081C5CF" w14:textId="77777777" w:rsidR="00CF0519" w:rsidRDefault="00691DC4">
      <w:r w:rsidRPr="006E6E40">
        <w:rPr>
          <w:highlight w:val="green"/>
        </w:rPr>
        <w:t xml:space="preserve">En </w:t>
      </w:r>
      <w:proofErr w:type="spellStart"/>
      <w:r w:rsidR="00253ED1" w:rsidRPr="00253ED1">
        <w:rPr>
          <w:i/>
          <w:iCs/>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2D8E6AF2" w14:textId="77777777" w:rsidR="00CF0519" w:rsidRDefault="00691DC4" w:rsidP="006E6E40">
      <w:pPr>
        <w:pStyle w:val="Ttulo4"/>
        <w:numPr>
          <w:ilvl w:val="1"/>
          <w:numId w:val="57"/>
        </w:numPr>
      </w:pPr>
      <w:r>
        <w:t>Conveniencia</w:t>
      </w:r>
    </w:p>
    <w:p w14:paraId="4BA98A19" w14:textId="77777777" w:rsidR="00CF0519" w:rsidRDefault="00691DC4">
      <w:r>
        <w:t xml:space="preserve">El estudio </w:t>
      </w:r>
      <w:r w:rsidRPr="00F643C9">
        <w:rPr>
          <w:highlight w:val="green"/>
        </w:rPr>
        <w:t xml:space="preserve">atiende una necesidad operativa concreta de </w:t>
      </w:r>
      <w:proofErr w:type="spellStart"/>
      <w:r w:rsidR="00253ED1" w:rsidRPr="00253ED1">
        <w:rPr>
          <w:i/>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4223C629" w14:textId="77777777" w:rsidR="00CF0519" w:rsidRDefault="00691DC4">
      <w:r>
        <w:t xml:space="preserve">Se comparará la precisión del modelo híbrido con la de modelos de referencia mediante validación temporal de ventana deslizante. Este contraste permitirá determinar si la integración de métodos estadísticos y aprendizaje automático aporta mejoras en el pronóstico frente a alternativas más sencillas, sin presuponer la superioridad de una mayor complejidad algorítmica </w:t>
      </w:r>
      <w:r w:rsidRPr="00253ED1">
        <w:rPr>
          <w:b/>
          <w:bCs/>
        </w:rPr>
        <w:t>(Makridakis et al., 2018; Spiliotis et al., 2022)</w:t>
      </w:r>
      <w:r>
        <w:t>.</w:t>
      </w:r>
    </w:p>
    <w:p w14:paraId="7175EE01" w14:textId="77777777" w:rsidR="00CF0519" w:rsidRDefault="00691DC4" w:rsidP="006E6E40">
      <w:pPr>
        <w:pStyle w:val="Ttulo4"/>
        <w:numPr>
          <w:ilvl w:val="1"/>
          <w:numId w:val="57"/>
        </w:numPr>
      </w:pPr>
      <w:r>
        <w:lastRenderedPageBreak/>
        <w:t>Valor teórico</w:t>
      </w:r>
    </w:p>
    <w:p w14:paraId="543897C5"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1A2340B4"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5575EE97" w14:textId="77777777" w:rsidR="00CF0519" w:rsidRDefault="00691DC4" w:rsidP="006E6E40">
      <w:pPr>
        <w:pStyle w:val="Ttulo4"/>
        <w:numPr>
          <w:ilvl w:val="1"/>
          <w:numId w:val="57"/>
        </w:numPr>
      </w:pPr>
      <w:r>
        <w:t>Implicaciones prácticas</w:t>
      </w:r>
    </w:p>
    <w:p w14:paraId="284EEF59" w14:textId="77777777" w:rsidR="00CF0519" w:rsidRDefault="00691DC4">
      <w:r>
        <w:t xml:space="preserve">Se propone </w:t>
      </w:r>
      <w:r w:rsidRPr="00A5044E">
        <w:rPr>
          <w:highlight w:val="green"/>
        </w:rPr>
        <w:t xml:space="preserve">desarrollar para </w:t>
      </w:r>
      <w:proofErr w:type="spellStart"/>
      <w:r w:rsidR="00253ED1" w:rsidRPr="00253ED1">
        <w:rPr>
          <w:i/>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7740F0A9" w14:textId="77777777" w:rsidR="00CF0519" w:rsidRDefault="00691DC4">
      <w:r w:rsidRPr="00FB2B47">
        <w:rPr>
          <w:highlight w:val="green"/>
        </w:rPr>
        <w:t xml:space="preserve">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w:t>
      </w:r>
      <w:r w:rsidRPr="00FB2B47">
        <w:rPr>
          <w:highlight w:val="green"/>
        </w:rPr>
        <w:lastRenderedPageBreak/>
        <w:t>posibles beneficios operativos dependerán de los resultados obtenidos y de su posterior aplicación en la empresa.</w:t>
      </w:r>
    </w:p>
    <w:p w14:paraId="115D809A"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00253ED1" w:rsidRPr="00253ED1">
        <w:rPr>
          <w:i/>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4B1B5B80" w14:textId="77777777" w:rsidR="00CF0519" w:rsidRDefault="00691DC4">
      <w:pPr>
        <w:pStyle w:val="Ttulo2"/>
        <w:numPr>
          <w:ilvl w:val="1"/>
          <w:numId w:val="19"/>
        </w:numPr>
      </w:pPr>
      <w:bookmarkStart w:id="34" w:name="_Toc233383573"/>
      <w:bookmarkStart w:id="35" w:name="_Toc240207711"/>
      <w:r>
        <w:t>Hipótesis</w:t>
      </w:r>
      <w:bookmarkEnd w:id="34"/>
      <w:bookmarkEnd w:id="35"/>
    </w:p>
    <w:p w14:paraId="7392293E" w14:textId="77777777" w:rsidR="00CF0519" w:rsidRDefault="00691DC4" w:rsidP="006E6E40">
      <w:pPr>
        <w:pStyle w:val="Ttulo4"/>
        <w:numPr>
          <w:ilvl w:val="1"/>
          <w:numId w:val="57"/>
        </w:numPr>
      </w:pPr>
      <w:r>
        <w:t>Hipótesis de investigación (H1)</w:t>
      </w:r>
    </w:p>
    <w:p w14:paraId="4945375E"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00253ED1" w:rsidRPr="00253ED1">
        <w:rPr>
          <w:i/>
        </w:rPr>
        <w:t>Cup&amp;Cake</w:t>
      </w:r>
      <w:proofErr w:type="spellEnd"/>
      <w:r w:rsidRPr="00FB1AAA">
        <w:t>, utilizando información disponible al momento del pronóstico y los mismos periodos y horizontes de evaluación.</w:t>
      </w:r>
    </w:p>
    <w:p w14:paraId="7F69F71F" w14:textId="77777777" w:rsidR="00CF0519" w:rsidRDefault="00CF0519">
      <w:pPr>
        <w:rPr>
          <w:strike/>
        </w:rPr>
      </w:pPr>
    </w:p>
    <w:p w14:paraId="1F3A68A2"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ECCD8CF" w14:textId="77777777" w:rsidR="00962FA0" w:rsidRDefault="00000000">
      <w:pPr>
        <w:spacing w:before="0" w:after="120"/>
      </w:pPr>
      <w:r>
        <w:rPr>
          <w:color w:val="000000"/>
        </w:rPr>
        <w:t>El presente marco teórico desarrolla los fundamentos conceptuales y matemáticos de una propuesta híbrida para pronosticar el importe total semanal de compras y su distribución porcentual entre los principales insumos de Cup&amp;Cake. Se revisan la planeación del presupuesto de abastecimiento, las series temporales semanales, los métodos estadísticos y de aprendizaje automático, las estrategias de integración, el análisis composicional y la evaluación fuera de muestra. Las referencias específicas se presentan en los apartados donde se desarrolla cada concepto.</w:t>
      </w:r>
    </w:p>
    <w:p w14:paraId="33A63B64"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0B413C08"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0A8A412" w14:textId="77777777" w:rsidR="00962FA0" w:rsidRDefault="00000000">
      <w:pPr>
        <w:spacing w:before="0" w:after="120"/>
      </w:pPr>
      <w:r>
        <w:rPr>
          <w:color w:val="000000"/>
        </w:rPr>
        <w:t>Las empresas pequeñas presentan condiciones heterogéneas de digitalización</w:t>
      </w:r>
      <w:r w:rsidR="00052EAB">
        <w:rPr>
          <w:color w:val="000000"/>
        </w:rPr>
        <w:t xml:space="preserve"> (OCD</w:t>
      </w:r>
      <w:r w:rsidR="00C95B8B">
        <w:rPr>
          <w:color w:val="000000"/>
        </w:rPr>
        <w:t>E</w:t>
      </w:r>
      <w:r w:rsidR="00052EAB">
        <w:rPr>
          <w:color w:val="000000"/>
        </w:rPr>
        <w:t>,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sidR="00253ED1" w:rsidRPr="00253ED1">
        <w:rPr>
          <w:i/>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40AB23F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Como criterio del estudio, se distinguirán los hechos documentados de las expectativas y se conservará la fecha en que cada dato estuvo disponible.</w:t>
      </w:r>
    </w:p>
    <w:p w14:paraId="008FF4B5" w14:textId="77777777" w:rsidR="00962FA0" w:rsidRDefault="00000000">
      <w:pPr>
        <w:pStyle w:val="Ttulo3"/>
        <w:numPr>
          <w:ilvl w:val="2"/>
          <w:numId w:val="19"/>
        </w:numPr>
        <w:spacing w:before="240" w:line="300" w:lineRule="auto"/>
        <w:jc w:val="left"/>
      </w:pPr>
      <w:bookmarkStart w:id="40" w:name="_Toc240207715"/>
      <w:r>
        <w:lastRenderedPageBreak/>
        <w:t>Pronóstico como información para decidir</w:t>
      </w:r>
      <w:bookmarkEnd w:id="40"/>
    </w:p>
    <w:p w14:paraId="2DAB70CA" w14:textId="77777777" w:rsidR="00962FA0" w:rsidRDefault="00000000">
      <w:pPr>
        <w:spacing w:before="0" w:after="120"/>
      </w:pPr>
      <w:r>
        <w:rPr>
          <w:color w:val="000000"/>
        </w:rPr>
        <w:t xml:space="preserve">Un pronóstico puntual resume una distribución de resultados posibles. </w:t>
      </w:r>
      <w:r w:rsidRPr="00C95B8B">
        <w:rPr>
          <w:color w:val="000000"/>
          <w:highlight w:val="yellow"/>
        </w:rPr>
        <w:t>Bajo pérdida cuadrática, el valor que minimiza el error esperado es la media condicional</w:t>
      </w:r>
      <w:r>
        <w:rPr>
          <w:color w:val="000000"/>
        </w:rPr>
        <w:t>. La ecuación (1)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859874F" w14:textId="77777777">
        <w:trPr>
          <w:cantSplit/>
        </w:trPr>
        <w:tc>
          <w:tcPr>
            <w:tcW w:w="753" w:type="dxa"/>
          </w:tcPr>
          <w:p w14:paraId="2512AF3B" w14:textId="77777777" w:rsidR="00962FA0" w:rsidRDefault="00962FA0">
            <w:pPr>
              <w:keepNext/>
              <w:spacing w:before="80" w:after="80" w:line="240" w:lineRule="auto"/>
              <w:jc w:val="center"/>
            </w:pPr>
          </w:p>
        </w:tc>
        <w:tc>
          <w:tcPr>
            <w:tcW w:w="8456" w:type="dxa"/>
          </w:tcPr>
          <w:p w14:paraId="58D9321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1F63F277" w14:textId="77777777" w:rsidR="00962FA0" w:rsidRDefault="00000000">
            <w:pPr>
              <w:keepNext/>
              <w:spacing w:before="80" w:after="80" w:line="240" w:lineRule="auto"/>
              <w:jc w:val="right"/>
            </w:pPr>
            <w:bookmarkStart w:id="41" w:name="MT_media"/>
            <w:bookmarkEnd w:id="41"/>
            <w:r>
              <w:rPr>
                <w:color w:val="000000"/>
              </w:rPr>
              <w:t>(</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7DA8D7DC" w14:textId="77777777" w:rsidR="00962FA0" w:rsidRDefault="00000000" w:rsidP="00C95B8B">
      <w:pPr>
        <w:spacing w:after="120"/>
      </w:pPr>
      <w:r>
        <w:rPr>
          <w:color w:val="000000"/>
        </w:rPr>
        <w:t xml:space="preserve">En esta notación, </w:t>
      </w:r>
      <w:r w:rsidRPr="00954E69">
        <w:rPr>
          <w:i/>
          <w:iCs/>
          <w:color w:val="000000"/>
        </w:rPr>
        <w:t>y</w:t>
      </w:r>
      <w:r>
        <w:rPr>
          <w:color w:val="000000"/>
        </w:rPr>
        <w:t xml:space="preserve"> representa el importe semanal observado, </w:t>
      </w:r>
      <w:r w:rsidRPr="00954E69">
        <w:rPr>
          <w:i/>
          <w:iCs/>
          <w:color w:val="000000"/>
        </w:rPr>
        <w:t>t</w:t>
      </w:r>
      <w:r>
        <w:rPr>
          <w:color w:val="000000"/>
        </w:rPr>
        <w:t xml:space="preserve"> es la última semana conocida, </w:t>
      </w:r>
      <w:r w:rsidRPr="00954E69">
        <w:rPr>
          <w:i/>
          <w:iCs/>
          <w:color w:val="000000"/>
        </w:rPr>
        <w:t>h</w:t>
      </w:r>
      <w:r>
        <w:rPr>
          <w:color w:val="000000"/>
        </w:rPr>
        <w:t xml:space="preserve"> es el horizonte e </w:t>
      </w:r>
      <w:r w:rsidRPr="00954E69">
        <w:rPr>
          <w:i/>
          <w:iCs/>
          <w:color w:val="000000"/>
        </w:rPr>
        <w:t>I</w:t>
      </w:r>
      <w:r>
        <w:rPr>
          <w:color w:val="000000"/>
        </w:rPr>
        <w:t xml:space="preserve">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516DFDEB"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03B308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66921F2"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0A47F1D9" w14:textId="77777777" w:rsidR="00962FA0" w:rsidRDefault="00000000">
      <w:pPr>
        <w:spacing w:before="0" w:after="120"/>
      </w:pPr>
      <w:r w:rsidRPr="00954E69">
        <w:rPr>
          <w:color w:val="000000"/>
          <w:highlight w:val="yellow"/>
        </w:rPr>
        <w:t>Pronosticar requiere definir con precisión qué se observa, con qué frecuencia y para qué horizonte</w:t>
      </w:r>
      <w:r>
        <w:rPr>
          <w:color w:val="000000"/>
        </w:rPr>
        <w:t xml:space="preserve">. En esta investigación, </w:t>
      </w:r>
      <w:r w:rsidRPr="00954E69">
        <w:rPr>
          <w:color w:val="000000"/>
          <w:highlight w:val="green"/>
        </w:rPr>
        <w:t>la respuesta principal será el importe total semanal registrado de compras</w:t>
      </w:r>
      <w:r>
        <w:rPr>
          <w:color w:val="000000"/>
        </w:rPr>
        <w:t>.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0515B667" w14:textId="77777777" w:rsidR="00962FA0" w:rsidRDefault="00000000">
      <w:pPr>
        <w:spacing w:before="0" w:after="120"/>
      </w:pPr>
      <w:r>
        <w:rPr>
          <w:color w:val="000000"/>
        </w:rPr>
        <w:t xml:space="preserve">El importe de una adquisición puede variar por cantidad, precio y composición de insumos. Además, la fecha de compra puede diferir de la fecha de consumo o pago. Por tanto, la </w:t>
      </w:r>
      <w:r>
        <w:rPr>
          <w:color w:val="000000"/>
        </w:rPr>
        <w:lastRenderedPageBreak/>
        <w:t>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2D03331C"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6ECC7AA8"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273881E" w14:textId="77777777">
        <w:trPr>
          <w:cantSplit/>
        </w:trPr>
        <w:tc>
          <w:tcPr>
            <w:tcW w:w="753" w:type="dxa"/>
          </w:tcPr>
          <w:p w14:paraId="358A75CB" w14:textId="77777777" w:rsidR="00962FA0" w:rsidRDefault="00962FA0">
            <w:pPr>
              <w:keepNext/>
              <w:spacing w:before="80" w:after="80" w:line="240" w:lineRule="auto"/>
              <w:jc w:val="center"/>
            </w:pPr>
          </w:p>
        </w:tc>
        <w:tc>
          <w:tcPr>
            <w:tcW w:w="8456" w:type="dxa"/>
          </w:tcPr>
          <w:p w14:paraId="1BD5C2D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2A080A1" w14:textId="77777777" w:rsidR="00962FA0" w:rsidRDefault="00000000">
            <w:pPr>
              <w:keepNext/>
              <w:spacing w:before="80" w:after="80" w:line="240" w:lineRule="auto"/>
              <w:jc w:val="right"/>
            </w:pPr>
            <w:bookmarkStart w:id="45" w:name="MT_total"/>
            <w:bookmarkEnd w:id="45"/>
            <w:r>
              <w:rPr>
                <w:color w:val="000000"/>
              </w:rPr>
              <w:t>(</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7539A277" w14:textId="77777777" w:rsidR="00962FA0" w:rsidRDefault="00000000">
      <w:pPr>
        <w:spacing w:before="0" w:after="120"/>
      </w:pPr>
      <w:r>
        <w:rPr>
          <w:color w:val="000000"/>
        </w:rPr>
        <w:t xml:space="preserve">Aquí, </w:t>
      </w:r>
      <w:r w:rsidRPr="00954E69">
        <w:rPr>
          <w:i/>
          <w:iCs/>
          <w:color w:val="000000"/>
        </w:rPr>
        <w:t xml:space="preserve">b </w:t>
      </w:r>
      <w:r>
        <w:rPr>
          <w:color w:val="000000"/>
        </w:rPr>
        <w:t xml:space="preserve">es el importe del insumo o categoría </w:t>
      </w:r>
      <w:r w:rsidRPr="00954E69">
        <w:rPr>
          <w:i/>
          <w:iCs/>
          <w:color w:val="000000"/>
        </w:rPr>
        <w:t>j</w:t>
      </w:r>
      <w:r>
        <w:rPr>
          <w:color w:val="000000"/>
        </w:rPr>
        <w:t xml:space="preserve"> y </w:t>
      </w:r>
      <w:r w:rsidRPr="00954E69">
        <w:rPr>
          <w:i/>
          <w:iCs/>
          <w:color w:val="000000"/>
        </w:rPr>
        <w:t>J</w:t>
      </w:r>
      <w:r>
        <w:rPr>
          <w:color w:val="000000"/>
        </w:rPr>
        <w:t xml:space="preserve">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3F1A9894" w14:textId="77777777" w:rsidR="00962FA0" w:rsidRDefault="00000000">
      <w:pPr>
        <w:spacing w:before="0" w:after="120"/>
      </w:pPr>
      <w:r>
        <w:rPr>
          <w:color w:val="000000"/>
        </w:rPr>
        <w:t>La frecuencia y el nivel de agregación deben responder a la decisión analizada (Hyndman &amp; Athanasopoulos, 2021). En el caso propuesto, la escala semanal se utilizará para revisar el presupuesto de abastecimiento. Esta delimitación no equivale a planificar inventarios físicos: traducir importes a unidades requeriría precios, recetas, existencias y condiciones de suministro que quedan fuera del pronóstico monetario.</w:t>
      </w:r>
    </w:p>
    <w:p w14:paraId="7A5C4E96"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423FD51E"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25DFA6DC" w14:textId="77777777" w:rsidR="00962FA0" w:rsidRDefault="00000000">
      <w:pPr>
        <w:spacing w:before="0" w:after="120"/>
      </w:pPr>
      <w:r>
        <w:rPr>
          <w:color w:val="000000"/>
        </w:rPr>
        <w:t>Una serie temporal es una secuencia ordenada de observaciones registradas con un índice temporal definido (Hyndman &amp; Athanasopoulos, 2021). Para depurar los datos del caso, la agregación semanal conservará un calendario consistente y distinguirá una semana sin compras de una semana sin registro. Los huecos no se rellenarán automáticamente con cero, porque esa sustitución cambiaría el significado del objetivo; esta es una regla de calidad de datos del estudio.</w:t>
      </w:r>
    </w:p>
    <w:p w14:paraId="1010F9ED"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7650AED1"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85994C8" w14:textId="77777777">
        <w:trPr>
          <w:cantSplit/>
        </w:trPr>
        <w:tc>
          <w:tcPr>
            <w:tcW w:w="753" w:type="dxa"/>
          </w:tcPr>
          <w:p w14:paraId="104F9133" w14:textId="77777777" w:rsidR="00962FA0" w:rsidRDefault="00962FA0">
            <w:pPr>
              <w:keepNext/>
              <w:spacing w:before="80" w:after="80" w:line="240" w:lineRule="auto"/>
              <w:jc w:val="center"/>
            </w:pPr>
          </w:p>
        </w:tc>
        <w:tc>
          <w:tcPr>
            <w:tcW w:w="8456" w:type="dxa"/>
          </w:tcPr>
          <w:p w14:paraId="5781FC03"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30ADD88E" w14:textId="77777777" w:rsidR="00962FA0" w:rsidRDefault="00000000">
            <w:pPr>
              <w:keepNext/>
              <w:spacing w:before="80" w:after="80" w:line="240" w:lineRule="auto"/>
              <w:jc w:val="right"/>
            </w:pPr>
            <w:bookmarkStart w:id="49" w:name="MT_descomp"/>
            <w:bookmarkEnd w:id="49"/>
            <w:r>
              <w:rPr>
                <w:color w:val="000000"/>
              </w:rPr>
              <w:t>(</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3FAD844A" w14:textId="77777777" w:rsidR="00962FA0" w:rsidRDefault="00000000">
      <w:pPr>
        <w:spacing w:before="0" w:after="120"/>
      </w:pPr>
      <w:r w:rsidRPr="0062332C">
        <w:rPr>
          <w:i/>
          <w:iCs/>
          <w:color w:val="000000"/>
        </w:rPr>
        <w:t>T</w:t>
      </w:r>
      <w:r>
        <w:rPr>
          <w:color w:val="000000"/>
        </w:rPr>
        <w:t xml:space="preserve"> representa el componente de tendencia-ciclo</w:t>
      </w:r>
      <w:r w:rsidRPr="0062332C">
        <w:rPr>
          <w:i/>
          <w:iCs/>
          <w:color w:val="000000"/>
        </w:rPr>
        <w:t>, S</w:t>
      </w:r>
      <w:r>
        <w:rPr>
          <w:color w:val="000000"/>
        </w:rPr>
        <w:t xml:space="preserve"> el patrón estacional y</w:t>
      </w:r>
      <w:r w:rsidRPr="0062332C">
        <w:rPr>
          <w:i/>
          <w:iCs/>
          <w:color w:val="000000"/>
        </w:rPr>
        <w:t xml:space="preserve"> R</w:t>
      </w:r>
      <w:r>
        <w:rPr>
          <w:color w:val="000000"/>
        </w:rPr>
        <w:t xml:space="preserve">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7EB8D73B"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1425F629"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0F6142F6" w14:textId="77777777" w:rsidR="00962FA0" w:rsidRDefault="00000000">
      <w:pPr>
        <w:spacing w:before="0" w:after="120"/>
      </w:pPr>
      <w:r>
        <w:rPr>
          <w:color w:val="000000"/>
        </w:rPr>
        <w:t>La diferenciación transforma la serie mediante cambios entre observaciones sucesivas, como muestra la ecuación (4).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87F4140" w14:textId="77777777">
        <w:trPr>
          <w:cantSplit/>
        </w:trPr>
        <w:tc>
          <w:tcPr>
            <w:tcW w:w="753" w:type="dxa"/>
          </w:tcPr>
          <w:p w14:paraId="21529676" w14:textId="77777777" w:rsidR="00962FA0" w:rsidRDefault="00962FA0">
            <w:pPr>
              <w:keepNext/>
              <w:spacing w:before="80" w:after="80" w:line="240" w:lineRule="auto"/>
              <w:jc w:val="center"/>
            </w:pPr>
          </w:p>
        </w:tc>
        <w:tc>
          <w:tcPr>
            <w:tcW w:w="8456" w:type="dxa"/>
          </w:tcPr>
          <w:p w14:paraId="7862DE18"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03EF2586" w14:textId="77777777" w:rsidR="00962FA0" w:rsidRDefault="00000000">
            <w:pPr>
              <w:keepNext/>
              <w:spacing w:before="80" w:after="80" w:line="240" w:lineRule="auto"/>
              <w:jc w:val="right"/>
            </w:pPr>
            <w:bookmarkStart w:id="51" w:name="MT_diff"/>
            <w:bookmarkEnd w:id="51"/>
            <w:r>
              <w:rPr>
                <w:color w:val="000000"/>
              </w:rPr>
              <w:t>(</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14F6F73D" w14:textId="77777777" w:rsidR="00962FA0" w:rsidRDefault="00000000">
      <w:pPr>
        <w:spacing w:before="0" w:after="120"/>
      </w:pPr>
      <w:r>
        <w:rPr>
          <w:color w:val="000000"/>
        </w:rPr>
        <w:t>La autocorrelación describe asociación lineal entre observaciones separadas por un rezago. En la ecuación (5),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57178EF" w14:textId="77777777">
        <w:trPr>
          <w:cantSplit/>
        </w:trPr>
        <w:tc>
          <w:tcPr>
            <w:tcW w:w="753" w:type="dxa"/>
          </w:tcPr>
          <w:p w14:paraId="6177A178" w14:textId="77777777" w:rsidR="00962FA0" w:rsidRDefault="00962FA0">
            <w:pPr>
              <w:keepNext/>
              <w:spacing w:before="80" w:after="80" w:line="240" w:lineRule="auto"/>
              <w:jc w:val="center"/>
            </w:pPr>
          </w:p>
        </w:tc>
        <w:tc>
          <w:tcPr>
            <w:tcW w:w="8456" w:type="dxa"/>
          </w:tcPr>
          <w:p w14:paraId="457A6F48"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050BEC36" w14:textId="77777777" w:rsidR="00962FA0" w:rsidRDefault="00000000">
            <w:pPr>
              <w:keepNext/>
              <w:spacing w:before="80" w:after="80" w:line="240" w:lineRule="auto"/>
              <w:jc w:val="right"/>
            </w:pPr>
            <w:bookmarkStart w:id="52" w:name="MT_acf"/>
            <w:bookmarkEnd w:id="52"/>
            <w:r>
              <w:rPr>
                <w:color w:val="000000"/>
              </w:rPr>
              <w:t>(</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5D392DD5" w14:textId="77777777" w:rsidR="00962FA0" w:rsidRDefault="00000000">
      <w:pPr>
        <w:spacing w:before="0" w:after="120"/>
      </w:pPr>
      <w:r>
        <w:rPr>
          <w:color w:val="000000"/>
        </w:rPr>
        <w:t>La autocorrelación parcial y las pruebas de dependencia conjunta pueden complementar el diagnóstico (Hyndman &amp; Athanasopoulos, 2021). La selección de características y la validación deben respetar el orden temporal; utilizar toda la serie para definir variables antes de evaluar un bloque reservado puede introducir información posterior en el procedimiento (Bergmeir &amp; Benítez, 2012). En este estudio, cualquier diagnóstico que determine ajustes se calculará únicamente con el historial disponible en cada origen.</w:t>
      </w:r>
    </w:p>
    <w:p w14:paraId="75A02961"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1C6068C0"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1AA501C" w14:textId="77777777">
        <w:trPr>
          <w:cantSplit/>
        </w:trPr>
        <w:tc>
          <w:tcPr>
            <w:tcW w:w="753" w:type="dxa"/>
          </w:tcPr>
          <w:p w14:paraId="399F40A1" w14:textId="77777777" w:rsidR="00962FA0" w:rsidRDefault="00962FA0">
            <w:pPr>
              <w:keepNext/>
              <w:spacing w:before="80" w:after="80" w:line="240" w:lineRule="auto"/>
              <w:jc w:val="center"/>
            </w:pPr>
          </w:p>
        </w:tc>
        <w:tc>
          <w:tcPr>
            <w:tcW w:w="8456" w:type="dxa"/>
          </w:tcPr>
          <w:p w14:paraId="2D7F20C7"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119464B" w14:textId="77777777" w:rsidR="00962FA0" w:rsidRDefault="00000000">
            <w:pPr>
              <w:keepNext/>
              <w:spacing w:before="80" w:after="80" w:line="240" w:lineRule="auto"/>
              <w:jc w:val="right"/>
            </w:pPr>
            <w:bookmarkStart w:id="54" w:name="MT_croston"/>
            <w:bookmarkEnd w:id="54"/>
            <w:r>
              <w:rPr>
                <w:color w:val="000000"/>
              </w:rPr>
              <w:t>(</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3DD02A19" w14:textId="77777777" w:rsidR="00962FA0" w:rsidRDefault="00000000">
      <w:pPr>
        <w:spacing w:before="0" w:after="120"/>
      </w:pPr>
      <w:r>
        <w:rPr>
          <w:color w:val="000000"/>
        </w:rPr>
        <w:t>Las estimaciones z y a corresponden, respectivamente, al tamaño de los eventos positivos y al intervalo entre ellos. El procedimiento constituye una referencia para demanda intermitente, no una garantía de superioridad (Hyndman &amp; Athanasopoulos, 2021). Como procedimiento de auditoría del caso, los picos se contrastarán con la fuente para distinguir posibles errores de registro de compras extraordinarias; no se eliminarán únicamente por su magnitud (Kuhn &amp; Johnson, 2013).</w:t>
      </w:r>
    </w:p>
    <w:p w14:paraId="75EBE3E9" w14:textId="77777777" w:rsidR="00962FA0" w:rsidRDefault="00000000">
      <w:pPr>
        <w:pStyle w:val="Ttulo2"/>
        <w:numPr>
          <w:ilvl w:val="1"/>
          <w:numId w:val="19"/>
        </w:numPr>
        <w:spacing w:after="120" w:line="300" w:lineRule="auto"/>
        <w:jc w:val="left"/>
      </w:pPr>
      <w:bookmarkStart w:id="55" w:name="_Toc240207724"/>
      <w:r>
        <w:lastRenderedPageBreak/>
        <w:t>Métodos estadísticos y de aprendizaje automático</w:t>
      </w:r>
      <w:bookmarkEnd w:id="55"/>
    </w:p>
    <w:p w14:paraId="759351E2"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2FB94F34"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0A4FA82" w14:textId="77777777">
        <w:trPr>
          <w:cantSplit/>
        </w:trPr>
        <w:tc>
          <w:tcPr>
            <w:tcW w:w="753" w:type="dxa"/>
          </w:tcPr>
          <w:p w14:paraId="73203A5B" w14:textId="77777777" w:rsidR="00962FA0" w:rsidRDefault="00962FA0">
            <w:pPr>
              <w:keepNext/>
              <w:spacing w:before="80" w:after="80" w:line="240" w:lineRule="auto"/>
              <w:jc w:val="center"/>
            </w:pPr>
          </w:p>
        </w:tc>
        <w:tc>
          <w:tcPr>
            <w:tcW w:w="8456" w:type="dxa"/>
          </w:tcPr>
          <w:p w14:paraId="366BA54D"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5AB158B5" w14:textId="77777777" w:rsidR="00962FA0" w:rsidRDefault="00000000">
            <w:pPr>
              <w:keepNext/>
              <w:spacing w:before="80" w:after="80" w:line="240" w:lineRule="auto"/>
              <w:jc w:val="right"/>
            </w:pPr>
            <w:bookmarkStart w:id="57" w:name="MT_naive"/>
            <w:bookmarkEnd w:id="57"/>
            <w:r>
              <w:rPr>
                <w:color w:val="000000"/>
              </w:rPr>
              <w:t>(</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342B3680"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78D6AE34"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5EE5FBB2"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99B9901" w14:textId="77777777">
        <w:trPr>
          <w:cantSplit/>
        </w:trPr>
        <w:tc>
          <w:tcPr>
            <w:tcW w:w="753" w:type="dxa"/>
          </w:tcPr>
          <w:p w14:paraId="37F5D0C7" w14:textId="77777777" w:rsidR="00962FA0" w:rsidRDefault="00962FA0">
            <w:pPr>
              <w:keepNext/>
              <w:spacing w:before="80" w:after="80" w:line="240" w:lineRule="auto"/>
              <w:jc w:val="center"/>
            </w:pPr>
          </w:p>
        </w:tc>
        <w:tc>
          <w:tcPr>
            <w:tcW w:w="8456" w:type="dxa"/>
          </w:tcPr>
          <w:p w14:paraId="6C573875"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691DDC5C" w14:textId="77777777" w:rsidR="00962FA0" w:rsidRDefault="00000000">
            <w:pPr>
              <w:keepNext/>
              <w:spacing w:before="80" w:after="80" w:line="240" w:lineRule="auto"/>
              <w:jc w:val="right"/>
            </w:pPr>
            <w:bookmarkStart w:id="59" w:name="MT_ses"/>
            <w:bookmarkEnd w:id="59"/>
            <w:r>
              <w:rPr>
                <w:color w:val="000000"/>
              </w:rPr>
              <w:t>(</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21497E34"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1B7B4545" w14:textId="41DA3BD4" w:rsidR="00962FA0" w:rsidRPr="007F3952" w:rsidRDefault="00000000">
      <w:pPr>
        <w:spacing w:before="0" w:after="120"/>
        <w:rPr>
          <w:sz w:val="23"/>
        </w:rPr>
      </w:pPr>
      <w:r>
        <w:rPr>
          <w:color w:val="000000"/>
        </w:rPr>
        <w:t xml:space="preserve">Un ARIMA combina términos autorregresivos, diferenciación y medias móviles de innovaciones. La ecuación (9) usa el operador de rezago </w:t>
      </w:r>
      <w:r w:rsidRPr="0062332C">
        <w:rPr>
          <w:i/>
          <w:iCs/>
          <w:color w:val="000000"/>
        </w:rPr>
        <w:t>B</w:t>
      </w:r>
      <w:r>
        <w:rPr>
          <w:color w:val="000000"/>
        </w:rPr>
        <w:t xml:space="preserve">, de modo que </w:t>
      </w:r>
      <w:r w:rsidRPr="0062332C">
        <w:rPr>
          <w:i/>
          <w:iCs/>
          <w:color w:val="000000"/>
        </w:rPr>
        <w:t>B</w:t>
      </w:r>
      <w:r>
        <w:rPr>
          <w:color w:val="000000"/>
        </w:rPr>
        <w:t xml:space="preserve"> aplicado a </w:t>
      </w:r>
      <w:r w:rsidRPr="0062332C">
        <w:rPr>
          <w:i/>
          <w:iCs/>
          <w:color w:val="000000"/>
        </w:rPr>
        <w:t>y</w:t>
      </w:r>
      <w:r>
        <w:rPr>
          <w:color w:val="000000"/>
        </w:rPr>
        <w:t xml:space="preserve"> en </w:t>
      </w:r>
      <w:r w:rsidRPr="0062332C">
        <w:rPr>
          <w:i/>
          <w:iCs/>
          <w:color w:val="000000"/>
        </w:rPr>
        <w:t>t</w:t>
      </w:r>
      <w:r>
        <w:rPr>
          <w:color w:val="000000"/>
        </w:rPr>
        <w:t xml:space="preserve"> </w:t>
      </w:r>
      <w:r>
        <w:rPr>
          <w:color w:val="000000"/>
        </w:rPr>
        <w:lastRenderedPageBreak/>
        <w:t xml:space="preserve">devuelve el valor anterior. Los polinomios </w:t>
      </w:r>
      <w:r w:rsidRPr="0062332C">
        <w:rPr>
          <w:i/>
          <w:iCs/>
          <w:color w:val="000000"/>
        </w:rPr>
        <w:t>phi</w:t>
      </w:r>
      <w:r>
        <w:rPr>
          <w:color w:val="000000"/>
        </w:rPr>
        <w:t xml:space="preserve"> </w:t>
      </w:r>
      <w:r w:rsidR="007F3952">
        <w:rPr>
          <w:color w:val="000000"/>
        </w:rPr>
        <w:t>(</w:t>
      </w:r>
      <m:oMath>
        <m:r>
          <w:rPr>
            <w:rFonts w:ascii="Cambria Math" w:hAnsi="Cambria Math"/>
            <w:sz w:val="23"/>
          </w:rPr>
          <m:t>φ</m:t>
        </m:r>
      </m:oMath>
      <w:r w:rsidR="007F3952">
        <w:rPr>
          <w:color w:val="000000"/>
        </w:rPr>
        <w:t xml:space="preserve">) </w:t>
      </w:r>
      <w:r>
        <w:rPr>
          <w:color w:val="000000"/>
        </w:rPr>
        <w:t xml:space="preserve">y </w:t>
      </w:r>
      <w:r w:rsidRPr="0062332C">
        <w:rPr>
          <w:i/>
          <w:iCs/>
          <w:color w:val="000000"/>
        </w:rPr>
        <w:t>theta</w:t>
      </w:r>
      <w:r>
        <w:rPr>
          <w:color w:val="000000"/>
        </w:rPr>
        <w:t xml:space="preserve"> </w:t>
      </w:r>
      <w:r w:rsidR="007F3952">
        <w:rPr>
          <w:color w:val="000000"/>
        </w:rPr>
        <w:t>(</w:t>
      </w:r>
      <m:oMath>
        <m:r>
          <w:rPr>
            <w:rFonts w:ascii="Cambria Math" w:hAnsi="Cambria Math"/>
            <w:sz w:val="23"/>
          </w:rPr>
          <m:t>θ</m:t>
        </m:r>
      </m:oMath>
      <w:r w:rsidR="007F3952">
        <w:rPr>
          <w:color w:val="000000"/>
        </w:rPr>
        <w:t xml:space="preserve">) </w:t>
      </w:r>
      <w:r>
        <w:rPr>
          <w:color w:val="000000"/>
        </w:rPr>
        <w:t xml:space="preserve">representan los </w:t>
      </w:r>
      <w:r w:rsidR="007F3952">
        <w:rPr>
          <w:color w:val="000000"/>
        </w:rPr>
        <w:t>órdenes autorregresivos</w:t>
      </w:r>
      <w:r>
        <w:rPr>
          <w:color w:val="000000"/>
        </w:rPr>
        <w:t xml:space="preserve"> y de medias móviles; </w:t>
      </w:r>
      <w:r w:rsidRPr="007F3952">
        <w:rPr>
          <w:i/>
          <w:iCs/>
          <w:color w:val="000000"/>
        </w:rPr>
        <w:t>d</w:t>
      </w:r>
      <w:r>
        <w:rPr>
          <w:color w:val="000000"/>
        </w:rPr>
        <w:t xml:space="preserve"> es el orden de diferenciación y </w:t>
      </w:r>
      <w:r w:rsidRPr="007F3952">
        <w:rPr>
          <w:i/>
          <w:iCs/>
          <w:color w:val="000000"/>
        </w:rPr>
        <w:t>épsilon</w:t>
      </w:r>
      <w:r>
        <w:rPr>
          <w:color w:val="000000"/>
        </w:rPr>
        <w:t xml:space="preserve"> </w:t>
      </w:r>
      <w:r w:rsidR="007F3952">
        <w:rPr>
          <w:color w:val="000000"/>
        </w:rPr>
        <w:t>(</w:t>
      </w:r>
      <m:oMath>
        <m:r>
          <w:rPr>
            <w:rFonts w:ascii="Cambria Math" w:hAnsi="Cambria Math"/>
            <w:sz w:val="23"/>
          </w:rPr>
          <m:t>ε</m:t>
        </m:r>
      </m:oMath>
      <w:r w:rsidR="007F3952">
        <w:rPr>
          <w:color w:val="000000"/>
        </w:rPr>
        <w:t xml:space="preserve">) </w:t>
      </w:r>
      <w:r>
        <w:rPr>
          <w:color w:val="000000"/>
        </w:rPr>
        <w:t>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2C309DF" w14:textId="77777777">
        <w:trPr>
          <w:cantSplit/>
        </w:trPr>
        <w:tc>
          <w:tcPr>
            <w:tcW w:w="753" w:type="dxa"/>
          </w:tcPr>
          <w:p w14:paraId="631D1A44" w14:textId="77777777" w:rsidR="00962FA0" w:rsidRDefault="00962FA0">
            <w:pPr>
              <w:keepNext/>
              <w:spacing w:before="80" w:after="80" w:line="240" w:lineRule="auto"/>
              <w:jc w:val="center"/>
            </w:pPr>
          </w:p>
        </w:tc>
        <w:tc>
          <w:tcPr>
            <w:tcW w:w="8456" w:type="dxa"/>
          </w:tcPr>
          <w:p w14:paraId="6E85975D"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160CC3DF" w14:textId="77777777" w:rsidR="00962FA0" w:rsidRDefault="00000000">
            <w:pPr>
              <w:keepNext/>
              <w:spacing w:before="80" w:after="80" w:line="240" w:lineRule="auto"/>
              <w:jc w:val="right"/>
            </w:pPr>
            <w:bookmarkStart w:id="60" w:name="MT_arima"/>
            <w:bookmarkEnd w:id="60"/>
            <w:r>
              <w:rPr>
                <w:color w:val="000000"/>
              </w:rPr>
              <w:t>(</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0F5E6AE9" w14:textId="77777777" w:rsidR="00962FA0" w:rsidRDefault="00000000">
      <w:pPr>
        <w:spacing w:before="0" w:after="120"/>
      </w:pPr>
      <w:r>
        <w:rPr>
          <w:color w:val="000000"/>
        </w:rPr>
        <w:t>El componente de medias móviles de ARIMA opera sobre innovaciones y no equivale a promediar observaciones anteriores. Las variantes estacionales añaden operadores asociados a una periodicidad definida, y la selección debe considerar la longitud del historial y el diagnóstico de residuos (Hyndman &amp; Athanasopoulos, 2021). Para esta investigación, el tamaño de la empresa no se utilizará por sí solo como criterio para excluir una familia estadística.</w:t>
      </w:r>
    </w:p>
    <w:p w14:paraId="34381748"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6E1FD32" w14:textId="77777777" w:rsidR="00962FA0" w:rsidRDefault="00000000">
      <w:pPr>
        <w:spacing w:before="0" w:after="120"/>
      </w:pPr>
      <w:r>
        <w:rPr>
          <w:color w:val="000000"/>
        </w:rPr>
        <w:t xml:space="preserve">Random Forest combina árboles construidos con aleatoriedad en muestras y predictores. En regresión, la salida es el promedio de las predicciones, representado en la ecuación (10). </w:t>
      </w:r>
      <w:r w:rsidRPr="007F3952">
        <w:rPr>
          <w:i/>
          <w:iCs/>
          <w:color w:val="000000"/>
        </w:rPr>
        <w:t>B</w:t>
      </w:r>
      <w:r>
        <w:rPr>
          <w:color w:val="000000"/>
        </w:rPr>
        <w:t xml:space="preserve"> es el número de árboles, </w:t>
      </w:r>
      <w:r w:rsidRPr="007F3952">
        <w:rPr>
          <w:i/>
          <w:iCs/>
          <w:color w:val="000000"/>
        </w:rPr>
        <w:t>T</w:t>
      </w:r>
      <w:r>
        <w:rPr>
          <w:color w:val="000000"/>
        </w:rPr>
        <w:t xml:space="preserve"> identifica cada árbol y </w:t>
      </w:r>
      <w:r w:rsidRPr="007F3952">
        <w:rPr>
          <w:i/>
          <w:iCs/>
          <w:color w:val="000000"/>
        </w:rPr>
        <w:t>x</w:t>
      </w:r>
      <w:r>
        <w:rPr>
          <w:color w:val="000000"/>
        </w:rPr>
        <w:t xml:space="preserve">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4B9E507" w14:textId="77777777" w:rsidTr="0041658B">
        <w:trPr>
          <w:cantSplit/>
        </w:trPr>
        <w:tc>
          <w:tcPr>
            <w:tcW w:w="753" w:type="dxa"/>
          </w:tcPr>
          <w:p w14:paraId="06BB516B" w14:textId="77777777" w:rsidR="00962FA0" w:rsidRDefault="00962FA0">
            <w:pPr>
              <w:keepNext/>
              <w:spacing w:before="80" w:after="80" w:line="240" w:lineRule="auto"/>
              <w:jc w:val="center"/>
            </w:pPr>
          </w:p>
        </w:tc>
        <w:tc>
          <w:tcPr>
            <w:tcW w:w="8178" w:type="dxa"/>
          </w:tcPr>
          <w:p w14:paraId="5B2F18B6"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1031" w:type="dxa"/>
          </w:tcPr>
          <w:p w14:paraId="38D3E9B7" w14:textId="77777777" w:rsidR="00962FA0" w:rsidRDefault="00000000">
            <w:pPr>
              <w:keepNext/>
              <w:spacing w:before="80" w:after="80" w:line="240" w:lineRule="auto"/>
              <w:jc w:val="right"/>
            </w:pPr>
            <w:bookmarkStart w:id="62" w:name="MT_rf"/>
            <w:bookmarkEnd w:id="62"/>
            <w:r>
              <w:rPr>
                <w:color w:val="000000"/>
              </w:rPr>
              <w:t>(</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5A940553" w14:textId="77777777" w:rsidR="00962FA0" w:rsidRDefault="00000000">
      <w:pPr>
        <w:spacing w:before="0" w:after="120"/>
      </w:pPr>
      <w:r>
        <w:rPr>
          <w:color w:val="000000"/>
        </w:rPr>
        <w:t>Los árboles y los bosques aleatorios permiten representar interacciones y relaciones no lineales (Breiman, 2001). En pronóstico de series temporales, las entradas deben construirse con información disponible en el origen, como rezagos y variables de calendario (Bontempi et al., 2013). La profundidad, el tamaño mínimo de los nodos y la diversidad de árboles se tratarán como decisiones de diseño; el modelo no se considerará inmune a errores de captura o datos faltantes.</w:t>
      </w:r>
    </w:p>
    <w:p w14:paraId="7B9D1B70" w14:textId="77777777" w:rsidR="00962FA0" w:rsidRDefault="00000000">
      <w:pPr>
        <w:spacing w:before="0" w:after="120"/>
      </w:pPr>
      <w:r>
        <w:rPr>
          <w:color w:val="000000"/>
        </w:rPr>
        <w:t xml:space="preserve">La potenciación de gradiente construye una función de manera aditiva. La ecuación (11)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7F89648" w14:textId="77777777" w:rsidTr="0041658B">
        <w:trPr>
          <w:cantSplit/>
        </w:trPr>
        <w:tc>
          <w:tcPr>
            <w:tcW w:w="753" w:type="dxa"/>
          </w:tcPr>
          <w:p w14:paraId="5532932B" w14:textId="77777777" w:rsidR="00962FA0" w:rsidRDefault="00962FA0">
            <w:pPr>
              <w:keepNext/>
              <w:spacing w:before="80" w:after="80" w:line="240" w:lineRule="auto"/>
              <w:jc w:val="center"/>
            </w:pPr>
          </w:p>
        </w:tc>
        <w:tc>
          <w:tcPr>
            <w:tcW w:w="8319" w:type="dxa"/>
          </w:tcPr>
          <w:p w14:paraId="1044BFA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890" w:type="dxa"/>
          </w:tcPr>
          <w:p w14:paraId="387913C7" w14:textId="77777777" w:rsidR="00962FA0" w:rsidRDefault="00000000">
            <w:pPr>
              <w:keepNext/>
              <w:spacing w:before="80" w:after="80" w:line="240" w:lineRule="auto"/>
              <w:jc w:val="right"/>
            </w:pPr>
            <w:bookmarkStart w:id="63" w:name="MT_gb"/>
            <w:bookmarkEnd w:id="63"/>
            <w:r>
              <w:rPr>
                <w:color w:val="000000"/>
              </w:rPr>
              <w:t>(</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36AA0B98" w14:textId="77777777" w:rsidR="00962FA0" w:rsidRDefault="00000000">
      <w:pPr>
        <w:spacing w:before="0" w:after="120"/>
      </w:pPr>
      <w:r>
        <w:rPr>
          <w:color w:val="000000"/>
        </w:rPr>
        <w:t>La tasa de aprendizaje y el número de etapas controlan la magnitud de la adaptación en gradient boosting (Friedman, 2001). Estas técnicas pueden aprovechar interacciones entre calendario e historial, pero su configuración debe realizarse antes de la evaluación final. Ajustar el número de etapas con el mismo bloque utilizado para reportar precisión produciría una comparación optimista (Tashman, 2000).</w:t>
      </w:r>
    </w:p>
    <w:p w14:paraId="348B8BFA"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6885D3C7" w14:textId="77777777" w:rsidR="00962FA0" w:rsidRDefault="00000000">
      <w:pPr>
        <w:spacing w:before="0" w:after="120"/>
      </w:pPr>
      <w:r>
        <w:rPr>
          <w:color w:val="000000"/>
        </w:rPr>
        <w:t>Una red autorregresiva aproxima mediante una función no lineal la relación entre rezagos de una serie (Hyndman &amp; Athanasopoulos, 2021). Las redes neuronales recurrentes incorporan estados internos y mecanismos de memoria, además de parámetros y decisiones de ajuste; su desempeño depende del tamaño y las características de los datos (Hewamalage et al., 2021). En esta tesis, la presencia de una red recurrente no se utilizará como condición para definir un modelo como híbrido.</w:t>
      </w:r>
    </w:p>
    <w:p w14:paraId="711A70F3" w14:textId="77777777" w:rsidR="00962FA0" w:rsidRDefault="00000000">
      <w:pPr>
        <w:spacing w:before="0" w:after="120"/>
      </w:pPr>
      <w:r>
        <w:rPr>
          <w:color w:val="000000"/>
        </w:rPr>
        <w:t>Como criterio de diseño, cada familia candidata deberá responder una pregunta pertinente sobre el objetivo, por ejemplo, si aportan valor la no linealidad o la memoria temporal. La selección y el ajuste se realizarán con información anterior a las semanas de evaluación, de acuerdo con el principio de separar entrenamiento, validación y prueba (Kuhn &amp; Johnson, 2013).</w:t>
      </w:r>
    </w:p>
    <w:p w14:paraId="1E6C1D8E"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34B68D0E"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A4E1BF7" w14:textId="77777777" w:rsidR="00962FA0" w:rsidRDefault="00000000">
      <w:pPr>
        <w:spacing w:before="0" w:after="120"/>
      </w:pPr>
      <w:r>
        <w:rPr>
          <w:color w:val="000000"/>
        </w:rPr>
        <w:t xml:space="preserve">La combinación de pronósticos parte de que métodos distintos pueden contener información complementaria. Para dos modelos, la ecuación (12) pondera un pronóstico estadístico y uno de aprendizaje automático. La notación adapta el principio de combinación al caso; el peso </w:t>
      </w:r>
      <w:r w:rsidRPr="007F3952">
        <w:rPr>
          <w:i/>
          <w:iCs/>
          <w:color w:val="000000"/>
        </w:rPr>
        <w:t>w</w:t>
      </w:r>
      <w:r>
        <w:rPr>
          <w:color w:val="000000"/>
        </w:rPr>
        <w:t xml:space="preserve">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761F6017" w14:textId="77777777" w:rsidTr="0041658B">
        <w:trPr>
          <w:cantSplit/>
        </w:trPr>
        <w:tc>
          <w:tcPr>
            <w:tcW w:w="753" w:type="dxa"/>
          </w:tcPr>
          <w:p w14:paraId="0193B052" w14:textId="77777777" w:rsidR="00962FA0" w:rsidRDefault="00962FA0">
            <w:pPr>
              <w:keepNext/>
              <w:spacing w:before="80" w:after="80" w:line="240" w:lineRule="auto"/>
              <w:jc w:val="center"/>
            </w:pPr>
          </w:p>
        </w:tc>
        <w:tc>
          <w:tcPr>
            <w:tcW w:w="8319" w:type="dxa"/>
          </w:tcPr>
          <w:p w14:paraId="19DFE83F"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890" w:type="dxa"/>
          </w:tcPr>
          <w:p w14:paraId="3DDD840B" w14:textId="77777777" w:rsidR="00962FA0" w:rsidRDefault="00000000">
            <w:pPr>
              <w:keepNext/>
              <w:spacing w:before="80" w:after="80" w:line="240" w:lineRule="auto"/>
              <w:jc w:val="right"/>
            </w:pPr>
            <w:bookmarkStart w:id="67" w:name="MT_hybrid"/>
            <w:bookmarkEnd w:id="67"/>
            <w:r>
              <w:rPr>
                <w:color w:val="000000"/>
              </w:rPr>
              <w:t>(</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2CB63C75" w14:textId="139CC456" w:rsidR="00962FA0" w:rsidRDefault="00000000">
      <w:pPr>
        <w:spacing w:before="0" w:after="120"/>
      </w:pPr>
      <w:r>
        <w:t xml:space="preserve">Los superíndices </w:t>
      </w:r>
      <w:r w:rsidRPr="007F3952">
        <w:rPr>
          <w:i/>
          <w:iCs/>
        </w:rPr>
        <w:t>H</w:t>
      </w:r>
      <w:r>
        <w:t xml:space="preserve">, </w:t>
      </w:r>
      <w:r w:rsidRPr="007F3952">
        <w:rPr>
          <w:i/>
          <w:iCs/>
        </w:rPr>
        <w:t>E</w:t>
      </w:r>
      <w:r>
        <w:t xml:space="preserve"> y </w:t>
      </w:r>
      <w:r w:rsidRPr="007F3952">
        <w:rPr>
          <w:i/>
          <w:iCs/>
        </w:rPr>
        <w:t>A</w:t>
      </w:r>
      <w:r>
        <w:t xml:space="preserve"> identifican híbrido, estadístico y aprendizaje automático. Bajo errores insesgados con varianzas finitas, la varianza del error combinado depende de las varianzas </w:t>
      </w:r>
      <w:r>
        <w:lastRenderedPageBreak/>
        <w:t>individuales y de su covarianza. La ecuación (13) explica por qué el grado de dependencia entre errores importa para la combinación (Bates &amp; Granger, 1969). La evidencia de M4 ilustra empíricamente que las combinaciones pueden ser competitivas en conjuntos amplios, aunque su resultado no se traslada automáticamente a otra población, frecuencia u horizonte (</w:t>
      </w:r>
      <w:proofErr w:type="spellStart"/>
      <w:r>
        <w:t>Makridakis</w:t>
      </w:r>
      <w:proofErr w:type="spellEnd"/>
      <w:r>
        <w:t xml:space="preserve"> et al., 2018, 2020).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A6D1097" w14:textId="77777777" w:rsidTr="0041658B">
        <w:trPr>
          <w:cantSplit/>
        </w:trPr>
        <w:tc>
          <w:tcPr>
            <w:tcW w:w="753" w:type="dxa"/>
          </w:tcPr>
          <w:p w14:paraId="663A0FC5" w14:textId="77777777" w:rsidR="00962FA0" w:rsidRDefault="00962FA0">
            <w:pPr>
              <w:keepNext/>
              <w:spacing w:before="80" w:after="80" w:line="240" w:lineRule="auto"/>
              <w:jc w:val="center"/>
            </w:pPr>
          </w:p>
        </w:tc>
        <w:tc>
          <w:tcPr>
            <w:tcW w:w="8319" w:type="dxa"/>
          </w:tcPr>
          <w:p w14:paraId="5C7BEC67"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890" w:type="dxa"/>
          </w:tcPr>
          <w:p w14:paraId="19292494" w14:textId="77777777" w:rsidR="00962FA0" w:rsidRDefault="00000000">
            <w:pPr>
              <w:keepNext/>
              <w:spacing w:before="80" w:after="80" w:line="240" w:lineRule="auto"/>
              <w:jc w:val="right"/>
            </w:pPr>
            <w:bookmarkStart w:id="68" w:name="MT_variance"/>
            <w:bookmarkEnd w:id="68"/>
            <w:r>
              <w:rPr>
                <w:color w:val="000000"/>
              </w:rPr>
              <w:t>(</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25224DFE"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045EC41" w14:textId="77777777" w:rsidTr="0041658B">
        <w:trPr>
          <w:cantSplit/>
        </w:trPr>
        <w:tc>
          <w:tcPr>
            <w:tcW w:w="753" w:type="dxa"/>
          </w:tcPr>
          <w:p w14:paraId="3016DAA6" w14:textId="77777777" w:rsidR="00962FA0" w:rsidRDefault="00962FA0">
            <w:pPr>
              <w:keepNext/>
              <w:spacing w:before="80" w:after="80" w:line="240" w:lineRule="auto"/>
              <w:jc w:val="center"/>
            </w:pPr>
          </w:p>
        </w:tc>
        <w:tc>
          <w:tcPr>
            <w:tcW w:w="8319" w:type="dxa"/>
          </w:tcPr>
          <w:p w14:paraId="77CECFD1"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890" w:type="dxa"/>
          </w:tcPr>
          <w:p w14:paraId="540789FF" w14:textId="77777777" w:rsidR="00962FA0" w:rsidRDefault="00000000">
            <w:pPr>
              <w:keepNext/>
              <w:spacing w:before="80" w:after="80" w:line="240" w:lineRule="auto"/>
              <w:jc w:val="right"/>
            </w:pPr>
            <w:bookmarkStart w:id="69" w:name="MT_weight"/>
            <w:bookmarkEnd w:id="69"/>
            <w:r>
              <w:rPr>
                <w:color w:val="000000"/>
              </w:rPr>
              <w:t>(</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558553AD"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76E7FA6C"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3C7EF4A0" w14:textId="77777777" w:rsidR="00962FA0" w:rsidRDefault="00000000">
      <w:pPr>
        <w:spacing w:before="0" w:after="120"/>
      </w:pPr>
      <w:r>
        <w:t>Otra estrategia híbrida representa la serie como suma de componentes lineal y no lineal. Zhang (2003) propuso modelar con ARIMA la estructura lineal y con una red neuronal la estructura no lineal de los residuales, y reportó potencial de mejora en sus experimentos; el hallazgo no implica una ventaja universal. La ecuación (</w:t>
      </w:r>
      <w:r w:rsidR="0041658B">
        <w:fldChar w:fldCharType="begin"/>
      </w:r>
      <w:r w:rsidR="0041658B">
        <w:instrText>SEQ EcuacionMT \* ARABIC</w:instrText>
      </w:r>
      <w:r w:rsidR="0041658B">
        <w:fldChar w:fldCharType="separate"/>
      </w:r>
      <w:r w:rsidR="0041658B">
        <w:rPr>
          <w:noProof/>
        </w:rPr>
        <w:t>15</w:t>
      </w:r>
      <w:r w:rsidR="0041658B">
        <w:rPr>
          <w:color w:val="000000"/>
        </w:rPr>
        <w:fldChar w:fldCharType="end"/>
      </w:r>
      <w:r>
        <w:t>) resume esa formulación: sus componentes no son observables independientes, sino representaciones estimadas mediante un procedimiento de modelado. La implementación de esta tesis es una adaptación y deberá juzgarse con su propia evaluación temporal.</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62E6EC8" w14:textId="77777777" w:rsidTr="0041658B">
        <w:trPr>
          <w:cantSplit/>
        </w:trPr>
        <w:tc>
          <w:tcPr>
            <w:tcW w:w="753" w:type="dxa"/>
          </w:tcPr>
          <w:p w14:paraId="6D7B6D79" w14:textId="77777777" w:rsidR="00962FA0" w:rsidRDefault="00962FA0">
            <w:pPr>
              <w:keepNext/>
              <w:spacing w:before="80" w:after="80" w:line="240" w:lineRule="auto"/>
              <w:jc w:val="center"/>
            </w:pPr>
          </w:p>
        </w:tc>
        <w:tc>
          <w:tcPr>
            <w:tcW w:w="8319" w:type="dxa"/>
          </w:tcPr>
          <w:p w14:paraId="3323A282"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890" w:type="dxa"/>
          </w:tcPr>
          <w:p w14:paraId="791E3043" w14:textId="77777777" w:rsidR="00962FA0" w:rsidRDefault="00000000">
            <w:pPr>
              <w:keepNext/>
              <w:spacing w:before="80" w:after="80" w:line="240" w:lineRule="auto"/>
              <w:jc w:val="right"/>
            </w:pPr>
            <w:bookmarkStart w:id="71" w:name="MT_residual"/>
            <w:bookmarkEnd w:id="71"/>
            <w:r>
              <w:rPr>
                <w:color w:val="000000"/>
              </w:rPr>
              <w:t>(</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0E5CACA0" w14:textId="77777777" w:rsidR="00962FA0" w:rsidRDefault="00000000">
      <w:pPr>
        <w:spacing w:before="0" w:after="120"/>
      </w:pPr>
      <w:r>
        <w:rPr>
          <w:color w:val="000000"/>
        </w:rPr>
        <w:t>Los modelos híbridos pueden combinar componentes lineales y no lineales, y los errores de ajuste del primer componente no deben confundirse con errores predictivos genuinos (Hyndman &amp; Athanasopoulos, 2021; Zhang, 2003). Como adaptación metodológica para Cup&amp;Cake, los errores usados por el segundo componente se generarán respetando el orden temporal y la suma se evaluará en semanas no utilizadas para configurar el procedimiento.</w:t>
      </w:r>
    </w:p>
    <w:p w14:paraId="145731EC"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7022DC42"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0468D2A8"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4466221D"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DB91780" w14:textId="77777777" w:rsidTr="0041658B">
        <w:trPr>
          <w:cantSplit/>
        </w:trPr>
        <w:tc>
          <w:tcPr>
            <w:tcW w:w="753" w:type="dxa"/>
          </w:tcPr>
          <w:p w14:paraId="1D379D63" w14:textId="77777777" w:rsidR="00962FA0" w:rsidRDefault="00962FA0">
            <w:pPr>
              <w:keepNext/>
              <w:spacing w:before="80" w:after="80" w:line="240" w:lineRule="auto"/>
              <w:jc w:val="center"/>
            </w:pPr>
          </w:p>
        </w:tc>
        <w:tc>
          <w:tcPr>
            <w:tcW w:w="8319" w:type="dxa"/>
          </w:tcPr>
          <w:p w14:paraId="799D93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890" w:type="dxa"/>
          </w:tcPr>
          <w:p w14:paraId="2D24896E" w14:textId="77777777" w:rsidR="00962FA0" w:rsidRDefault="00000000">
            <w:pPr>
              <w:keepNext/>
              <w:spacing w:before="80" w:after="80" w:line="240" w:lineRule="auto"/>
              <w:jc w:val="right"/>
            </w:pPr>
            <w:bookmarkStart w:id="74" w:name="MT_shares"/>
            <w:bookmarkEnd w:id="74"/>
            <w:r>
              <w:rPr>
                <w:color w:val="000000"/>
              </w:rPr>
              <w:t>(</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70C781D5"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30CCBDCB"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3999E080" w14:textId="77777777" w:rsidR="00962FA0" w:rsidRDefault="00000000">
      <w:pPr>
        <w:spacing w:before="0" w:after="120"/>
      </w:pPr>
      <w:r>
        <w:rPr>
          <w:color w:val="000000"/>
        </w:rPr>
        <w:t>El enfoque descendente pronostica un agregado y lo distribuye mediante proporciones. La ecuación (17)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5A047C9" w14:textId="77777777" w:rsidTr="0041658B">
        <w:trPr>
          <w:cantSplit/>
        </w:trPr>
        <w:tc>
          <w:tcPr>
            <w:tcW w:w="753" w:type="dxa"/>
          </w:tcPr>
          <w:p w14:paraId="5F465A7A" w14:textId="77777777" w:rsidR="00962FA0" w:rsidRDefault="00962FA0">
            <w:pPr>
              <w:keepNext/>
              <w:spacing w:before="80" w:after="80" w:line="240" w:lineRule="auto"/>
              <w:jc w:val="center"/>
            </w:pPr>
          </w:p>
        </w:tc>
        <w:tc>
          <w:tcPr>
            <w:tcW w:w="8319" w:type="dxa"/>
          </w:tcPr>
          <w:p w14:paraId="2909DB34"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7A2B2E68" w14:textId="77777777" w:rsidR="00962FA0" w:rsidRDefault="00000000">
            <w:pPr>
              <w:keepNext/>
              <w:spacing w:before="80" w:after="80" w:line="240" w:lineRule="auto"/>
              <w:jc w:val="right"/>
            </w:pPr>
            <w:bookmarkStart w:id="76" w:name="MT_allocation"/>
            <w:bookmarkEnd w:id="76"/>
            <w:r>
              <w:rPr>
                <w:color w:val="000000"/>
              </w:rPr>
              <w:t>(</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50EEDB89"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7668F7B9"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A45D800" w14:textId="77777777" w:rsidTr="0041658B">
        <w:trPr>
          <w:cantSplit/>
        </w:trPr>
        <w:tc>
          <w:tcPr>
            <w:tcW w:w="753" w:type="dxa"/>
          </w:tcPr>
          <w:p w14:paraId="33F4760F" w14:textId="77777777" w:rsidR="00962FA0" w:rsidRDefault="00962FA0">
            <w:pPr>
              <w:keepNext/>
              <w:spacing w:before="80" w:after="80" w:line="240" w:lineRule="auto"/>
              <w:jc w:val="center"/>
            </w:pPr>
          </w:p>
        </w:tc>
        <w:tc>
          <w:tcPr>
            <w:tcW w:w="8319" w:type="dxa"/>
          </w:tcPr>
          <w:p w14:paraId="4461EF0C"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890" w:type="dxa"/>
          </w:tcPr>
          <w:p w14:paraId="7C1C71C7" w14:textId="77777777" w:rsidR="00962FA0" w:rsidRDefault="00000000">
            <w:pPr>
              <w:keepNext/>
              <w:spacing w:before="80" w:after="80" w:line="240" w:lineRule="auto"/>
              <w:jc w:val="right"/>
            </w:pPr>
            <w:bookmarkStart w:id="77" w:name="MT_histshare"/>
            <w:bookmarkEnd w:id="77"/>
            <w:r>
              <w:rPr>
                <w:color w:val="000000"/>
              </w:rPr>
              <w:t>(</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147C69D2"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03F44D66"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4E49E6B2"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118E7D1" w14:textId="77777777" w:rsidTr="0041658B">
        <w:trPr>
          <w:cantSplit/>
        </w:trPr>
        <w:tc>
          <w:tcPr>
            <w:tcW w:w="753" w:type="dxa"/>
          </w:tcPr>
          <w:p w14:paraId="04240DB0" w14:textId="77777777" w:rsidR="00962FA0" w:rsidRDefault="00962FA0">
            <w:pPr>
              <w:keepNext/>
              <w:spacing w:before="80" w:after="80" w:line="240" w:lineRule="auto"/>
              <w:jc w:val="center"/>
            </w:pPr>
          </w:p>
        </w:tc>
        <w:tc>
          <w:tcPr>
            <w:tcW w:w="8319" w:type="dxa"/>
          </w:tcPr>
          <w:p w14:paraId="762DD64D"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890" w:type="dxa"/>
          </w:tcPr>
          <w:p w14:paraId="57833F1C" w14:textId="77777777" w:rsidR="00962FA0" w:rsidRDefault="00000000">
            <w:pPr>
              <w:keepNext/>
              <w:spacing w:before="80" w:after="80" w:line="240" w:lineRule="auto"/>
              <w:jc w:val="right"/>
            </w:pPr>
            <w:bookmarkStart w:id="79" w:name="MT_alr"/>
            <w:bookmarkEnd w:id="79"/>
            <w:r>
              <w:rPr>
                <w:color w:val="000000"/>
              </w:rPr>
              <w:t>(</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1382242E" w14:textId="77777777" w:rsidR="00962FA0" w:rsidRDefault="00000000">
      <w:pPr>
        <w:spacing w:before="0" w:after="120"/>
      </w:pPr>
      <w:r>
        <w:rPr>
          <w:color w:val="000000"/>
        </w:rPr>
        <w:t xml:space="preserve">Esta transformación es una alternativa teórica y no obliga a seleccionarla para el estudio. Los ceros requieren un tratamiento explícito que no distorsione la composición; no deberán </w:t>
      </w:r>
      <w:r>
        <w:rPr>
          <w:color w:val="000000"/>
        </w:rPr>
        <w:lastRenderedPageBreak/>
        <w:t>sustituirse de manera arbitraria solo para permitir un logaritmo. Una estrategia más simple también podrá ser pertinente si conserva coherencia y obtiene precisión comparable fuera de muestra (Aitchison, 1982).</w:t>
      </w:r>
    </w:p>
    <w:p w14:paraId="02B2B7BB"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1D3F2B32"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B68E1BA" w14:textId="77777777" w:rsidR="00962FA0" w:rsidRDefault="00000000">
      <w:pPr>
        <w:spacing w:before="0" w:after="120"/>
      </w:pPr>
      <w:r>
        <w:rPr>
          <w:color w:val="000000"/>
        </w:rPr>
        <w:t xml:space="preserve">La cantidad de observaciones debe valorarse en relación con la complejidad del modelo y la dependencia de los datos. Para pérdida cuadrática, la </w:t>
      </w:r>
      <w:proofErr w:type="gramStart"/>
      <w:r>
        <w:rPr>
          <w:color w:val="000000"/>
        </w:rPr>
        <w:t>descomposición sesgo</w:t>
      </w:r>
      <w:proofErr w:type="gramEnd"/>
      <w:r>
        <w:rPr>
          <w:color w:val="000000"/>
        </w:rPr>
        <w:t>–varianza expresa el error esperado como suma de sesgo al cuadrado, varianza del estimador y ruido irreducible. La ecuación (20)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4F1C9EF8" w14:textId="77777777" w:rsidTr="0041658B">
        <w:trPr>
          <w:cantSplit/>
        </w:trPr>
        <w:tc>
          <w:tcPr>
            <w:tcW w:w="753" w:type="dxa"/>
          </w:tcPr>
          <w:p w14:paraId="21A86EC5" w14:textId="77777777" w:rsidR="00962FA0" w:rsidRDefault="00962FA0">
            <w:pPr>
              <w:keepNext/>
              <w:spacing w:before="80" w:after="80" w:line="240" w:lineRule="auto"/>
              <w:jc w:val="center"/>
            </w:pPr>
          </w:p>
        </w:tc>
        <w:tc>
          <w:tcPr>
            <w:tcW w:w="8319" w:type="dxa"/>
          </w:tcPr>
          <w:p w14:paraId="55AE3902"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890" w:type="dxa"/>
          </w:tcPr>
          <w:p w14:paraId="17CDD978" w14:textId="77777777" w:rsidR="00962FA0" w:rsidRDefault="00000000">
            <w:pPr>
              <w:keepNext/>
              <w:spacing w:before="80" w:after="80" w:line="240" w:lineRule="auto"/>
              <w:jc w:val="right"/>
            </w:pPr>
            <w:bookmarkStart w:id="82" w:name="MT_biasvar"/>
            <w:bookmarkEnd w:id="82"/>
            <w:r>
              <w:rPr>
                <w:color w:val="000000"/>
              </w:rPr>
              <w:t>(</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180B69C9"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08E607C2"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7BC458BE" w14:textId="77777777" w:rsidR="00962FA0" w:rsidRDefault="00000000">
      <w:pPr>
        <w:spacing w:before="0" w:after="120"/>
      </w:pPr>
      <w:r>
        <w:rPr>
          <w:color w:val="000000"/>
        </w:rPr>
        <w:t xml:space="preserve">Ridge añade una penalización cuadrática sobre coeficientes y Lasso una penalización absoluta. Las ecuaciones (21) y (22)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E90E40F" w14:textId="77777777" w:rsidTr="0041658B">
        <w:trPr>
          <w:cantSplit/>
        </w:trPr>
        <w:tc>
          <w:tcPr>
            <w:tcW w:w="753" w:type="dxa"/>
          </w:tcPr>
          <w:p w14:paraId="368D64DD" w14:textId="77777777" w:rsidR="00962FA0" w:rsidRDefault="00962FA0">
            <w:pPr>
              <w:keepNext/>
              <w:spacing w:before="80" w:after="80" w:line="240" w:lineRule="auto"/>
              <w:jc w:val="center"/>
            </w:pPr>
          </w:p>
        </w:tc>
        <w:tc>
          <w:tcPr>
            <w:tcW w:w="8178" w:type="dxa"/>
          </w:tcPr>
          <w:p w14:paraId="6963453B"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1031" w:type="dxa"/>
          </w:tcPr>
          <w:p w14:paraId="2063C532" w14:textId="77777777" w:rsidR="00962FA0" w:rsidRDefault="00000000">
            <w:pPr>
              <w:keepNext/>
              <w:spacing w:before="80" w:after="80" w:line="240" w:lineRule="auto"/>
              <w:jc w:val="right"/>
            </w:pPr>
            <w:bookmarkStart w:id="84" w:name="MT_ridge"/>
            <w:bookmarkEnd w:id="84"/>
            <w:r>
              <w:rPr>
                <w:color w:val="000000"/>
              </w:rPr>
              <w:t>(</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758A6928" w14:textId="77777777" w:rsidTr="0041658B">
        <w:trPr>
          <w:cantSplit/>
        </w:trPr>
        <w:tc>
          <w:tcPr>
            <w:tcW w:w="753" w:type="dxa"/>
          </w:tcPr>
          <w:p w14:paraId="0789E593" w14:textId="77777777" w:rsidR="00962FA0" w:rsidRDefault="00962FA0">
            <w:pPr>
              <w:keepNext/>
              <w:spacing w:before="80" w:after="80" w:line="240" w:lineRule="auto"/>
              <w:jc w:val="center"/>
            </w:pPr>
          </w:p>
        </w:tc>
        <w:tc>
          <w:tcPr>
            <w:tcW w:w="8178" w:type="dxa"/>
          </w:tcPr>
          <w:p w14:paraId="5038EEE0"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1031" w:type="dxa"/>
          </w:tcPr>
          <w:p w14:paraId="3330E33D" w14:textId="77777777" w:rsidR="00962FA0" w:rsidRDefault="00000000">
            <w:pPr>
              <w:keepNext/>
              <w:spacing w:before="80" w:after="80" w:line="240" w:lineRule="auto"/>
              <w:jc w:val="right"/>
            </w:pPr>
            <w:bookmarkStart w:id="85" w:name="MT_lasso"/>
            <w:bookmarkEnd w:id="85"/>
            <w:r>
              <w:rPr>
                <w:color w:val="000000"/>
              </w:rPr>
              <w:t>(</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59F1271B"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3760F27"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33300490"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542BE765" w14:textId="77777777" w:rsidR="00962FA0" w:rsidRDefault="00000000">
      <w:pPr>
        <w:spacing w:before="0" w:after="120"/>
      </w:pPr>
      <w:r>
        <w:rPr>
          <w:color w:val="000000"/>
        </w:rPr>
        <w:t>Las bases armónicas representan ciclos mediante funciones seno y coseno. La ecuación 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50808584" w14:textId="77777777" w:rsidTr="0041658B">
        <w:trPr>
          <w:cantSplit/>
        </w:trPr>
        <w:tc>
          <w:tcPr>
            <w:tcW w:w="753" w:type="dxa"/>
          </w:tcPr>
          <w:p w14:paraId="3358FACA" w14:textId="77777777" w:rsidR="00962FA0" w:rsidRDefault="00962FA0">
            <w:pPr>
              <w:keepNext/>
              <w:spacing w:before="80" w:after="80" w:line="240" w:lineRule="auto"/>
              <w:jc w:val="center"/>
            </w:pPr>
          </w:p>
        </w:tc>
        <w:tc>
          <w:tcPr>
            <w:tcW w:w="8319" w:type="dxa"/>
          </w:tcPr>
          <w:p w14:paraId="7799DCD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890" w:type="dxa"/>
          </w:tcPr>
          <w:p w14:paraId="64BA0C8E" w14:textId="77777777" w:rsidR="00962FA0" w:rsidRDefault="00000000">
            <w:pPr>
              <w:keepNext/>
              <w:spacing w:before="80" w:after="80" w:line="240" w:lineRule="auto"/>
              <w:jc w:val="right"/>
            </w:pPr>
            <w:bookmarkStart w:id="87" w:name="MT_fourier"/>
            <w:bookmarkEnd w:id="87"/>
            <w:r>
              <w:rPr>
                <w:color w:val="000000"/>
              </w:rPr>
              <w:t>(</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6D8F024D" w14:textId="77777777" w:rsidR="00962FA0" w:rsidRDefault="00000000">
      <w:pPr>
        <w:spacing w:before="0" w:after="120"/>
      </w:pPr>
      <w:r>
        <w:rPr>
          <w:color w:val="000000"/>
        </w:rPr>
        <w:t>La periodicidad debe corresponder al índice temporal y puede representarse mediante términos de Fourier cuando la estacionalidad lo justifique (Hyndman &amp; Athanasopoulos, 2021). Para este estudio, los eventos diarios se convertirán en indicadores semanales de presencia o proximidad. El número de armónicos y de interacciones se limitará de acuerdo con el historial disponible; ambas son decisiones de diseño del caso.</w:t>
      </w:r>
    </w:p>
    <w:p w14:paraId="22582CA6" w14:textId="77777777" w:rsidR="00962FA0" w:rsidRDefault="00000000">
      <w:pPr>
        <w:pStyle w:val="Ttulo3"/>
        <w:numPr>
          <w:ilvl w:val="2"/>
          <w:numId w:val="19"/>
        </w:numPr>
        <w:spacing w:before="240" w:line="300" w:lineRule="auto"/>
        <w:jc w:val="left"/>
      </w:pPr>
      <w:bookmarkStart w:id="88" w:name="_Toc240207740"/>
      <w:r>
        <w:lastRenderedPageBreak/>
        <w:t>Disponibilidad de variables exógenas</w:t>
      </w:r>
      <w:bookmarkEnd w:id="88"/>
    </w:p>
    <w:p w14:paraId="2BB5ACB4"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73AF4B68"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26ECC2B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63F638D9"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77EFC547"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44703CF0"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6E87A932" w14:textId="77777777" w:rsidTr="0041658B">
        <w:trPr>
          <w:cantSplit/>
        </w:trPr>
        <w:tc>
          <w:tcPr>
            <w:tcW w:w="753" w:type="dxa"/>
          </w:tcPr>
          <w:p w14:paraId="20DE9EAD" w14:textId="77777777" w:rsidR="00962FA0" w:rsidRDefault="00962FA0">
            <w:pPr>
              <w:keepNext/>
              <w:spacing w:before="80" w:after="80" w:line="240" w:lineRule="auto"/>
              <w:jc w:val="center"/>
            </w:pPr>
          </w:p>
        </w:tc>
        <w:tc>
          <w:tcPr>
            <w:tcW w:w="8319" w:type="dxa"/>
          </w:tcPr>
          <w:p w14:paraId="177A245F"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890" w:type="dxa"/>
          </w:tcPr>
          <w:p w14:paraId="43D21BF7" w14:textId="475A96F7" w:rsidR="00962FA0" w:rsidRDefault="00A94FDF">
            <w:pPr>
              <w:keepNext/>
              <w:spacing w:before="80" w:after="80" w:line="240" w:lineRule="auto"/>
              <w:jc w:val="right"/>
            </w:pPr>
            <w:bookmarkStart w:id="91" w:name="MT_error"/>
            <w:bookmarkEnd w:id="91"/>
            <w:r>
              <w:t>(</w:t>
            </w:r>
            <w:r w:rsidR="00000000">
              <w:fldChar w:fldCharType="begin"/>
            </w:r>
            <w:r w:rsidR="00000000">
              <w:instrText>SEQ EcuacionMT \* ARABIC</w:instrText>
            </w:r>
            <w:r w:rsidR="00000000">
              <w:fldChar w:fldCharType="separate"/>
            </w:r>
            <w:r w:rsidR="00D50C9D">
              <w:rPr>
                <w:noProof/>
              </w:rPr>
              <w:t>24</w:t>
            </w:r>
            <w:r w:rsidR="00000000">
              <w:rPr>
                <w:color w:val="000000"/>
              </w:rPr>
              <w:fldChar w:fldCharType="end"/>
            </w:r>
            <w:r w:rsidR="00000000">
              <w:rPr>
                <w:color w:val="000000"/>
              </w:rPr>
              <w:t>)</w:t>
            </w:r>
          </w:p>
        </w:tc>
      </w:tr>
    </w:tbl>
    <w:p w14:paraId="6572D487" w14:textId="77777777" w:rsidR="00962FA0" w:rsidRDefault="00000000">
      <w:pPr>
        <w:spacing w:before="0" w:after="120"/>
      </w:pPr>
      <w:r>
        <w:rPr>
          <w:color w:val="000000"/>
        </w:rPr>
        <w:t xml:space="preserve">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w:t>
      </w:r>
      <w:r>
        <w:rPr>
          <w:color w:val="000000"/>
        </w:rPr>
        <w:lastRenderedPageBreak/>
        <w:t>alternativas sin dar por comprobada la hipótesis antes de obtener evidencia (Hyndman &amp; Athanasopoulos, 2021).</w:t>
      </w:r>
    </w:p>
    <w:p w14:paraId="01503882"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7D94713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(25) y (26)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4F995DCD" w14:textId="77777777" w:rsidTr="0041658B">
        <w:trPr>
          <w:cantSplit/>
        </w:trPr>
        <w:tc>
          <w:tcPr>
            <w:tcW w:w="753" w:type="dxa"/>
          </w:tcPr>
          <w:p w14:paraId="42C77E2E" w14:textId="77777777" w:rsidR="00962FA0" w:rsidRDefault="00962FA0">
            <w:pPr>
              <w:keepNext/>
              <w:spacing w:before="80" w:after="80" w:line="240" w:lineRule="auto"/>
              <w:jc w:val="center"/>
            </w:pPr>
          </w:p>
        </w:tc>
        <w:tc>
          <w:tcPr>
            <w:tcW w:w="8178" w:type="dxa"/>
          </w:tcPr>
          <w:p w14:paraId="7A408931"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1031" w:type="dxa"/>
          </w:tcPr>
          <w:p w14:paraId="18DC1EE1" w14:textId="77777777" w:rsidR="00962FA0" w:rsidRDefault="00000000">
            <w:pPr>
              <w:keepNext/>
              <w:spacing w:before="80" w:after="80" w:line="240" w:lineRule="auto"/>
              <w:jc w:val="right"/>
            </w:pPr>
            <w:bookmarkStart w:id="93" w:name="MT_mae"/>
            <w:bookmarkEnd w:id="93"/>
            <w:r>
              <w:rPr>
                <w:color w:val="000000"/>
              </w:rPr>
              <w:t>(</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101A1398" w14:textId="77777777" w:rsidTr="0041658B">
        <w:trPr>
          <w:cantSplit/>
        </w:trPr>
        <w:tc>
          <w:tcPr>
            <w:tcW w:w="753" w:type="dxa"/>
          </w:tcPr>
          <w:p w14:paraId="49B066ED" w14:textId="77777777" w:rsidR="00962FA0" w:rsidRDefault="00962FA0">
            <w:pPr>
              <w:keepNext/>
              <w:spacing w:before="80" w:after="80" w:line="240" w:lineRule="auto"/>
              <w:jc w:val="center"/>
            </w:pPr>
          </w:p>
        </w:tc>
        <w:tc>
          <w:tcPr>
            <w:tcW w:w="8178" w:type="dxa"/>
          </w:tcPr>
          <w:p w14:paraId="0F6969B1"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1031" w:type="dxa"/>
          </w:tcPr>
          <w:p w14:paraId="5A086BBD" w14:textId="77777777" w:rsidR="00962FA0" w:rsidRDefault="00000000">
            <w:pPr>
              <w:keepNext/>
              <w:spacing w:before="80" w:after="80" w:line="240" w:lineRule="auto"/>
              <w:jc w:val="right"/>
            </w:pPr>
            <w:bookmarkStart w:id="94" w:name="MT_rmse"/>
            <w:bookmarkEnd w:id="94"/>
            <w:r>
              <w:rPr>
                <w:color w:val="000000"/>
              </w:rPr>
              <w:t>(</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36E7134" w14:textId="77777777" w:rsidR="00962FA0" w:rsidRDefault="00000000">
      <w:pPr>
        <w:spacing w:before="0" w:after="120"/>
      </w:pPr>
      <w:r>
        <w:rPr>
          <w:color w:val="000000"/>
        </w:rPr>
        <w:t>RMSE y MAE resumen el error en las mismas unidades del objetivo y deben interpretarse por horizonte (Hyndman &amp; Athanasopoulos, 2021). Un RMSE menor representa una menor media de errores cuadrados, pero no implica necesariamente menos errores extremos. Como regla previa del protocolo, H1 tendrá un criterio principal de comparación fijado antes del análisis final y las demás métricas se informarán como evidencia complementaria.</w:t>
      </w:r>
    </w:p>
    <w:p w14:paraId="4EF9C09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5E5D4AFF" w14:textId="77777777" w:rsidR="00962FA0" w:rsidRDefault="00000000">
      <w:pPr>
        <w:spacing w:before="0" w:after="120"/>
      </w:pPr>
      <w:r>
        <w:rPr>
          <w:color w:val="000000"/>
        </w:rPr>
        <w:t>MASE divide el error absoluto por una escala obtenida de diferencias históricas de entrenamiento. La ecuación (27)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203C929A" w14:textId="77777777" w:rsidTr="0041658B">
        <w:trPr>
          <w:cantSplit/>
        </w:trPr>
        <w:tc>
          <w:tcPr>
            <w:tcW w:w="753" w:type="dxa"/>
          </w:tcPr>
          <w:p w14:paraId="3C130E0D" w14:textId="77777777" w:rsidR="00962FA0" w:rsidRDefault="00962FA0">
            <w:pPr>
              <w:keepNext/>
              <w:spacing w:before="80" w:after="80" w:line="240" w:lineRule="auto"/>
              <w:jc w:val="center"/>
            </w:pPr>
          </w:p>
        </w:tc>
        <w:tc>
          <w:tcPr>
            <w:tcW w:w="8319" w:type="dxa"/>
          </w:tcPr>
          <w:p w14:paraId="420ED467"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890" w:type="dxa"/>
          </w:tcPr>
          <w:p w14:paraId="4DF7386D" w14:textId="77777777" w:rsidR="00962FA0" w:rsidRDefault="00000000">
            <w:pPr>
              <w:keepNext/>
              <w:spacing w:before="80" w:after="80" w:line="240" w:lineRule="auto"/>
              <w:jc w:val="right"/>
            </w:pPr>
            <w:bookmarkStart w:id="96" w:name="MT_mase"/>
            <w:bookmarkEnd w:id="96"/>
            <w:r>
              <w:rPr>
                <w:color w:val="000000"/>
              </w:rPr>
              <w:t>(</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4ED0F217"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40E43585" w14:textId="77777777" w:rsidR="00962FA0" w:rsidRDefault="00000000">
      <w:pPr>
        <w:spacing w:before="0" w:after="120"/>
      </w:pPr>
      <w:r>
        <w:rPr>
          <w:color w:val="000000"/>
        </w:rPr>
        <w:lastRenderedPageBreak/>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0DE60F01"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4DDA4B1D" w14:textId="77777777" w:rsidR="00962FA0" w:rsidRDefault="00000000">
      <w:pPr>
        <w:spacing w:before="0" w:after="120"/>
      </w:pPr>
      <w:r>
        <w:rPr>
          <w:color w:val="000000"/>
        </w:rPr>
        <w:t>La precisión de la composición debe medirse separadamente. La ecuación (28)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319"/>
        <w:gridCol w:w="890"/>
      </w:tblGrid>
      <w:tr w:rsidR="00962FA0" w14:paraId="1A6431BE" w14:textId="77777777" w:rsidTr="0041658B">
        <w:trPr>
          <w:cantSplit/>
        </w:trPr>
        <w:tc>
          <w:tcPr>
            <w:tcW w:w="753" w:type="dxa"/>
          </w:tcPr>
          <w:p w14:paraId="4A8088C0" w14:textId="77777777" w:rsidR="00962FA0" w:rsidRDefault="00962FA0">
            <w:pPr>
              <w:keepNext/>
              <w:spacing w:before="80" w:after="80" w:line="240" w:lineRule="auto"/>
              <w:jc w:val="center"/>
            </w:pPr>
          </w:p>
        </w:tc>
        <w:tc>
          <w:tcPr>
            <w:tcW w:w="8319" w:type="dxa"/>
          </w:tcPr>
          <w:p w14:paraId="400B1933"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890" w:type="dxa"/>
          </w:tcPr>
          <w:p w14:paraId="04D27F24" w14:textId="77777777" w:rsidR="00962FA0" w:rsidRDefault="00000000">
            <w:pPr>
              <w:keepNext/>
              <w:spacing w:before="80" w:after="80" w:line="240" w:lineRule="auto"/>
              <w:jc w:val="right"/>
            </w:pPr>
            <w:bookmarkStart w:id="98" w:name="MT_maepp"/>
            <w:bookmarkEnd w:id="98"/>
            <w:r>
              <w:rPr>
                <w:color w:val="000000"/>
              </w:rPr>
              <w:t>(</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10D4F934"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Esta regla constituye una decisión de evaluación del estudio.</w:t>
      </w:r>
    </w:p>
    <w:p w14:paraId="5568F5B0" w14:textId="77777777" w:rsidR="00962FA0" w:rsidRDefault="00000000">
      <w:pPr>
        <w:spacing w:before="0" w:after="120"/>
      </w:pPr>
      <w:r>
        <w:rPr>
          <w:color w:val="000000"/>
        </w:rPr>
        <w:t>La evaluación fuera de muestra debe mantenerse separada del ajuste y de la explicación causal (Shmueli, 2010; Tashman, 2000). Como definición previa de esta investigación, el contraste de H1 considerará la precisión del importe total y de su distribución; mejorar solo uno se describirá como evidencia favorable para ese componente. No se escogerá retrospectivamente el horizonte más conveniente ni se interpretará una diferencia de error como efecto financiero.</w:t>
      </w:r>
    </w:p>
    <w:p w14:paraId="36A64AD0" w14:textId="77777777" w:rsidR="00962FA0" w:rsidRDefault="00000000">
      <w:pPr>
        <w:pStyle w:val="Ttulo2"/>
        <w:numPr>
          <w:ilvl w:val="1"/>
          <w:numId w:val="19"/>
        </w:numPr>
        <w:spacing w:after="120" w:line="300" w:lineRule="auto"/>
        <w:jc w:val="left"/>
      </w:pPr>
      <w:bookmarkStart w:id="99" w:name="_Toc240207746"/>
      <w:r>
        <w:lastRenderedPageBreak/>
        <w:t>Inteligencia de negocios y comunicación del pronóstico</w:t>
      </w:r>
      <w:bookmarkEnd w:id="99"/>
    </w:p>
    <w:p w14:paraId="2490DA4B"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41322B8"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4D27E4E1" w14:textId="77777777" w:rsidR="00962FA0" w:rsidRDefault="00000000">
      <w:pPr>
        <w:spacing w:before="0" w:after="120"/>
      </w:pPr>
      <w:r>
        <w:rPr>
          <w:color w:val="000000"/>
        </w:rPr>
        <w:t>Los intervalos de predicción comunican incertidumbre adicional al valor puntual. Bajo una aproximación normal de los errores, la ecuación (29)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2350F647" w14:textId="77777777" w:rsidTr="00C95B8B">
        <w:trPr>
          <w:cantSplit/>
        </w:trPr>
        <w:tc>
          <w:tcPr>
            <w:tcW w:w="753" w:type="dxa"/>
          </w:tcPr>
          <w:p w14:paraId="0E846522" w14:textId="77777777" w:rsidR="00962FA0" w:rsidRDefault="00962FA0">
            <w:pPr>
              <w:keepNext/>
              <w:spacing w:before="80" w:after="80" w:line="240" w:lineRule="auto"/>
              <w:jc w:val="center"/>
            </w:pPr>
          </w:p>
        </w:tc>
        <w:tc>
          <w:tcPr>
            <w:tcW w:w="8178" w:type="dxa"/>
          </w:tcPr>
          <w:p w14:paraId="0828713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1031" w:type="dxa"/>
          </w:tcPr>
          <w:p w14:paraId="128C16BC" w14:textId="77777777" w:rsidR="00962FA0" w:rsidRDefault="00000000">
            <w:pPr>
              <w:keepNext/>
              <w:spacing w:before="80" w:after="80" w:line="240" w:lineRule="auto"/>
              <w:jc w:val="right"/>
            </w:pPr>
            <w:bookmarkStart w:id="101" w:name="MT_interval"/>
            <w:bookmarkEnd w:id="101"/>
            <w:r>
              <w:rPr>
                <w:color w:val="000000"/>
              </w:rPr>
              <w:t>(</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7404BC4F"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74B91D94"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7CB0B2C5"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21C72116" w14:textId="77777777" w:rsidR="00962FA0" w:rsidRDefault="00000000">
      <w:pPr>
        <w:spacing w:before="0" w:after="120"/>
      </w:pPr>
      <w:r>
        <w:rPr>
          <w:color w:val="000000"/>
        </w:rPr>
        <w:t>La precisión predictiva, los costos de implementación y los beneficios organizacionales corresponden a dimensiones distintas. En esta investigación, una reducción de MAE o RMSE no se denominará retorno de inversión, y los resultados se presentarán como información para apoyar la decisión, no como sustituto de la información operativa del responsable. Esta separación constituye una delimitación económica del estudio; Power (2002) sustenta el papel complementario de los sistemas de apoyo a decisiones.</w:t>
      </w:r>
    </w:p>
    <w:p w14:paraId="6F4D03A9"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78924CD9"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1F9B14C0" w14:textId="77777777" w:rsidR="00962FA0" w:rsidRDefault="00000000">
      <w:pPr>
        <w:spacing w:before="0" w:after="120"/>
      </w:pPr>
      <w:r>
        <w:rPr>
          <w:color w:val="000000"/>
        </w:rPr>
        <w:t>Los datos composicionales requieren conservar proporciones válidas dentro de un total (Aitchison, 1982). Por ello, el procedimiento evaluará por separado el importe y las participaciones frente a sus respectivas referencias. La coherencia de suma corresponde a la representación jerárquica, mientras que la precisión exige evidencia fuera de muestra (Hyndman &amp; Athanasopoulos, 2021; Hyndman et al., 2011).</w:t>
      </w:r>
    </w:p>
    <w:p w14:paraId="1B77BD3A" w14:textId="77777777" w:rsidR="00962FA0" w:rsidRDefault="00000000">
      <w:pPr>
        <w:spacing w:before="0" w:after="120"/>
      </w:pPr>
      <w:r>
        <w:rPr>
          <w:color w:val="000000"/>
        </w:rPr>
        <w:t>Shmueli (2010) distingue los objetivos explicativos de los predictivos. Con base en esa distinción, esta investigación se define como una evaluación predictiva del presupuesto semanal de abastecimiento. Como regla previa del estudio, H1 requerirá evidencia favorable en el importe total y en las participaciones; una mejora aislada se informará como resultado de ese componente y no como confirmación de la hipótesis conjunta.</w:t>
      </w:r>
    </w:p>
    <w:p w14:paraId="5BA32BBE"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1DD1F16A"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1A273DBC"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6E78210C" w14:textId="77777777" w:rsidR="00CF0519" w:rsidRDefault="00691DC4">
      <w:r>
        <w:t>Como se ha dicho, se puede investigar desde muy diferentes perspectivas, con diferentes objetivos o teniendo en cuenta diferentes tipos de datos, procedimientos o métodos para obtenerlos.</w:t>
      </w:r>
    </w:p>
    <w:p w14:paraId="1198BBB4" w14:textId="77777777" w:rsidR="00CF0519" w:rsidRDefault="00691DC4">
      <w:r>
        <w:rPr>
          <w:highlight w:val="yellow"/>
        </w:rPr>
        <w:t>Tipo de tesis: estudio aplicado, cuantitativo, no experimental y evaluativo, basado en un caso de estudio longitudinal-retrospectivo.</w:t>
      </w:r>
    </w:p>
    <w:p w14:paraId="2B65A310"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752D58E7" w14:textId="77777777" w:rsidR="00CF0519" w:rsidRDefault="00691DC4">
      <w:r>
        <w:t>Investigación aplicada</w:t>
      </w:r>
    </w:p>
    <w:p w14:paraId="67B889AE" w14:textId="77777777" w:rsidR="00CF0519" w:rsidRDefault="00691DC4">
      <w:r>
        <w:t xml:space="preserve">En </w:t>
      </w:r>
      <w:proofErr w:type="spellStart"/>
      <w:r w:rsidR="00253ED1" w:rsidRPr="00253ED1">
        <w:rPr>
          <w:i/>
        </w:rP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2D86CA7A" w14:textId="77777777" w:rsidR="00CF0519" w:rsidRDefault="00691DC4">
      <w:r>
        <w:lastRenderedPageBreak/>
        <w:t xml:space="preserve">La aplicación se delimitará al caso de </w:t>
      </w:r>
      <w:proofErr w:type="spellStart"/>
      <w:r w:rsidR="00253ED1" w:rsidRPr="00253ED1">
        <w:rPr>
          <w:i/>
        </w:rP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712843C"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0C67CA71" w14:textId="77777777" w:rsidR="00CF0519" w:rsidRDefault="00691DC4">
      <w:r>
        <w:t>La investigación se puede llevar a cabo de diferentes formas y profundizando más o menos en cómo son o el porqué de las cosas.</w:t>
      </w:r>
    </w:p>
    <w:p w14:paraId="04CDFFF6" w14:textId="77777777" w:rsidR="00CF0519" w:rsidRDefault="00691DC4">
      <w:r>
        <w:t xml:space="preserve">Se documentará el contexto de planeación de compras de </w:t>
      </w:r>
      <w:proofErr w:type="spellStart"/>
      <w:r w:rsidR="00253ED1" w:rsidRPr="00253ED1">
        <w:rPr>
          <w:i/>
        </w:rP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6DE1289A" w14:textId="77777777" w:rsidR="00CF0519" w:rsidRDefault="00691DC4">
      <w:pPr>
        <w:rPr>
          <w:i/>
          <w:iCs/>
          <w:color w:val="000000"/>
        </w:rPr>
      </w:pPr>
      <w:r>
        <w:rPr>
          <w:i/>
          <w:iCs/>
          <w:color w:val="000000"/>
        </w:rPr>
        <w:t>Evaluativa y comparativa</w:t>
      </w:r>
    </w:p>
    <w:p w14:paraId="71DF8A89"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27D2ADDF" w14:textId="77777777" w:rsidR="00CF0519" w:rsidRDefault="00691DC4">
      <w:r>
        <w:t xml:space="preserve">Para el caso de </w:t>
      </w:r>
      <w:proofErr w:type="spellStart"/>
      <w:r w:rsidR="00253ED1" w:rsidRPr="00253ED1">
        <w:rPr>
          <w:i/>
        </w:rP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5865007A" w14:textId="77777777" w:rsidR="00CF0519" w:rsidRDefault="00691DC4">
      <w:r>
        <w:t xml:space="preserve">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w:t>
      </w:r>
      <w:r>
        <w:lastRenderedPageBreak/>
        <w:t>de los principales insumos. Su inferencia se limitará al desempeño predictivo del caso de estudio.</w:t>
      </w:r>
    </w:p>
    <w:p w14:paraId="35D03890"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1016C9E7"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554C515F" w14:textId="77777777" w:rsidR="00CF0519" w:rsidRDefault="00691DC4">
      <w:r>
        <w:t>Otra manera de clasificar los diferentes tipos de investigación es según el tipo de datos que recojan. En este sentido nos podemos encontrar con los siguientes tipos.</w:t>
      </w:r>
    </w:p>
    <w:p w14:paraId="6BDA9B07" w14:textId="77777777" w:rsidR="00CF0519" w:rsidRDefault="00691DC4">
      <w:pPr>
        <w:rPr>
          <w:i/>
          <w:iCs/>
          <w:color w:val="000000"/>
        </w:rPr>
      </w:pPr>
      <w:r>
        <w:rPr>
          <w:i/>
          <w:iCs/>
          <w:color w:val="000000"/>
        </w:rPr>
        <w:t>Cuantitativa</w:t>
      </w:r>
    </w:p>
    <w:p w14:paraId="3C7A3C8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86FD623"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3576DC2D" w14:textId="77777777" w:rsidR="00CF0519" w:rsidRDefault="00691DC4">
      <w:r>
        <w:t xml:space="preserve">Se integrarán los registros históricos de ventas y compras de </w:t>
      </w:r>
      <w:proofErr w:type="spellStart"/>
      <w:r w:rsidR="00253ED1" w:rsidRPr="00253ED1">
        <w:rPr>
          <w:i/>
        </w:rP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BE96D8F" w14:textId="77777777" w:rsidR="00CF0519" w:rsidRDefault="00691DC4">
      <w:r>
        <w:lastRenderedPageBreak/>
        <w:t xml:space="preserve">Las matrices semanales permitirán ajustar y comparar los </w:t>
      </w:r>
      <w:proofErr w:type="gramStart"/>
      <w:r>
        <w:t>componentes estadístico</w:t>
      </w:r>
      <w:proofErr w:type="gramEnd"/>
      <w:r>
        <w:t xml:space="preserve">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351CDE2B"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2F83DB95" w14:textId="77777777" w:rsidR="00CF0519" w:rsidRDefault="00691DC4">
      <w:r>
        <w:t>Podemos encontrar diferentes tipos de investigaciones según si los datos obtenidos parten de un nivel mayor o menor de manipulación de variables.</w:t>
      </w:r>
    </w:p>
    <w:p w14:paraId="708BB34D" w14:textId="77777777" w:rsidR="00CF0519" w:rsidRDefault="00691DC4">
      <w:pPr>
        <w:rPr>
          <w:i/>
          <w:iCs/>
        </w:rPr>
      </w:pPr>
      <w:r>
        <w:rPr>
          <w:i/>
          <w:iCs/>
        </w:rPr>
        <w:t>No experimental, evaluativa y retrospectiva</w:t>
      </w:r>
    </w:p>
    <w:p w14:paraId="3A6A7873"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219BA7C6" w14:textId="77777777" w:rsidR="00CF0519" w:rsidRDefault="00691DC4">
      <w:r>
        <w:t xml:space="preserve">Se adoptará un diseño no experimental basado en el análisis retrospectivo de registros históricos de </w:t>
      </w:r>
      <w:proofErr w:type="spellStart"/>
      <w:r w:rsidR="00253ED1" w:rsidRPr="00253ED1">
        <w:rPr>
          <w:i/>
        </w:rP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6B802228" w14:textId="77777777" w:rsidR="00CF0519" w:rsidRDefault="00691DC4">
      <w:r>
        <w:t xml:space="preserve">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w:t>
      </w:r>
      <w:proofErr w:type="gramStart"/>
      <w:r>
        <w:t>objetivo comunes</w:t>
      </w:r>
      <w:proofErr w:type="gramEnd"/>
      <w:r>
        <w:t>; los ceros observados se distinguirán de la ausencia de registros.</w:t>
      </w:r>
    </w:p>
    <w:p w14:paraId="2DAB4075"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w:t>
      </w:r>
      <w:r>
        <w:lastRenderedPageBreak/>
        <w:t>reproducibles. Estos elementos permiten evaluar generalización predictiva en condiciones históricas, sin afirmar causalidad experimental.</w:t>
      </w:r>
    </w:p>
    <w:p w14:paraId="1DD49FF3" w14:textId="77777777" w:rsidR="00CF0519" w:rsidRDefault="00691DC4">
      <w:pPr>
        <w:pStyle w:val="Ttulo2"/>
        <w:numPr>
          <w:ilvl w:val="1"/>
          <w:numId w:val="19"/>
        </w:numPr>
      </w:pPr>
      <w:bookmarkStart w:id="114" w:name="_Toc240207755"/>
      <w:r>
        <w:t>Diseño evaluativo y comparación contra la línea base</w:t>
      </w:r>
      <w:bookmarkEnd w:id="114"/>
    </w:p>
    <w:p w14:paraId="0108DFC8"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4C7DBF77"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0F2720D6"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6B236032"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472E4FAE" w14:textId="77777777" w:rsidR="00CF0519" w:rsidRDefault="00691DC4">
      <w:r>
        <w:t>Otro tipo de clasificación se puede extraer a partir del método empleado a la hora de inferir cómo funciona la realidad.</w:t>
      </w:r>
    </w:p>
    <w:p w14:paraId="56B3A73E" w14:textId="77777777" w:rsidR="00CF0519" w:rsidRDefault="00691DC4">
      <w:pPr>
        <w:rPr>
          <w:i/>
          <w:iCs/>
        </w:rPr>
      </w:pPr>
      <w:r>
        <w:rPr>
          <w:i/>
          <w:iCs/>
        </w:rPr>
        <w:t>De método deductivo</w:t>
      </w:r>
    </w:p>
    <w:p w14:paraId="4523D7FB"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B21859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xml:space="preserve">. Este enfoque inferencial se caracteriza por guiar el pensamiento de manera sistemática desde </w:t>
      </w:r>
      <w:r>
        <w:lastRenderedPageBreak/>
        <w:t>premisas, leyes y teorías universales consolidadas hacia la verificación, contrastación o falsación de una proposición particular aplicable a un escenario específico.</w:t>
      </w:r>
    </w:p>
    <w:p w14:paraId="200E9752" w14:textId="77777777" w:rsidR="00CF0519" w:rsidRDefault="00691DC4">
      <w:r>
        <w:t xml:space="preserve">En el marco de este estudio, el proceso deductivo parte de los fundamentos de los modelos de pronóstico y de la evidencia empírica sobre </w:t>
      </w:r>
      <w:proofErr w:type="spellStart"/>
      <w:r w:rsidR="00253ED1" w:rsidRPr="00253ED1">
        <w:rPr>
          <w:i/>
        </w:rPr>
        <w:t>small</w:t>
      </w:r>
      <w:proofErr w:type="spellEnd"/>
      <w:r w:rsidR="00253ED1" w:rsidRPr="00253ED1">
        <w:rPr>
          <w:i/>
        </w:rPr>
        <w:t xml:space="preserve"> data</w:t>
      </w:r>
      <w:r>
        <w:t>.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6ACFF7BB"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475FC40F" w14:textId="77777777" w:rsidR="00CF0519" w:rsidRDefault="00691DC4">
      <w:pPr>
        <w:pStyle w:val="Ttulo2"/>
        <w:numPr>
          <w:ilvl w:val="1"/>
          <w:numId w:val="19"/>
        </w:numPr>
      </w:pPr>
      <w:bookmarkStart w:id="117" w:name="_Toc240207757"/>
      <w:r>
        <w:t>Temporalidad de la investigación</w:t>
      </w:r>
      <w:bookmarkEnd w:id="117"/>
    </w:p>
    <w:p w14:paraId="3FF1487E"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2676E9D5" w14:textId="099BA3D0" w:rsidR="00B302B0" w:rsidRDefault="00000000">
      <w:r>
        <w:t xml:space="preserve">La incorporación de variables exógenas se controlará mediante un registro explícito de fuente, disponibilidad y rezago. El </w:t>
      </w:r>
      <w:r w:rsidR="00006179" w:rsidRPr="00006179">
        <w:rPr>
          <w:i/>
        </w:rPr>
        <w:t>pipeline</w:t>
      </w:r>
      <w:r>
        <w:t xml:space="preserv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AF564F9" w14:textId="77777777" w:rsidR="00B302B0" w:rsidRDefault="00000000">
      <w:r>
        <w:lastRenderedPageBreak/>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732F8111"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00775680"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7D3E2092" w14:textId="0F17D2FC" w:rsidR="00CF0519" w:rsidRDefault="00691DC4">
      <w:r>
        <w:t xml:space="preserve">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w:t>
      </w:r>
      <w:r w:rsidR="00006179" w:rsidRPr="00006179">
        <w:rPr>
          <w:i/>
        </w:rPr>
        <w:t>pipeline</w:t>
      </w:r>
      <w:r>
        <w:t xml:space="preserve"> implementa una versión inicial de este flujo. La verificación técnica del software se distingue de la ejecución científica con datos reales, que permanece pendiente de aprobar fuentes, cobertura, catálogo y protocolo de evaluación.</w:t>
      </w:r>
    </w:p>
    <w:p w14:paraId="53748A75"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8F094D4" w14:textId="77777777" w:rsidR="00CF0519" w:rsidRDefault="00691DC4">
      <w:r>
        <w:t xml:space="preserve">Se recopilarán y estructurarán los registros históricos disponibles de </w:t>
      </w:r>
      <w:proofErr w:type="spellStart"/>
      <w:r w:rsidR="00253ED1" w:rsidRPr="00253ED1">
        <w:rPr>
          <w:i/>
        </w:rPr>
        <w:t>Cup&amp;Cake</w:t>
      </w:r>
      <w:proofErr w:type="spellEnd"/>
      <w:r>
        <w:t>. Se verificará su integridad antes de asumir su utilidad para el modelado. La consolidación contemplará principalmente las siguientes fuentes:</w:t>
      </w:r>
    </w:p>
    <w:p w14:paraId="008A593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568C6DEA" w14:textId="77777777" w:rsidR="00CF0519" w:rsidRDefault="00691DC4">
      <w:pPr>
        <w:pStyle w:val="Prrafodelista"/>
        <w:numPr>
          <w:ilvl w:val="0"/>
          <w:numId w:val="33"/>
        </w:numPr>
      </w:pPr>
      <w:r>
        <w:t>Bitácoras de compra de materia prima.</w:t>
      </w:r>
    </w:p>
    <w:p w14:paraId="64617DED" w14:textId="77777777" w:rsidR="00CF0519" w:rsidRDefault="00691DC4">
      <w:r>
        <w:lastRenderedPageBreak/>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0B28E330" w14:textId="77777777" w:rsidR="00B302B0" w:rsidRDefault="00000000">
      <w:pPr>
        <w:pStyle w:val="Ttulo3"/>
      </w:pPr>
      <w:r>
        <w:t>Auditoría de cobertura y construcción del panel semanal</w:t>
      </w:r>
    </w:p>
    <w:p w14:paraId="3AA0661B" w14:textId="77777777" w:rsidR="00B302B0" w:rsidRDefault="00000000">
      <w:r>
        <w:t>La cobertura se determina con un calendario semanal y una tabla de evidencia revisada. Cada semana se distingue como observada, cero confirmado o desconocida; la ausencia de transacciones no se interpreta por sí sola como gasto cero. En la preparación acordada se completaron mediante promedio simple los huecos del tramo 2021-05-03 a 2024-04-29 para los archivos de ventas y compras de análisis. Esta serie completada se conserva como producto derivado y no sustituye los registros originales. Fuera del tramo autorizado, los periodos sin captura permanecen ausentes y se excluyen del ajuste cuando no hay evidencia suficiente.</w:t>
      </w:r>
    </w:p>
    <w:p w14:paraId="3679E018" w14:textId="262648F2" w:rsidR="00B302B0" w:rsidRDefault="00000000">
      <w:r>
        <w:t xml:space="preserve">El experimento usa evaluación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La configuración aplicada fija una ventana de entrenamiento de 52 semanas, desplaza el origen cada tres semanas y pronostica horizontes directos de una a cuatro semanas. La corrida reciente reserva el tramo final definido por la configuración y registra los </w:t>
      </w:r>
      <w:proofErr w:type="spellStart"/>
      <w:r w:rsidR="00DD44DD" w:rsidRPr="00DD44DD">
        <w:rPr>
          <w:i/>
        </w:rPr>
        <w:t>folds</w:t>
      </w:r>
      <w:proofErr w:type="spellEnd"/>
      <w:r>
        <w:t xml:space="preserve"> incompletos o no comparables, en lugar de completar sus valores. La selección interna del modelo ocurre antes de la evaluación final; los resultados finales no se reutilizan para escoger componentes.</w:t>
      </w:r>
    </w:p>
    <w:p w14:paraId="7C96BABA"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3D8672BF" w14:textId="77777777" w:rsidR="00B302B0" w:rsidRDefault="00000000">
      <w:r>
        <w:t xml:space="preserve">Cada corrida exporta panel semanal, periodos ausentes, imputaciones realizadas, coberturas, exclusiones, predicciones, métricas, figuras y manifiesto con huellas de las fuentes y del </w:t>
      </w:r>
      <w:r>
        <w:lastRenderedPageBreak/>
        <w:t>código. Los diagnósticos exploratorios heredados y sus figuras permanecen identificados como antecedentes, no como evidencia producida por la corrida vigente.</w:t>
      </w:r>
    </w:p>
    <w:p w14:paraId="69ECE8EB" w14:textId="77777777" w:rsidR="00CF0519" w:rsidRDefault="00691DC4">
      <w:pPr>
        <w:pStyle w:val="Ttulo3"/>
        <w:numPr>
          <w:ilvl w:val="2"/>
          <w:numId w:val="19"/>
        </w:numPr>
      </w:pPr>
      <w:r>
        <w:t>Predictores de compras, ventas y calendario</w:t>
      </w:r>
    </w:p>
    <w:p w14:paraId="40B06FEA" w14:textId="77777777" w:rsidR="00CF0519" w:rsidRDefault="00691DC4">
      <w:r>
        <w:t xml:space="preserve">Se examinará si los registros de compras de </w:t>
      </w:r>
      <w:proofErr w:type="spellStart"/>
      <w:r w:rsidR="00253ED1" w:rsidRPr="00253ED1">
        <w:rPr>
          <w:i/>
        </w:rP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4BC2371A" w14:textId="77777777" w:rsidR="00CF0519" w:rsidRDefault="00691DC4">
      <w:r>
        <w:t>El panel modelado incorpora características de compras y ventas agregadas semanalmente, antecedentes temporales y variables calendáricas. Las ventas se usan como predictor histórico: para cada origen solo se admiten los valores ya observables antes del pronóstico. La corrida más reciente registró como variables calendáricas disponibles los indicadores de semana de pago y semana festiva. No se consideran conocidas a futuro variables como ventas realizadas o condiciones observadas posteriormente. La inclusión de una fuente en el flujo no implica que cada columna haya sido seleccionada por todos los modelos.</w:t>
      </w:r>
    </w:p>
    <w:p w14:paraId="74C8CB24" w14:textId="77777777" w:rsidR="00CF0519" w:rsidRDefault="00691DC4">
      <w:pPr>
        <w:pStyle w:val="Ttulo3"/>
        <w:numPr>
          <w:ilvl w:val="2"/>
          <w:numId w:val="19"/>
        </w:numPr>
      </w:pPr>
      <w:r>
        <w:t>Modelos de referencia y arquitectura híbrida</w:t>
      </w:r>
    </w:p>
    <w:p w14:paraId="56261718" w14:textId="77777777" w:rsidR="00CF0519" w:rsidRDefault="00691DC4">
      <w:r>
        <w:t>Se comparan referencias sencillas y modelos estadísticos y de aprendizaje automático, además de combinaciones híbridas. La selección se realiza por horizonte mediante validación temporal interna y con los mismos datos disponibles en cada origen.</w:t>
      </w:r>
    </w:p>
    <w:p w14:paraId="0E50C6AB" w14:textId="3058AA68" w:rsidR="00CF0519" w:rsidRDefault="00691DC4">
      <w:pPr>
        <w:numPr>
          <w:ilvl w:val="0"/>
          <w:numId w:val="21"/>
        </w:numPr>
      </w:pPr>
      <w:r>
        <w:t xml:space="preserve">El componente estadístico contempla suavizamiento exponencial y ARIMA estacional/no estacional según la implementación, además de referencias como último valor, promedio móvil y persistencia estacional cuando la historia necesaria está disponible. La disponibilidad desigual de una referencia estacional se reporta; no se fuerza su resultado en </w:t>
      </w:r>
      <w:proofErr w:type="spellStart"/>
      <w:r w:rsidR="00DD44DD" w:rsidRPr="00DD44DD">
        <w:rPr>
          <w:i/>
        </w:rPr>
        <w:t>folds</w:t>
      </w:r>
      <w:proofErr w:type="spellEnd"/>
      <w:r>
        <w:t xml:space="preserve"> sin suficientes observaciones.</w:t>
      </w:r>
    </w:p>
    <w:p w14:paraId="4BE24485" w14:textId="77777777" w:rsidR="00CF0519" w:rsidRDefault="00691DC4">
      <w:pPr>
        <w:numPr>
          <w:ilvl w:val="0"/>
          <w:numId w:val="21"/>
        </w:numPr>
      </w:pPr>
      <w:r>
        <w:t xml:space="preserve">Los componentes de aprendizaje automático incluyen Ridge, Random Forest, HistGradientBoosting y una red neuronal perceptrón multicapa (MLP) de arquitectura </w:t>
      </w:r>
      <w:r>
        <w:lastRenderedPageBreak/>
        <w:t>pequeña y semilla fija. Se evalúan tanto como predictores directos como en combinaciones residuales con ARIMA. La MLP se denomina red neuronal; no es una arquitectura recurrente RNN/LSTM.</w:t>
      </w:r>
    </w:p>
    <w:p w14:paraId="426B7736" w14:textId="77777777" w:rsidR="00CF0519" w:rsidRDefault="00691DC4">
      <w:pPr>
        <w:numPr>
          <w:ilvl w:val="0"/>
          <w:numId w:val="21"/>
        </w:numPr>
      </w:pPr>
      <w:r>
        <w:t>Las redes recurrentes RNN y LSTM no forman parte de esta versión. La red neuronal incluida es una MLP acotada, apropiada para el tamaño reducido de la muestra y evaluada bajo las mismas particiones temporales.</w:t>
      </w:r>
    </w:p>
    <w:p w14:paraId="2FC924BD" w14:textId="77777777" w:rsidR="001351B3" w:rsidRDefault="00000000">
      <w:r>
        <w:t>El híbrido integra pronósticos estadísticos y de aprendizaje automático mediante ponderación, y también evalúa corrección de residuos del componente ARIMA mediante aprendizaje automático. Se seleccionan familia, combinación y peso por horizonte con validación interna. Los pronósticos monetarios se restringen a valores no negativos; los fallos de ajuste quedan registrados y no se ocultan mediante sustituciones silenciosas.</w:t>
      </w:r>
    </w:p>
    <w:p w14:paraId="5293437F" w14:textId="77777777" w:rsidR="001351B3" w:rsidRDefault="00000000">
      <w:r>
        <w:t>El conjunto de categorías se define antes de evaluar. Se excluyen las categorías presupuestarias COMBUSTIBLE, MUEBLES, HERRAMIENTA, IMPUTADO, IMPUTADOS y OTROS. Los principales insumos se presentan individualmente y las categorías elegibles restantes se agrupan como RESTO_ELEGIBLE para que la asignación concilie con el total pronosticado. Esta categoría residual no equivale a la categoría presupuestaria OTROS, que está excluida.</w:t>
      </w:r>
    </w:p>
    <w:p w14:paraId="76913AFF" w14:textId="77777777" w:rsidR="001351B3" w:rsidRDefault="00000000">
      <w:r>
        <w:t>La participación de cada categoría principal se calcula respecto del total semanal elegible, sin reescalar las categorías mostradas para que por sí solas sumen 100 %. La porción elegible no mostrada se informa como RESTO_ELEGIBLE. Las participaciones históricas se estiman con ponderación exponencial, cuyo parámetro se selecciona internamente. Las asignaciones monetarias se obtienen multiplicando cada participación por el total pronosticado y se reconcilian a centavos.</w:t>
      </w:r>
    </w:p>
    <w:p w14:paraId="3C913D00" w14:textId="77777777" w:rsidR="001351B3" w:rsidRDefault="00000000">
      <w:r>
        <w:t>Como comparación de composición se utiliza el promedio de participaciones semanales observado en la historia de entrenamiento, únicamente en semanas con total positivo y composición definida. La estimación exige un mínimo de ocho semanas válidas; si no se alcanza, se registra la exclusión y no se crea una distribución arbitraria.</w:t>
      </w:r>
    </w:p>
    <w:p w14:paraId="2ADE064A" w14:textId="5576B7FD" w:rsidR="00CF0519" w:rsidRDefault="00691DC4">
      <w:pPr>
        <w:pStyle w:val="Ttulo3"/>
        <w:numPr>
          <w:ilvl w:val="2"/>
          <w:numId w:val="19"/>
        </w:numPr>
      </w:pPr>
      <w:r>
        <w:lastRenderedPageBreak/>
        <w:t xml:space="preserve">Validación temporal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p>
    <w:p w14:paraId="22A3FDD5" w14:textId="6B40F2E4" w:rsidR="00CF0519" w:rsidRDefault="00691DC4">
      <w:r>
        <w:t xml:space="preserve">La configuración aplicada utiliza 52 semanas de entrenamiento, avance de tres semanas y horizontes de una a cuatro semanas. La validación interna utiliza cinco orígenes para elegir componentes; la disponibilidad de historia y cobertura determina qué </w:t>
      </w:r>
      <w:proofErr w:type="spellStart"/>
      <w:r w:rsidR="00DD44DD" w:rsidRPr="00DD44DD">
        <w:rPr>
          <w:i/>
        </w:rPr>
        <w:t>folds</w:t>
      </w:r>
      <w:proofErr w:type="spellEnd"/>
      <w:r>
        <w:t xml:space="preserve"> pueden calcularse. Los objetivos de la última partición interna preceden a la evaluación final para evitar contaminación temporal.</w:t>
      </w:r>
    </w:p>
    <w:p w14:paraId="084D89A8" w14:textId="77777777" w:rsidR="00CF0519" w:rsidRDefault="00691DC4">
      <w:r>
        <w:t>En cada origen, los modelos se entrenan únicamente con datos admisibles hasta esa fecha y producen pronósticos directos para cada horizonte. Las características históricas se recalculan respetando su fecha de disponibilidad. Solo se calculan métricas cuando el objetivo tiene captura utilizable; se informan tamaño de muestra y exclusiones por horizonte y modelo.</w:t>
      </w:r>
    </w:p>
    <w:p w14:paraId="21A6AB21" w14:textId="77777777" w:rsidR="00CF0519" w:rsidRDefault="00691DC4">
      <w:pPr>
        <w:pStyle w:val="Ttulo3"/>
        <w:numPr>
          <w:ilvl w:val="2"/>
          <w:numId w:val="19"/>
        </w:numPr>
      </w:pPr>
      <w:r>
        <w:t>Métricas y criterios de comparación</w:t>
      </w:r>
    </w:p>
    <w:p w14:paraId="11FFD434" w14:textId="31F2C8F6" w:rsidR="00CF0519" w:rsidRDefault="00691DC4">
      <w:r>
        <w:t xml:space="preserve">La evaluación compara el importe semanal y la composición porcentual con referencias apropiadas para cada variable. La comparación principal utiliza los </w:t>
      </w:r>
      <w:proofErr w:type="spellStart"/>
      <w:r w:rsidR="00DD44DD" w:rsidRPr="00DD44DD">
        <w:rPr>
          <w:i/>
        </w:rPr>
        <w:t>folds</w:t>
      </w:r>
      <w:proofErr w:type="spellEnd"/>
      <w:r>
        <w:t xml:space="preserve"> comunes; referencias con menor disponibilidad se muestran por separado con su número de casos. La corrida actual permite analizar el aporte predictivo de ventas como característica disponible, pero una afirmación causal no se deriva de correlaciones ni de la selección de variables.</w:t>
      </w:r>
    </w:p>
    <w:p w14:paraId="1E7C7FBF"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293D865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3857D482" w14:textId="77777777" w:rsidR="00CF0519" w:rsidRDefault="00691DC4">
      <w:pPr>
        <w:numPr>
          <w:ilvl w:val="0"/>
          <w:numId w:val="23"/>
        </w:numPr>
      </w:pPr>
      <w:r w:rsidRPr="003F2FD5">
        <w:rPr>
          <w:b/>
          <w:bCs/>
          <w:i/>
          <w:iCs/>
        </w:rPr>
        <w:t xml:space="preserve">Se propone utilizar MASE como medida monetaria complementaria, con el denominador calculado exclusivamente en el conjunto de entrenamiento y una referencia ingenua explícita. Si el denominador es cero, se reportará como no </w:t>
      </w:r>
      <w:r w:rsidRPr="003F2FD5">
        <w:rPr>
          <w:b/>
          <w:bCs/>
          <w:i/>
          <w:iCs/>
        </w:rPr>
        <w:lastRenderedPageBreak/>
        <w:t>definido. MAPE no será un criterio de selección y, si se presenta como diagnóstico, se indicarán las observaciones excluidas por importe cero.</w:t>
      </w:r>
    </w:p>
    <w:p w14:paraId="1C804057"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7F311D86" w14:textId="0ACBE379" w:rsidR="001351B3" w:rsidRDefault="00000000">
      <w:r>
        <w:t xml:space="preserve">La evidencia estadística se interpreta considerando el número reducido de </w:t>
      </w:r>
      <w:proofErr w:type="spellStart"/>
      <w:r w:rsidR="00DD44DD" w:rsidRPr="00DD44DD">
        <w:rPr>
          <w:i/>
        </w:rPr>
        <w:t>folds</w:t>
      </w:r>
      <w:proofErr w:type="spellEnd"/>
      <w:r>
        <w:t xml:space="preserve"> y la cobertura del registro. Los controles automatizados verifican consistencia del software y no sustituyen una prueba de hipótesis. La corrida reciente es exploratoria: los resultados descriptivos no bastan para declarar aceptada H1 ni para afirmar superioridad general del híbrido.</w:t>
      </w:r>
    </w:p>
    <w:p w14:paraId="1A46884E" w14:textId="77777777" w:rsidR="00CF0519" w:rsidRDefault="00691DC4">
      <w:pPr>
        <w:pStyle w:val="Ttulo3"/>
        <w:numPr>
          <w:ilvl w:val="2"/>
          <w:numId w:val="19"/>
        </w:numPr>
      </w:pPr>
      <w:r>
        <w:t>Comunicación del pronóstico para la planeación presupuestaria</w:t>
      </w:r>
    </w:p>
    <w:p w14:paraId="1EE7DE19" w14:textId="1A741634" w:rsidR="00CF0519" w:rsidRDefault="00691DC4">
      <w:r>
        <w:t xml:space="preserve">El </w:t>
      </w:r>
      <w:r w:rsidR="00006179" w:rsidRPr="00006179">
        <w:rPr>
          <w:i/>
        </w:rPr>
        <w:t>pipeline</w:t>
      </w:r>
      <w:r>
        <w:t xml:space="preserve"> genera una salida local de soporte a decisiones con pronósticos semanales, participaciones, asignaciones por insumo, métricas y advertencias sobre la cobertura. El consolidado de cuatro horizontes representa 28 días, no necesariamente un mes calendario. Su utilidad es orientar la revisión del presupuesto, no emitir una orden de compra automática.</w:t>
      </w:r>
    </w:p>
    <w:p w14:paraId="40401CAE" w14:textId="77777777" w:rsidR="00CF0519" w:rsidRDefault="00691DC4">
      <w:r>
        <w:t>La herramienta no calcula cantidades físicas ni necesidades netas de inventario. Para ello se requerirían existencias, recetas, mermas, unidades homologadas y tiempos de entrega fiables, que no son variables completas del conjunto empleado.</w:t>
      </w:r>
    </w:p>
    <w:p w14:paraId="76991081" w14:textId="77777777" w:rsidR="00CF0519" w:rsidRDefault="00691DC4">
      <w:pPr>
        <w:pStyle w:val="Ttulo1"/>
        <w:pageBreakBefore/>
        <w:numPr>
          <w:ilvl w:val="0"/>
          <w:numId w:val="19"/>
        </w:numPr>
      </w:pPr>
      <w:bookmarkStart w:id="122" w:name="_Toc240207766"/>
      <w:r>
        <w:lastRenderedPageBreak/>
        <w:t>DESARROLLO</w:t>
      </w:r>
      <w:bookmarkEnd w:id="122"/>
    </w:p>
    <w:p w14:paraId="691B2823" w14:textId="77777777" w:rsidR="00FC0FE2" w:rsidRDefault="00000000">
      <w:r>
        <w:t>Este capítulo documenta el desarrollo realizado para convertir los registros disponibles en un pronóstico semanal del importe de compras y su distribución presupuestaria. Se describen la preparación de datos, la cobertura, los predictores, los modelos, la evaluación temporal y los productos de la corrida real más reciente. Las salidas se interpretan con su fecha de corte; no se presentan como necesidades actuales cuando la fuente termina antes de la fecha de elaboración.</w:t>
      </w:r>
    </w:p>
    <w:p w14:paraId="51DFA98B" w14:textId="77777777" w:rsidR="00FC0FE2" w:rsidRDefault="00000000">
      <w:pPr>
        <w:pStyle w:val="Ttulo2"/>
      </w:pPr>
      <w:r>
        <w:t>Contexto de los registros y objetivo operativo</w:t>
      </w:r>
    </w:p>
    <w:p w14:paraId="0C7829BE" w14:textId="77777777" w:rsidR="00FC0FE2" w:rsidRDefault="00253ED1">
      <w:proofErr w:type="spellStart"/>
      <w:r w:rsidRPr="00253ED1">
        <w:rPr>
          <w:i/>
        </w:rPr>
        <w:t>Cup&amp;Cake</w:t>
      </w:r>
      <w:proofErr w:type="spellEnd"/>
      <w:r>
        <w:t xml:space="preserve"> conserva información de compras en un sistema propio y un historial de ventas integrado en hojas de cálculo, incluidos reportes procedentes de KYTE. Para este desarrollo, las compras constituyen la variable objetivo y las ventas se incorporan como predictor histórico cuando sus valores son conocidos antes del origen de pronóstico. El propósito operativo es apoyar la reserva de presupuesto de abastecimiento, no automatizar órdenes ni calcular cantidades físicas.</w:t>
      </w:r>
    </w:p>
    <w:p w14:paraId="78E6153E" w14:textId="77777777" w:rsidR="00FC0FE2" w:rsidRDefault="00000000">
      <w:pPr>
        <w:pStyle w:val="Ttulo2"/>
      </w:pPr>
      <w:r>
        <w:t>Preparación de fuentes y cobertura semanal</w:t>
      </w:r>
    </w:p>
    <w:p w14:paraId="2DC9E6B5" w14:textId="77777777" w:rsidR="00FC0FE2" w:rsidRDefault="00000000">
      <w:r>
        <w:t>La corrida utiliza Compras.xlsx, Ventas.xlsx y el archivo contextual indicado en la configuración. Se conservaron los archivos originales y se generaron paneles derivados. Las fechas se alinearon a semanas con inicio en lunes; los importes de compras se agregaron por semana y por categoría presupuestaria. La huella SHA-256 de las fuentes, el código, las versiones de bibliotecas y la configuración quedaron en el manifiesto de la ejecución.</w:t>
      </w:r>
    </w:p>
    <w:p w14:paraId="35A478E8" w14:textId="77777777" w:rsidR="00FC0FE2" w:rsidRDefault="00000000">
      <w:r>
        <w:t xml:space="preserve">Los huecos del tramo autorizado del 3 de mayo de 2021 al 29 de abril de 2024 se completaron mediante promedio simple en copias de análisis de compras y ventas; cada valor estimado se identifica en los productos de auditoría. El resto de los periodos sin captura permanece ausente. Una semana sin transacciones no se convierte automáticamente en cero semanal: se conserva la diferencia entre cero respaldado y cobertura desconocida. Cinco líneas con </w:t>
      </w:r>
      <w:r>
        <w:lastRenderedPageBreak/>
        <w:t>importe $0 fechadas el 28 de agosto de 2023 se mantuvieron como registros y se exportaron por separado.</w:t>
      </w:r>
    </w:p>
    <w:p w14:paraId="01BF3D3E" w14:textId="284A1EE5" w:rsidR="00FC0FE2" w:rsidRDefault="00000000">
      <w:r>
        <w:t xml:space="preserve">El importe semanal objetivo y los promedios simples usados únicamente en el tramo autorizado se expresan en las ecuaciones </w:t>
      </w:r>
      <w:r>
        <w:fldChar w:fldCharType="begin"/>
      </w:r>
      <w:r>
        <w:instrText xml:space="preserve"> REF eq230 \h </w:instrText>
      </w:r>
      <w:r>
        <w:fldChar w:fldCharType="separate"/>
      </w:r>
      <w:r w:rsidR="00A94FDF">
        <w:rPr>
          <w:rFonts w:ascii="Times New Roman" w:hAnsi="Times New Roman"/>
        </w:rPr>
        <w:t>(</w:t>
      </w:r>
      <w:r w:rsidR="00A94FDF">
        <w:rPr>
          <w:noProof/>
        </w:rPr>
        <w:t>31</w:t>
      </w:r>
      <w:r w:rsidR="00A94FDF">
        <w:rPr>
          <w:rFonts w:ascii="Times New Roman" w:hAnsi="Times New Roman"/>
        </w:rPr>
        <w:t>)</w:t>
      </w:r>
      <w:r>
        <w:fldChar w:fldCharType="end"/>
      </w:r>
      <w:r>
        <w:t xml:space="preserve"> a </w:t>
      </w:r>
      <w:r>
        <w:fldChar w:fldCharType="begin"/>
      </w:r>
      <w:r>
        <w:instrText xml:space="preserve"> REF eq232 \h </w:instrText>
      </w:r>
      <w:r>
        <w:fldChar w:fldCharType="separate"/>
      </w:r>
      <w:r w:rsidR="00A94FDF">
        <w:rPr>
          <w:rFonts w:ascii="Times New Roman" w:hAnsi="Times New Roman"/>
        </w:rPr>
        <w:t>(</w:t>
      </w:r>
      <w:r w:rsidR="00A94FDF">
        <w:rPr>
          <w:noProof/>
        </w:rPr>
        <w:t>33</w:t>
      </w:r>
      <w:r w:rsidR="00A94FDF">
        <w:rPr>
          <w:rFonts w:ascii="Times New Roman" w:hAnsi="Times New Roman"/>
        </w:rPr>
        <w:t>)</w:t>
      </w:r>
      <w:r>
        <w:fldChar w:fldCharType="end"/>
      </w:r>
      <w:r>
        <w:t xml:space="preserve">. En ellas, </w:t>
      </w:r>
      <w:r w:rsidRPr="00A94FDF">
        <w:rPr>
          <w:i/>
          <w:iCs/>
        </w:rPr>
        <w:t>C</w:t>
      </w:r>
      <w:r>
        <w:t xml:space="preserve"> es el conjunto de categorías presupuestarias elegibles, </w:t>
      </w:r>
      <w:r w:rsidRPr="00A94FDF">
        <w:rPr>
          <w:i/>
          <w:iCs/>
        </w:rPr>
        <w:t>O</w:t>
      </w:r>
      <w:r>
        <w:t xml:space="preserve"> el conjunto de semanas observadas dentro del tramo autorizado y </w:t>
      </w:r>
      <w:r w:rsidRPr="00A94FDF">
        <w:rPr>
          <w:i/>
          <w:iCs/>
        </w:rPr>
        <w:t>M</w:t>
      </w:r>
      <w:r>
        <w:t xml:space="preserve"> sus semanas faltantes.</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178"/>
        <w:gridCol w:w="1031"/>
      </w:tblGrid>
      <w:tr w:rsidR="00962FA0" w14:paraId="30B85B5C" w14:textId="77777777" w:rsidTr="00A94FDF">
        <w:trPr>
          <w:cantSplit/>
        </w:trPr>
        <w:tc>
          <w:tcPr>
            <w:tcW w:w="753" w:type="dxa"/>
          </w:tcPr>
          <w:p w14:paraId="209D28A6" w14:textId="77777777" w:rsidR="00377BD8" w:rsidRDefault="00377BD8">
            <w:pPr>
              <w:spacing w:before="0" w:after="0" w:line="240" w:lineRule="auto"/>
              <w:jc w:val="left"/>
            </w:pPr>
          </w:p>
        </w:tc>
        <w:tc>
          <w:tcPr>
            <w:tcW w:w="8178" w:type="dxa"/>
          </w:tcPr>
          <w:p w14:paraId="482D39D4" w14:textId="77777777" w:rsidR="00FC0FE2" w:rsidRDefault="00000000">
            <w:pPr>
              <w:jc w:val="center"/>
            </w:pPr>
            <w:r>
              <w:rPr>
                <w:rFonts w:ascii="Cambria Math" w:hAnsi="Cambria Math"/>
                <w:sz w:val="22"/>
              </w:rPr>
              <w:t>Yₜ = ∑ᵢ∈C Xᵢ,ₜ</w:t>
            </w:r>
          </w:p>
        </w:tc>
        <w:tc>
          <w:tcPr>
            <w:tcW w:w="1031" w:type="dxa"/>
          </w:tcPr>
          <w:p w14:paraId="0A105C7A" w14:textId="494330A5" w:rsidR="00FC0FE2" w:rsidRDefault="00000000">
            <w:pPr>
              <w:jc w:val="right"/>
            </w:pPr>
            <w:bookmarkStart w:id="123" w:name="eq230"/>
            <w:r>
              <w:rPr>
                <w:rFonts w:ascii="Times New Roman" w:hAnsi="Times New Roman"/>
              </w:rPr>
              <w:t>(</w:t>
            </w:r>
            <w:r w:rsidR="00A94FDF">
              <w:fldChar w:fldCharType="begin"/>
            </w:r>
            <w:r w:rsidR="00A94FDF">
              <w:instrText>SEQ EcuacionMT \* ARABIC</w:instrText>
            </w:r>
            <w:r w:rsidR="00A94FDF">
              <w:fldChar w:fldCharType="separate"/>
            </w:r>
            <w:r w:rsidR="00A94FDF">
              <w:rPr>
                <w:noProof/>
              </w:rPr>
              <w:t>31</w:t>
            </w:r>
            <w:r w:rsidR="00A94FDF">
              <w:rPr>
                <w:color w:val="000000"/>
              </w:rPr>
              <w:fldChar w:fldCharType="end"/>
            </w:r>
            <w:r>
              <w:rPr>
                <w:rFonts w:ascii="Times New Roman" w:hAnsi="Times New Roman"/>
              </w:rPr>
              <w:t>)</w:t>
            </w:r>
            <w:bookmarkEnd w:id="123"/>
          </w:p>
        </w:tc>
      </w:tr>
      <w:tr w:rsidR="00962FA0" w14:paraId="4BD878FE" w14:textId="77777777" w:rsidTr="00A94FDF">
        <w:trPr>
          <w:cantSplit/>
        </w:trPr>
        <w:tc>
          <w:tcPr>
            <w:tcW w:w="753" w:type="dxa"/>
          </w:tcPr>
          <w:p w14:paraId="2B95A440" w14:textId="77777777" w:rsidR="00377BD8" w:rsidRDefault="00377BD8">
            <w:pPr>
              <w:spacing w:before="0" w:after="0" w:line="240" w:lineRule="auto"/>
              <w:jc w:val="left"/>
            </w:pPr>
          </w:p>
        </w:tc>
        <w:tc>
          <w:tcPr>
            <w:tcW w:w="8178" w:type="dxa"/>
          </w:tcPr>
          <w:p w14:paraId="26CAFE33" w14:textId="77777777" w:rsidR="00FC0FE2" w:rsidRDefault="00000000">
            <w:pPr>
              <w:jc w:val="center"/>
            </w:pPr>
            <w:r>
              <w:rPr>
                <w:rFonts w:ascii="Cambria Math" w:hAnsi="Cambria Math"/>
                <w:sz w:val="22"/>
              </w:rPr>
              <w:t xml:space="preserve">X̂ᵢ,ₜ = (1/|Oᵢ|) ∑ₛ∈Oᵢ </w:t>
            </w:r>
            <w:proofErr w:type="gramStart"/>
            <w:r>
              <w:rPr>
                <w:rFonts w:ascii="Cambria Math" w:hAnsi="Cambria Math"/>
                <w:sz w:val="22"/>
              </w:rPr>
              <w:t>Xᵢ,ₛ,</w:t>
            </w:r>
            <w:proofErr w:type="gramEnd"/>
            <w:r>
              <w:rPr>
                <w:rFonts w:ascii="Cambria Math" w:hAnsi="Cambria Math"/>
                <w:sz w:val="22"/>
              </w:rPr>
              <w:t xml:space="preserve">   t ∈ M</w:t>
            </w:r>
          </w:p>
        </w:tc>
        <w:tc>
          <w:tcPr>
            <w:tcW w:w="1031" w:type="dxa"/>
          </w:tcPr>
          <w:p w14:paraId="5486A0ED" w14:textId="730D0C53" w:rsidR="00FC0FE2" w:rsidRDefault="00000000">
            <w:pPr>
              <w:jc w:val="right"/>
            </w:pPr>
            <w:bookmarkStart w:id="124" w:name="eq231"/>
            <w:r>
              <w:rPr>
                <w:rFonts w:ascii="Times New Roman" w:hAnsi="Times New Roman"/>
              </w:rPr>
              <w:t>(</w:t>
            </w:r>
            <w:r w:rsidR="00A94FDF">
              <w:fldChar w:fldCharType="begin"/>
            </w:r>
            <w:r w:rsidR="00A94FDF">
              <w:instrText>SEQ EcuacionMT \* ARABIC</w:instrText>
            </w:r>
            <w:r w:rsidR="00A94FDF">
              <w:fldChar w:fldCharType="separate"/>
            </w:r>
            <w:r w:rsidR="00A94FDF">
              <w:rPr>
                <w:noProof/>
              </w:rPr>
              <w:t>32</w:t>
            </w:r>
            <w:r w:rsidR="00A94FDF">
              <w:rPr>
                <w:color w:val="000000"/>
              </w:rPr>
              <w:fldChar w:fldCharType="end"/>
            </w:r>
            <w:r>
              <w:rPr>
                <w:rFonts w:ascii="Times New Roman" w:hAnsi="Times New Roman"/>
              </w:rPr>
              <w:t>)</w:t>
            </w:r>
            <w:bookmarkEnd w:id="124"/>
          </w:p>
        </w:tc>
      </w:tr>
      <w:tr w:rsidR="00962FA0" w14:paraId="2747296F" w14:textId="77777777" w:rsidTr="00A94FDF">
        <w:trPr>
          <w:cantSplit/>
        </w:trPr>
        <w:tc>
          <w:tcPr>
            <w:tcW w:w="753" w:type="dxa"/>
          </w:tcPr>
          <w:p w14:paraId="4AA67A65" w14:textId="77777777" w:rsidR="00377BD8" w:rsidRDefault="00377BD8">
            <w:pPr>
              <w:spacing w:before="0" w:after="0" w:line="240" w:lineRule="auto"/>
              <w:jc w:val="left"/>
            </w:pPr>
          </w:p>
        </w:tc>
        <w:tc>
          <w:tcPr>
            <w:tcW w:w="8178" w:type="dxa"/>
          </w:tcPr>
          <w:p w14:paraId="6FB25186" w14:textId="77777777" w:rsidR="00FC0FE2" w:rsidRDefault="00000000">
            <w:pPr>
              <w:jc w:val="center"/>
            </w:pPr>
            <w:r>
              <w:rPr>
                <w:rFonts w:ascii="Cambria Math" w:hAnsi="Cambria Math"/>
                <w:sz w:val="22"/>
              </w:rPr>
              <w:t xml:space="preserve">V̂ₜ = (1/|Oᵥ|) ∑ₛ∈Oᵥ </w:t>
            </w:r>
            <w:proofErr w:type="gramStart"/>
            <w:r>
              <w:rPr>
                <w:rFonts w:ascii="Cambria Math" w:hAnsi="Cambria Math"/>
                <w:sz w:val="22"/>
              </w:rPr>
              <w:t xml:space="preserve">Vₛ,   </w:t>
            </w:r>
            <w:proofErr w:type="gramEnd"/>
            <w:r>
              <w:rPr>
                <w:rFonts w:ascii="Cambria Math" w:hAnsi="Cambria Math"/>
                <w:sz w:val="22"/>
              </w:rPr>
              <w:t>t ∈ Mᵥ</w:t>
            </w:r>
          </w:p>
        </w:tc>
        <w:tc>
          <w:tcPr>
            <w:tcW w:w="1031" w:type="dxa"/>
          </w:tcPr>
          <w:p w14:paraId="26EE83E8" w14:textId="36793442" w:rsidR="00FC0FE2" w:rsidRDefault="00000000">
            <w:pPr>
              <w:jc w:val="right"/>
            </w:pPr>
            <w:bookmarkStart w:id="125" w:name="eq232"/>
            <w:r>
              <w:rPr>
                <w:rFonts w:ascii="Times New Roman" w:hAnsi="Times New Roman"/>
              </w:rPr>
              <w:t>(</w:t>
            </w:r>
            <w:r w:rsidR="00A94FDF">
              <w:fldChar w:fldCharType="begin"/>
            </w:r>
            <w:r w:rsidR="00A94FDF">
              <w:instrText>SEQ EcuacionMT \* ARABIC</w:instrText>
            </w:r>
            <w:r w:rsidR="00A94FDF">
              <w:fldChar w:fldCharType="separate"/>
            </w:r>
            <w:r w:rsidR="00A94FDF">
              <w:rPr>
                <w:noProof/>
              </w:rPr>
              <w:t>33</w:t>
            </w:r>
            <w:r w:rsidR="00A94FDF">
              <w:rPr>
                <w:color w:val="000000"/>
              </w:rPr>
              <w:fldChar w:fldCharType="end"/>
            </w:r>
            <w:r>
              <w:rPr>
                <w:rFonts w:ascii="Times New Roman" w:hAnsi="Times New Roman"/>
              </w:rPr>
              <w:t>)</w:t>
            </w:r>
            <w:bookmarkEnd w:id="125"/>
          </w:p>
        </w:tc>
      </w:tr>
    </w:tbl>
    <w:p w14:paraId="700D4C1B" w14:textId="77777777" w:rsidR="00FC0FE2" w:rsidRDefault="00000000">
      <w:r>
        <w:t>La media de compras se calcula por categoría a partir de las semanas observadas; el total imputado es la suma de esas medias. En ventas se utiliza el promedio de la serie semanal observada. Estas estimaciones se guardan en archivos derivados y no sustituyen el panel original de evaluación.</w:t>
      </w:r>
    </w:p>
    <w:p w14:paraId="492D9E45" w14:textId="77777777" w:rsidR="00FC0FE2" w:rsidRDefault="00000000">
      <w:pPr>
        <w:pStyle w:val="Descripcin"/>
        <w:keepNext/>
      </w:pPr>
      <w:r>
        <w:t>Figura 33. Cobertura semanal de los registros de compras en la corrida real.</w:t>
      </w:r>
    </w:p>
    <w:p w14:paraId="761D9DA5" w14:textId="77777777" w:rsidR="00FC0FE2" w:rsidRDefault="00000000">
      <w:pPr>
        <w:jc w:val="center"/>
      </w:pPr>
      <w:r>
        <w:rPr>
          <w:noProof/>
        </w:rPr>
        <w:drawing>
          <wp:inline distT="0" distB="0" distL="0" distR="0" wp14:anchorId="2E3FB5EF" wp14:editId="5D334AB1">
            <wp:extent cx="5532120" cy="1582782"/>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13"/>
                    <a:stretch>
                      <a:fillRect/>
                    </a:stretch>
                  </pic:blipFill>
                  <pic:spPr>
                    <a:xfrm>
                      <a:off x="0" y="0"/>
                      <a:ext cx="5532120" cy="1582782"/>
                    </a:xfrm>
                    <a:prstGeom prst="rect">
                      <a:avLst/>
                    </a:prstGeom>
                  </pic:spPr>
                </pic:pic>
              </a:graphicData>
            </a:graphic>
          </wp:inline>
        </w:drawing>
      </w:r>
    </w:p>
    <w:p w14:paraId="6935C850" w14:textId="77777777" w:rsidR="00FC0FE2" w:rsidRDefault="00000000">
      <w:r>
        <w:t>La figura presenta el estado semanal documentado por la auditoría. Las zonas desconocidas o inciertas no se interpretan como ausencia de gasto comprobada; la extensión del calendario no equivale a cobertura sustantiva completa.</w:t>
      </w:r>
    </w:p>
    <w:p w14:paraId="4F528B30" w14:textId="77777777" w:rsidR="00FC0FE2" w:rsidRDefault="00000000">
      <w:pPr>
        <w:pStyle w:val="Descripcin"/>
        <w:keepNext/>
      </w:pPr>
      <w:r>
        <w:lastRenderedPageBreak/>
        <w:t>Figura 34. Auditoría de registros de compra y decisiones de inclusión.</w:t>
      </w:r>
    </w:p>
    <w:p w14:paraId="2CB2A062" w14:textId="77777777" w:rsidR="00FC0FE2" w:rsidRDefault="00000000">
      <w:pPr>
        <w:jc w:val="center"/>
      </w:pPr>
      <w:r>
        <w:rPr>
          <w:noProof/>
        </w:rPr>
        <w:drawing>
          <wp:inline distT="0" distB="0" distL="0" distR="0" wp14:anchorId="13C56356" wp14:editId="16809776">
            <wp:extent cx="5532120" cy="2540999"/>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14"/>
                    <a:stretch>
                      <a:fillRect/>
                    </a:stretch>
                  </pic:blipFill>
                  <pic:spPr>
                    <a:xfrm>
                      <a:off x="0" y="0"/>
                      <a:ext cx="5532120" cy="2540999"/>
                    </a:xfrm>
                    <a:prstGeom prst="rect">
                      <a:avLst/>
                    </a:prstGeom>
                  </pic:spPr>
                </pic:pic>
              </a:graphicData>
            </a:graphic>
          </wp:inline>
        </w:drawing>
      </w:r>
    </w:p>
    <w:p w14:paraId="5BBF9150" w14:textId="77777777" w:rsidR="00FC0FE2" w:rsidRDefault="00000000">
      <w:pPr>
        <w:pStyle w:val="Ttulo2"/>
      </w:pPr>
      <w:r>
        <w:t>Construcción del panel y caracterización exploratoria</w:t>
      </w:r>
    </w:p>
    <w:p w14:paraId="5F368F5D" w14:textId="77777777" w:rsidR="00FC0FE2" w:rsidRDefault="00000000">
      <w:r>
        <w:t>Se homologaron los registros, se aplicó el catálogo aprobado y se excluyeron antes de calcular el objetivo las categorías COMBUSTIBLE, MUEBLES, HERRAMIENTA, IMPUTADO, IMPUTADOS y OTROS. El panel semanal mantiene huecos desconocidos, documenta las semanas utilizables y registra las exclusiones. Los importes se expresan en MXN nominales.</w:t>
      </w:r>
    </w:p>
    <w:p w14:paraId="4B26D2CD" w14:textId="77777777" w:rsidR="00FC0FE2" w:rsidRDefault="00000000">
      <w:pPr>
        <w:pStyle w:val="Descripcin"/>
        <w:keepNext/>
      </w:pPr>
      <w:r>
        <w:t>Figura 35. Importes semanales de compras y periodos sin registro.</w:t>
      </w:r>
    </w:p>
    <w:p w14:paraId="2B71F185" w14:textId="77777777" w:rsidR="00FC0FE2" w:rsidRDefault="00000000">
      <w:pPr>
        <w:jc w:val="center"/>
      </w:pPr>
      <w:r>
        <w:rPr>
          <w:noProof/>
        </w:rPr>
        <w:drawing>
          <wp:inline distT="0" distB="0" distL="0" distR="0" wp14:anchorId="5E3F4CB4" wp14:editId="3D6E7021">
            <wp:extent cx="5532120" cy="256292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5"/>
                    <a:stretch>
                      <a:fillRect/>
                    </a:stretch>
                  </pic:blipFill>
                  <pic:spPr>
                    <a:xfrm>
                      <a:off x="0" y="0"/>
                      <a:ext cx="5532120" cy="2562922"/>
                    </a:xfrm>
                    <a:prstGeom prst="rect">
                      <a:avLst/>
                    </a:prstGeom>
                  </pic:spPr>
                </pic:pic>
              </a:graphicData>
            </a:graphic>
          </wp:inline>
        </w:drawing>
      </w:r>
    </w:p>
    <w:p w14:paraId="4D4B3622" w14:textId="77777777" w:rsidR="00FC0FE2" w:rsidRDefault="00000000">
      <w:r>
        <w:lastRenderedPageBreak/>
        <w:t>La serie muestra variación elevada y periodos discontinuos. Representa compras utilizables registradas, no una medida completa del gasto real durante semanas cuya cobertura no está verificada.</w:t>
      </w:r>
    </w:p>
    <w:p w14:paraId="5968A6BE" w14:textId="77777777" w:rsidR="00FC0FE2" w:rsidRDefault="00000000">
      <w:pPr>
        <w:pStyle w:val="Descripcin"/>
        <w:keepNext/>
      </w:pPr>
      <w:r>
        <w:t>Figura 36. Distribución del importe semanal y frecuencia de ceros.</w:t>
      </w:r>
    </w:p>
    <w:p w14:paraId="1ED1B28C" w14:textId="77777777" w:rsidR="00FC0FE2" w:rsidRDefault="00000000">
      <w:pPr>
        <w:jc w:val="center"/>
      </w:pPr>
      <w:r>
        <w:rPr>
          <w:noProof/>
        </w:rPr>
        <w:drawing>
          <wp:inline distT="0" distB="0" distL="0" distR="0" wp14:anchorId="50D07A8E" wp14:editId="68FA67E2">
            <wp:extent cx="5532120" cy="2281766"/>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5532120" cy="2281766"/>
                    </a:xfrm>
                    <a:prstGeom prst="rect">
                      <a:avLst/>
                    </a:prstGeom>
                  </pic:spPr>
                </pic:pic>
              </a:graphicData>
            </a:graphic>
          </wp:inline>
        </w:drawing>
      </w:r>
    </w:p>
    <w:p w14:paraId="6DBB716F" w14:textId="77777777" w:rsidR="00FC0FE2" w:rsidRDefault="00000000">
      <w:r>
        <w:t>Las semanas con cero confirmado y las semanas sin captura se mantienen como estados distintos durante el análisis y la evaluación.</w:t>
      </w:r>
    </w:p>
    <w:p w14:paraId="4AFBA197" w14:textId="77777777" w:rsidR="00FC0FE2" w:rsidRDefault="00000000">
      <w:pPr>
        <w:pStyle w:val="Ttulo2"/>
      </w:pPr>
      <w:r>
        <w:t>Integración de ventas y variables calendario</w:t>
      </w:r>
    </w:p>
    <w:p w14:paraId="3272F7D8" w14:textId="77777777" w:rsidR="00FC0FE2" w:rsidRDefault="00000000">
      <w:r>
        <w:t>Las ventas se agregaron a frecuencia semanal y se alinearon con el calendario de compras. En cada origen se utilizaron únicamente antecedentes de ventas ya observados, evitando usar ventas realizadas después de la fecha de emisión. La corrida registró además indicadores de semana festiva y semana de pago. Variables observadas ex post, como ventas futuras o temperatura realizada, no se consideran conocidas por anticipado.</w:t>
      </w:r>
    </w:p>
    <w:p w14:paraId="7F9AF913" w14:textId="4CD9C815" w:rsidR="00FC0FE2" w:rsidRDefault="00000000">
      <w:pPr>
        <w:pStyle w:val="Descripcin"/>
        <w:keepNext/>
      </w:pPr>
      <w:r>
        <w:lastRenderedPageBreak/>
        <w:t>Figura 37. Ventas semanales registradas.</w:t>
      </w:r>
    </w:p>
    <w:p w14:paraId="77524569" w14:textId="77777777" w:rsidR="00FC0FE2" w:rsidRDefault="00000000">
      <w:pPr>
        <w:jc w:val="center"/>
      </w:pPr>
      <w:r>
        <w:rPr>
          <w:noProof/>
        </w:rPr>
        <w:drawing>
          <wp:inline distT="0" distB="0" distL="0" distR="0" wp14:anchorId="6970422F" wp14:editId="12A7F34C">
            <wp:extent cx="5532120" cy="2561355"/>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17"/>
                    <a:stretch>
                      <a:fillRect/>
                    </a:stretch>
                  </pic:blipFill>
                  <pic:spPr>
                    <a:xfrm>
                      <a:off x="0" y="0"/>
                      <a:ext cx="5532120" cy="2561355"/>
                    </a:xfrm>
                    <a:prstGeom prst="rect">
                      <a:avLst/>
                    </a:prstGeom>
                  </pic:spPr>
                </pic:pic>
              </a:graphicData>
            </a:graphic>
          </wp:inline>
        </w:drawing>
      </w:r>
    </w:p>
    <w:p w14:paraId="2A3DC28F" w14:textId="77777777" w:rsidR="00FC0FE2" w:rsidRDefault="00000000">
      <w:r>
        <w:t>La coincidencia entre ventas y compras puede motivar análisis predictivo, pero no demuestra causalidad ni garantiza por sí misma una mejora del pronóstico.</w:t>
      </w:r>
    </w:p>
    <w:p w14:paraId="1E5DB3B4" w14:textId="77777777" w:rsidR="00FC0FE2" w:rsidRDefault="00000000">
      <w:pPr>
        <w:pStyle w:val="Ttulo2"/>
      </w:pPr>
      <w:r>
        <w:t>Definición de categorías y distribución presupuestaria</w:t>
      </w:r>
    </w:p>
    <w:p w14:paraId="0BC3CC5F" w14:textId="77777777" w:rsidR="00FC0FE2" w:rsidRDefault="00000000">
      <w:r>
        <w:t>La variable monetaria se construye con categorías elegibles después de excluir las seis categorías fuera de alcance. Los insumos principales se informan por separado. Las demás categorías elegibles se consolidan en RESTO_ELEGIBLE, que no equivale a la categoría presupuestaria OTROS. Las participaciones se calculan respecto del total elegible; el remanente se conserva en RESTO_ELEGIBLE para conciliar a 100 %. La distribución se estima con participaciones históricas ponderadas exponencialmente y requiere al menos ocho semanas válidas de composición.</w:t>
      </w:r>
    </w:p>
    <w:p w14:paraId="71841307" w14:textId="79DED4F4" w:rsidR="00FC0FE2" w:rsidRDefault="00000000">
      <w:r>
        <w:t xml:space="preserve">La participación presupuestaria y el remanente de categorías elegibles se definen en las ecuaciones </w:t>
      </w:r>
      <w:r>
        <w:fldChar w:fldCharType="begin"/>
      </w:r>
      <w:r>
        <w:instrText xml:space="preserve"> REF eq233 \h </w:instrText>
      </w:r>
      <w:r>
        <w:fldChar w:fldCharType="separate"/>
      </w:r>
      <w:r w:rsidR="00A94FDF">
        <w:rPr>
          <w:rFonts w:ascii="Times New Roman" w:hAnsi="Times New Roman"/>
        </w:rPr>
        <w:t>(</w:t>
      </w:r>
      <w:r w:rsidR="00A94FDF">
        <w:rPr>
          <w:noProof/>
        </w:rPr>
        <w:t>34</w:t>
      </w:r>
      <w:r w:rsidR="00A94FDF">
        <w:rPr>
          <w:rFonts w:ascii="Times New Roman" w:hAnsi="Times New Roman"/>
        </w:rPr>
        <w:t>)</w:t>
      </w:r>
      <w:r>
        <w:fldChar w:fldCharType="end"/>
      </w:r>
      <w:r>
        <w:t xml:space="preserve"> y </w:t>
      </w:r>
      <w:r>
        <w:fldChar w:fldCharType="begin"/>
      </w:r>
      <w:r>
        <w:instrText xml:space="preserve"> REF eq234 \h </w:instrText>
      </w:r>
      <w:r>
        <w:fldChar w:fldCharType="separate"/>
      </w:r>
      <w:r w:rsidR="00A94FDF">
        <w:rPr>
          <w:rFonts w:ascii="Times New Roman" w:hAnsi="Times New Roman"/>
        </w:rPr>
        <w:t>(</w:t>
      </w:r>
      <w:r w:rsidR="00A94FDF">
        <w:rPr>
          <w:noProof/>
        </w:rPr>
        <w:t>35</w:t>
      </w:r>
      <w:r w:rsidR="00A94FDF">
        <w:rPr>
          <w:rFonts w:ascii="Times New Roman" w:hAnsi="Times New Roman"/>
        </w:rPr>
        <w:t>)</w:t>
      </w:r>
      <w:r>
        <w:fldChar w:fldCharType="end"/>
      </w:r>
      <w:r>
        <w:t xml:space="preserve">. El promedio ponderado por antigüedad que utiliza la corrida se muestra en la ecuación </w:t>
      </w:r>
      <w:r>
        <w:fldChar w:fldCharType="begin"/>
      </w:r>
      <w:r>
        <w:instrText xml:space="preserve"> REF eq235 \h </w:instrText>
      </w:r>
      <w:r>
        <w:fldChar w:fldCharType="separate"/>
      </w:r>
      <w:r w:rsidR="00A94FDF">
        <w:rPr>
          <w:rFonts w:ascii="Times New Roman" w:hAnsi="Times New Roman"/>
        </w:rPr>
        <w:t>(</w:t>
      </w:r>
      <w:r w:rsidR="00A94FDF">
        <w:rPr>
          <w:noProof/>
        </w:rPr>
        <w:t>36</w:t>
      </w:r>
      <w:r w:rsidR="00A94FDF">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26D7CF" w14:textId="77777777">
        <w:trPr>
          <w:cantSplit/>
        </w:trPr>
        <w:tc>
          <w:tcPr>
            <w:tcW w:w="753" w:type="dxa"/>
          </w:tcPr>
          <w:p w14:paraId="72DAEE6C" w14:textId="77777777" w:rsidR="00377BD8" w:rsidRDefault="00377BD8">
            <w:pPr>
              <w:spacing w:before="0" w:after="0" w:line="240" w:lineRule="auto"/>
              <w:jc w:val="left"/>
            </w:pPr>
          </w:p>
        </w:tc>
        <w:tc>
          <w:tcPr>
            <w:tcW w:w="8456" w:type="dxa"/>
          </w:tcPr>
          <w:p w14:paraId="53F9A13D" w14:textId="77777777" w:rsidR="00FC0FE2" w:rsidRDefault="00000000">
            <w:pPr>
              <w:jc w:val="center"/>
            </w:pPr>
            <w:r>
              <w:rPr>
                <w:rFonts w:ascii="Cambria Math" w:hAnsi="Cambria Math"/>
                <w:sz w:val="22"/>
              </w:rPr>
              <w:t xml:space="preserve">pᵢ,ₜ = Xᵢ,ₜ / </w:t>
            </w:r>
            <w:proofErr w:type="gramStart"/>
            <w:r>
              <w:rPr>
                <w:rFonts w:ascii="Cambria Math" w:hAnsi="Cambria Math"/>
                <w:sz w:val="22"/>
              </w:rPr>
              <w:t xml:space="preserve">Yₜ,   </w:t>
            </w:r>
            <w:proofErr w:type="gramEnd"/>
            <w:r>
              <w:rPr>
                <w:rFonts w:ascii="Cambria Math" w:hAnsi="Cambria Math"/>
                <w:sz w:val="22"/>
              </w:rPr>
              <w:t>si Yₜ &gt; 0</w:t>
            </w:r>
          </w:p>
        </w:tc>
        <w:tc>
          <w:tcPr>
            <w:tcW w:w="753" w:type="dxa"/>
          </w:tcPr>
          <w:p w14:paraId="2AAB92AE" w14:textId="3B2BCD74" w:rsidR="00FC0FE2" w:rsidRDefault="00000000">
            <w:pPr>
              <w:jc w:val="right"/>
            </w:pPr>
            <w:bookmarkStart w:id="126" w:name="eq233"/>
            <w:r>
              <w:rPr>
                <w:rFonts w:ascii="Times New Roman" w:hAnsi="Times New Roman"/>
              </w:rPr>
              <w:t>(</w:t>
            </w:r>
            <w:r w:rsidR="00A94FDF">
              <w:fldChar w:fldCharType="begin"/>
            </w:r>
            <w:r w:rsidR="00A94FDF">
              <w:instrText>SEQ EcuacionMT \* ARABIC</w:instrText>
            </w:r>
            <w:r w:rsidR="00A94FDF">
              <w:fldChar w:fldCharType="separate"/>
            </w:r>
            <w:r w:rsidR="00A94FDF">
              <w:rPr>
                <w:noProof/>
              </w:rPr>
              <w:t>34</w:t>
            </w:r>
            <w:r w:rsidR="00A94FDF">
              <w:rPr>
                <w:color w:val="000000"/>
              </w:rPr>
              <w:fldChar w:fldCharType="end"/>
            </w:r>
            <w:r>
              <w:rPr>
                <w:rFonts w:ascii="Times New Roman" w:hAnsi="Times New Roman"/>
              </w:rPr>
              <w:t>)</w:t>
            </w:r>
            <w:bookmarkEnd w:id="126"/>
          </w:p>
        </w:tc>
      </w:tr>
      <w:tr w:rsidR="00962FA0" w14:paraId="44AB6A71" w14:textId="77777777">
        <w:trPr>
          <w:cantSplit/>
        </w:trPr>
        <w:tc>
          <w:tcPr>
            <w:tcW w:w="753" w:type="dxa"/>
          </w:tcPr>
          <w:p w14:paraId="5431D553" w14:textId="77777777" w:rsidR="00377BD8" w:rsidRDefault="00377BD8">
            <w:pPr>
              <w:spacing w:before="0" w:after="0" w:line="240" w:lineRule="auto"/>
              <w:jc w:val="left"/>
            </w:pPr>
          </w:p>
        </w:tc>
        <w:tc>
          <w:tcPr>
            <w:tcW w:w="8456" w:type="dxa"/>
          </w:tcPr>
          <w:p w14:paraId="16D1A2AD" w14:textId="77777777" w:rsidR="00FC0FE2" w:rsidRDefault="00000000">
            <w:pPr>
              <w:jc w:val="center"/>
            </w:pPr>
            <w:r>
              <w:rPr>
                <w:rFonts w:ascii="Cambria Math" w:hAnsi="Cambria Math"/>
                <w:sz w:val="22"/>
              </w:rPr>
              <w:t xml:space="preserve">pᴿ,ₜ = </w:t>
            </w:r>
            <w:proofErr w:type="gramStart"/>
            <w:r>
              <w:rPr>
                <w:rFonts w:ascii="Cambria Math" w:hAnsi="Cambria Math"/>
                <w:sz w:val="22"/>
              </w:rPr>
              <w:t>max(</w:t>
            </w:r>
            <w:proofErr w:type="gramEnd"/>
            <w:r>
              <w:rPr>
                <w:rFonts w:ascii="Cambria Math" w:hAnsi="Cambria Math"/>
                <w:sz w:val="22"/>
              </w:rPr>
              <w:t>0, 1 − ∑ᵢ∈K pᵢ,ₜ)</w:t>
            </w:r>
          </w:p>
        </w:tc>
        <w:tc>
          <w:tcPr>
            <w:tcW w:w="753" w:type="dxa"/>
          </w:tcPr>
          <w:p w14:paraId="035A924E" w14:textId="25F33C06" w:rsidR="00FC0FE2" w:rsidRDefault="00000000">
            <w:pPr>
              <w:jc w:val="right"/>
            </w:pPr>
            <w:bookmarkStart w:id="127" w:name="eq234"/>
            <w:r>
              <w:rPr>
                <w:rFonts w:ascii="Times New Roman" w:hAnsi="Times New Roman"/>
              </w:rPr>
              <w:t>(</w:t>
            </w:r>
            <w:r w:rsidR="00A94FDF">
              <w:fldChar w:fldCharType="begin"/>
            </w:r>
            <w:r w:rsidR="00A94FDF">
              <w:instrText>SEQ EcuacionMT \* ARABIC</w:instrText>
            </w:r>
            <w:r w:rsidR="00A94FDF">
              <w:fldChar w:fldCharType="separate"/>
            </w:r>
            <w:r w:rsidR="00A94FDF">
              <w:rPr>
                <w:noProof/>
              </w:rPr>
              <w:t>35</w:t>
            </w:r>
            <w:r w:rsidR="00A94FDF">
              <w:rPr>
                <w:color w:val="000000"/>
              </w:rPr>
              <w:fldChar w:fldCharType="end"/>
            </w:r>
            <w:r>
              <w:rPr>
                <w:rFonts w:ascii="Times New Roman" w:hAnsi="Times New Roman"/>
              </w:rPr>
              <w:t>)</w:t>
            </w:r>
            <w:bookmarkEnd w:id="127"/>
          </w:p>
        </w:tc>
      </w:tr>
      <w:tr w:rsidR="00962FA0" w14:paraId="2131C9FC" w14:textId="77777777">
        <w:trPr>
          <w:cantSplit/>
        </w:trPr>
        <w:tc>
          <w:tcPr>
            <w:tcW w:w="753" w:type="dxa"/>
          </w:tcPr>
          <w:p w14:paraId="7F1F3C0D" w14:textId="77777777" w:rsidR="00377BD8" w:rsidRDefault="00377BD8">
            <w:pPr>
              <w:spacing w:before="0" w:after="0" w:line="240" w:lineRule="auto"/>
              <w:jc w:val="left"/>
            </w:pPr>
          </w:p>
        </w:tc>
        <w:tc>
          <w:tcPr>
            <w:tcW w:w="8456" w:type="dxa"/>
          </w:tcPr>
          <w:p w14:paraId="6C4FB81B" w14:textId="77777777" w:rsidR="00FC0FE2" w:rsidRDefault="00000000">
            <w:pPr>
              <w:jc w:val="center"/>
            </w:pPr>
            <w:r>
              <w:rPr>
                <w:rFonts w:ascii="Cambria Math" w:hAnsi="Cambria Math"/>
                <w:sz w:val="22"/>
              </w:rPr>
              <w:t>p̂ᵢ(T) = [∑ₜ∈𝒱_T (1−</w:t>
            </w:r>
            <w:proofErr w:type="gramStart"/>
            <w:r>
              <w:rPr>
                <w:rFonts w:ascii="Cambria Math" w:hAnsi="Cambria Math"/>
                <w:sz w:val="22"/>
              </w:rPr>
              <w:t>α)^</w:t>
            </w:r>
            <w:proofErr w:type="gramEnd"/>
            <w:r>
              <w:rPr>
                <w:rFonts w:ascii="Cambria Math" w:hAnsi="Cambria Math"/>
                <w:sz w:val="22"/>
              </w:rPr>
              <w:t>(T−t) pᵢ,ₜ] / [∑ₜ∈𝒱_T (1−</w:t>
            </w:r>
            <w:proofErr w:type="gramStart"/>
            <w:r>
              <w:rPr>
                <w:rFonts w:ascii="Cambria Math" w:hAnsi="Cambria Math"/>
                <w:sz w:val="22"/>
              </w:rPr>
              <w:t>α)^</w:t>
            </w:r>
            <w:proofErr w:type="gramEnd"/>
            <w:r>
              <w:rPr>
                <w:rFonts w:ascii="Cambria Math" w:hAnsi="Cambria Math"/>
                <w:sz w:val="22"/>
              </w:rPr>
              <w:t>(T−t)]</w:t>
            </w:r>
          </w:p>
        </w:tc>
        <w:tc>
          <w:tcPr>
            <w:tcW w:w="753" w:type="dxa"/>
          </w:tcPr>
          <w:p w14:paraId="4956C78A" w14:textId="52170D98" w:rsidR="00FC0FE2" w:rsidRDefault="00000000">
            <w:pPr>
              <w:jc w:val="right"/>
            </w:pPr>
            <w:bookmarkStart w:id="128" w:name="eq235"/>
            <w:r>
              <w:rPr>
                <w:rFonts w:ascii="Times New Roman" w:hAnsi="Times New Roman"/>
              </w:rPr>
              <w:t>(</w:t>
            </w:r>
            <w:r w:rsidR="00A94FDF">
              <w:fldChar w:fldCharType="begin"/>
            </w:r>
            <w:r w:rsidR="00A94FDF">
              <w:instrText>SEQ EcuacionMT \* ARABIC</w:instrText>
            </w:r>
            <w:r w:rsidR="00A94FDF">
              <w:fldChar w:fldCharType="separate"/>
            </w:r>
            <w:r w:rsidR="00A94FDF">
              <w:rPr>
                <w:noProof/>
              </w:rPr>
              <w:t>36</w:t>
            </w:r>
            <w:r w:rsidR="00A94FDF">
              <w:rPr>
                <w:color w:val="000000"/>
              </w:rPr>
              <w:fldChar w:fldCharType="end"/>
            </w:r>
            <w:r>
              <w:rPr>
                <w:rFonts w:ascii="Times New Roman" w:hAnsi="Times New Roman"/>
              </w:rPr>
              <w:t>)</w:t>
            </w:r>
            <w:bookmarkEnd w:id="128"/>
          </w:p>
        </w:tc>
      </w:tr>
    </w:tbl>
    <w:p w14:paraId="0E1E7BA7" w14:textId="77777777" w:rsidR="00FC0FE2" w:rsidRDefault="00000000">
      <w:r>
        <w:t xml:space="preserve">Aquí </w:t>
      </w:r>
      <w:r w:rsidRPr="00DD44DD">
        <w:rPr>
          <w:i/>
          <w:iCs/>
        </w:rPr>
        <w:t>K</w:t>
      </w:r>
      <w:r>
        <w:t xml:space="preserve"> contiene las categorías principales mostradas, </w:t>
      </w:r>
      <w:r w:rsidRPr="00DD44DD">
        <w:rPr>
          <w:i/>
          <w:iCs/>
        </w:rPr>
        <w:t>R</w:t>
      </w:r>
      <w:r>
        <w:t xml:space="preserve"> representa RESTO_ELEGIBLE, </w:t>
      </w:r>
      <w:r w:rsidRPr="00DD44DD">
        <w:rPr>
          <w:i/>
          <w:iCs/>
        </w:rPr>
        <w:t>Vₜ</w:t>
      </w:r>
      <w:r>
        <w:t xml:space="preserve"> contiene semanas anteriores con composición definida y </w:t>
      </w:r>
      <w:r w:rsidRPr="00DD44DD">
        <w:rPr>
          <w:i/>
          <w:iCs/>
        </w:rPr>
        <w:t>α</w:t>
      </w:r>
      <w:r>
        <w:t xml:space="preserve"> es el parámetro de ponderación seleccionado internamente. La normalización conserva el remanente elegible sin redistribuirlo entre los insumos principales.</w:t>
      </w:r>
    </w:p>
    <w:p w14:paraId="427A6480" w14:textId="77777777" w:rsidR="00FC0FE2" w:rsidRDefault="00000000">
      <w:pPr>
        <w:pStyle w:val="Descripcin"/>
        <w:keepNext/>
      </w:pPr>
      <w:r>
        <w:t>Figura 38. Composición porcentual observada durante el periodo de desarrollo.</w:t>
      </w:r>
    </w:p>
    <w:p w14:paraId="6C6E4A21" w14:textId="77777777" w:rsidR="00FC0FE2" w:rsidRDefault="00000000">
      <w:pPr>
        <w:jc w:val="center"/>
      </w:pPr>
      <w:r>
        <w:rPr>
          <w:noProof/>
        </w:rPr>
        <w:drawing>
          <wp:inline distT="0" distB="0" distL="0" distR="0" wp14:anchorId="502D6581" wp14:editId="789BD6DC">
            <wp:extent cx="5532120" cy="3462538"/>
            <wp:effectExtent l="0" t="0" r="0" b="0"/>
            <wp:docPr id="1678057665" name="Picture 167805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8"/>
                    <a:stretch>
                      <a:fillRect/>
                    </a:stretch>
                  </pic:blipFill>
                  <pic:spPr>
                    <a:xfrm>
                      <a:off x="0" y="0"/>
                      <a:ext cx="5532120" cy="3462538"/>
                    </a:xfrm>
                    <a:prstGeom prst="rect">
                      <a:avLst/>
                    </a:prstGeom>
                  </pic:spPr>
                </pic:pic>
              </a:graphicData>
            </a:graphic>
          </wp:inline>
        </w:drawing>
      </w:r>
    </w:p>
    <w:p w14:paraId="5E1EC6B4" w14:textId="77777777" w:rsidR="00FC0FE2" w:rsidRDefault="00000000">
      <w:pPr>
        <w:pStyle w:val="Descripcin"/>
        <w:keepNext/>
      </w:pPr>
      <w:r>
        <w:lastRenderedPageBreak/>
        <w:t>Figura 39. Categorías principales consideradas para la asignación presupuestaria.</w:t>
      </w:r>
    </w:p>
    <w:p w14:paraId="5DB9C4D3" w14:textId="77777777" w:rsidR="00FC0FE2" w:rsidRDefault="00000000">
      <w:pPr>
        <w:jc w:val="center"/>
      </w:pPr>
      <w:r>
        <w:rPr>
          <w:noProof/>
        </w:rPr>
        <w:drawing>
          <wp:inline distT="0" distB="0" distL="0" distR="0" wp14:anchorId="0D8E9D54" wp14:editId="3336461B">
            <wp:extent cx="5532120" cy="3242433"/>
            <wp:effectExtent l="0" t="0" r="0" b="0"/>
            <wp:docPr id="1678057666" name="Picture 167805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9"/>
                    <a:stretch>
                      <a:fillRect/>
                    </a:stretch>
                  </pic:blipFill>
                  <pic:spPr>
                    <a:xfrm>
                      <a:off x="0" y="0"/>
                      <a:ext cx="5532120" cy="3242433"/>
                    </a:xfrm>
                    <a:prstGeom prst="rect">
                      <a:avLst/>
                    </a:prstGeom>
                  </pic:spPr>
                </pic:pic>
              </a:graphicData>
            </a:graphic>
          </wp:inline>
        </w:drawing>
      </w:r>
    </w:p>
    <w:p w14:paraId="3AC0BFE6" w14:textId="77777777" w:rsidR="00FC0FE2" w:rsidRDefault="00000000">
      <w:pPr>
        <w:pStyle w:val="Ttulo2"/>
      </w:pPr>
      <w:r>
        <w:t>Modelos y validación temporal</w:t>
      </w:r>
    </w:p>
    <w:p w14:paraId="0F8EADF4" w14:textId="77777777" w:rsidR="00FC0FE2" w:rsidRDefault="00000000">
      <w:r>
        <w:t xml:space="preserve">Se compararon referencias empíricas, modelos estadísticos, métodos de aprendizaje automático y combinaciones híbridas. Los componentes incluyen suavizamiento exponencial, </w:t>
      </w:r>
      <w:r w:rsidRPr="00DD44DD">
        <w:rPr>
          <w:i/>
          <w:iCs/>
        </w:rPr>
        <w:t>ARIMA, Ridge, Random Forest, HistGradientBoosting</w:t>
      </w:r>
      <w:r>
        <w:t xml:space="preserve"> y una red neuronal </w:t>
      </w:r>
      <w:r w:rsidRPr="00DD44DD">
        <w:rPr>
          <w:i/>
          <w:iCs/>
        </w:rPr>
        <w:t>MLP</w:t>
      </w:r>
      <w:r>
        <w:t xml:space="preserve"> pequeña. También se evaluaron combinaciones ponderadas y corrección de residuos </w:t>
      </w:r>
      <w:r w:rsidRPr="00DD44DD">
        <w:rPr>
          <w:i/>
          <w:iCs/>
        </w:rPr>
        <w:t>ARIMA</w:t>
      </w:r>
      <w:r>
        <w:t xml:space="preserve"> mediante aprendizaje automático. La </w:t>
      </w:r>
      <w:r w:rsidRPr="00DD44DD">
        <w:rPr>
          <w:i/>
          <w:iCs/>
        </w:rPr>
        <w:t>MLP</w:t>
      </w:r>
      <w:r>
        <w:t xml:space="preserve"> es una red neuronal no recurrente; no se ejecutaron </w:t>
      </w:r>
      <w:r w:rsidRPr="00DD44DD">
        <w:rPr>
          <w:i/>
          <w:iCs/>
        </w:rPr>
        <w:t>RNN</w:t>
      </w:r>
      <w:r>
        <w:t xml:space="preserve"> ni </w:t>
      </w:r>
      <w:r w:rsidRPr="00DD44DD">
        <w:rPr>
          <w:i/>
          <w:iCs/>
        </w:rPr>
        <w:t>LSTM</w:t>
      </w:r>
      <w:r>
        <w:t>.</w:t>
      </w:r>
    </w:p>
    <w:p w14:paraId="6FB4237C" w14:textId="664D737C" w:rsidR="00FC0FE2" w:rsidRDefault="00000000">
      <w:r>
        <w:t xml:space="preserve">La evaluación usa </w:t>
      </w:r>
      <w:proofErr w:type="spellStart"/>
      <w:r w:rsidR="00DD44DD" w:rsidRPr="00DD44DD">
        <w:rPr>
          <w:i/>
        </w:rPr>
        <w:t>rolling</w:t>
      </w:r>
      <w:proofErr w:type="spellEnd"/>
      <w:r w:rsidR="00DD44DD" w:rsidRPr="00DD44DD">
        <w:rPr>
          <w:i/>
        </w:rPr>
        <w:t xml:space="preserve"> </w:t>
      </w:r>
      <w:proofErr w:type="spellStart"/>
      <w:r w:rsidR="00DD44DD" w:rsidRPr="00DD44DD">
        <w:rPr>
          <w:i/>
        </w:rPr>
        <w:t>window</w:t>
      </w:r>
      <w:proofErr w:type="spellEnd"/>
      <w:r>
        <w:t xml:space="preserve"> con 52 semanas de entrenamiento, avance cada tres semanas y horizontes directos de una a cuatro semanas. Cinco orígenes internos se utilizaron para seleccionar componentes por horizonte. La corrida final produjo seis </w:t>
      </w:r>
      <w:proofErr w:type="spellStart"/>
      <w:r w:rsidR="00DD44DD" w:rsidRPr="00DD44DD">
        <w:rPr>
          <w:i/>
        </w:rPr>
        <w:t>folds</w:t>
      </w:r>
      <w:proofErr w:type="spellEnd"/>
      <w:r>
        <w:t xml:space="preserve"> observados por horizonte; los modelos estacionales de 52 semanas tuvieron menos </w:t>
      </w:r>
      <w:proofErr w:type="spellStart"/>
      <w:r w:rsidR="00DD44DD" w:rsidRPr="00DD44DD">
        <w:rPr>
          <w:i/>
        </w:rPr>
        <w:t>folds</w:t>
      </w:r>
      <w:proofErr w:type="spellEnd"/>
      <w:r>
        <w:t xml:space="preserve"> comparables por disponibilidad. Las exclusiones y tamaños muestrales se reportan sin rellenar artificialmente los objetivos faltantes.</w:t>
      </w:r>
    </w:p>
    <w:p w14:paraId="6CC22E93" w14:textId="59FAF1C9" w:rsidR="00FC0FE2" w:rsidRDefault="00000000">
      <w:r>
        <w:lastRenderedPageBreak/>
        <w:t xml:space="preserve">La combinación ponderada, la corrección residual </w:t>
      </w:r>
      <w:r w:rsidRPr="00DD44DD">
        <w:rPr>
          <w:i/>
          <w:iCs/>
        </w:rPr>
        <w:t>ARIMA+MLP</w:t>
      </w:r>
      <w:r>
        <w:t xml:space="preserve"> y la generación de orígenes rolling se formalizan en las ecuaciones </w:t>
      </w:r>
      <w:r>
        <w:fldChar w:fldCharType="begin"/>
      </w:r>
      <w:r>
        <w:instrText xml:space="preserve"> REF eq236 \h </w:instrText>
      </w:r>
      <w:r>
        <w:fldChar w:fldCharType="separate"/>
      </w:r>
      <w:r w:rsidR="00A94FDF">
        <w:rPr>
          <w:rFonts w:ascii="Times New Roman" w:hAnsi="Times New Roman"/>
        </w:rPr>
        <w:t>(</w:t>
      </w:r>
      <w:r w:rsidR="00A94FDF">
        <w:rPr>
          <w:noProof/>
        </w:rPr>
        <w:t>37</w:t>
      </w:r>
      <w:r w:rsidR="00A94FDF">
        <w:rPr>
          <w:rFonts w:ascii="Times New Roman" w:hAnsi="Times New Roman"/>
        </w:rPr>
        <w:t>)</w:t>
      </w:r>
      <w:r>
        <w:fldChar w:fldCharType="end"/>
      </w:r>
      <w:r>
        <w:t xml:space="preserve"> a </w:t>
      </w:r>
      <w:r>
        <w:fldChar w:fldCharType="begin"/>
      </w:r>
      <w:r>
        <w:instrText xml:space="preserve"> REF eq238 \h </w:instrText>
      </w:r>
      <w:r>
        <w:fldChar w:fldCharType="separate"/>
      </w:r>
      <w:r w:rsidR="00A94FDF">
        <w:rPr>
          <w:rFonts w:ascii="Times New Roman" w:hAnsi="Times New Roman"/>
        </w:rPr>
        <w:t>(</w:t>
      </w:r>
      <w:r w:rsidR="00A94FDF">
        <w:rPr>
          <w:noProof/>
        </w:rPr>
        <w:t>39</w:t>
      </w:r>
      <w:r w:rsidR="00A94FDF">
        <w:rPr>
          <w:rFonts w:ascii="Times New Roman" w:hAnsi="Times New Roman"/>
        </w:rPr>
        <w:t>)</w:t>
      </w:r>
      <w:r>
        <w:fldChar w:fldCharType="end"/>
      </w:r>
      <w:r>
        <w:t>.</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06AC2C9" w14:textId="77777777">
        <w:trPr>
          <w:cantSplit/>
        </w:trPr>
        <w:tc>
          <w:tcPr>
            <w:tcW w:w="753" w:type="dxa"/>
          </w:tcPr>
          <w:p w14:paraId="7081B835" w14:textId="77777777" w:rsidR="00377BD8" w:rsidRDefault="00377BD8">
            <w:pPr>
              <w:spacing w:before="0" w:after="0" w:line="240" w:lineRule="auto"/>
              <w:jc w:val="left"/>
            </w:pPr>
          </w:p>
        </w:tc>
        <w:tc>
          <w:tcPr>
            <w:tcW w:w="8456" w:type="dxa"/>
          </w:tcPr>
          <w:p w14:paraId="3B84BE5E" w14:textId="77777777" w:rsidR="00FC0FE2" w:rsidRDefault="00000000">
            <w:pPr>
              <w:jc w:val="center"/>
            </w:pPr>
            <w:r>
              <w:rPr>
                <w:rFonts w:ascii="Cambria Math" w:hAnsi="Cambria Math"/>
                <w:sz w:val="22"/>
              </w:rPr>
              <w:t>ŷᴴₜ₊ₕ = wₕ ŷˢₜₐₜₜ₊ₕ + (1−wₕ) ŷᴹᴸₜ₊ₕ</w:t>
            </w:r>
          </w:p>
        </w:tc>
        <w:tc>
          <w:tcPr>
            <w:tcW w:w="753" w:type="dxa"/>
          </w:tcPr>
          <w:p w14:paraId="6E87F263" w14:textId="4EEDE076" w:rsidR="00FC0FE2" w:rsidRDefault="00000000">
            <w:pPr>
              <w:jc w:val="right"/>
            </w:pPr>
            <w:bookmarkStart w:id="129" w:name="eq236"/>
            <w:r>
              <w:rPr>
                <w:rFonts w:ascii="Times New Roman" w:hAnsi="Times New Roman"/>
              </w:rPr>
              <w:t>(</w:t>
            </w:r>
            <w:r w:rsidR="00A94FDF">
              <w:fldChar w:fldCharType="begin"/>
            </w:r>
            <w:r w:rsidR="00A94FDF">
              <w:instrText>SEQ EcuacionMT \* ARABIC</w:instrText>
            </w:r>
            <w:r w:rsidR="00A94FDF">
              <w:fldChar w:fldCharType="separate"/>
            </w:r>
            <w:r w:rsidR="00A94FDF">
              <w:rPr>
                <w:noProof/>
              </w:rPr>
              <w:t>37</w:t>
            </w:r>
            <w:r w:rsidR="00A94FDF">
              <w:rPr>
                <w:color w:val="000000"/>
              </w:rPr>
              <w:fldChar w:fldCharType="end"/>
            </w:r>
            <w:r>
              <w:rPr>
                <w:rFonts w:ascii="Times New Roman" w:hAnsi="Times New Roman"/>
              </w:rPr>
              <w:t>)</w:t>
            </w:r>
            <w:bookmarkEnd w:id="129"/>
          </w:p>
        </w:tc>
      </w:tr>
      <w:tr w:rsidR="00962FA0" w14:paraId="5A88FB03" w14:textId="77777777">
        <w:trPr>
          <w:cantSplit/>
        </w:trPr>
        <w:tc>
          <w:tcPr>
            <w:tcW w:w="753" w:type="dxa"/>
          </w:tcPr>
          <w:p w14:paraId="4ABF9EEB" w14:textId="77777777" w:rsidR="00377BD8" w:rsidRDefault="00377BD8">
            <w:pPr>
              <w:spacing w:before="0" w:after="0" w:line="240" w:lineRule="auto"/>
              <w:jc w:val="left"/>
            </w:pPr>
          </w:p>
        </w:tc>
        <w:tc>
          <w:tcPr>
            <w:tcW w:w="8456" w:type="dxa"/>
          </w:tcPr>
          <w:p w14:paraId="344067A0" w14:textId="77777777" w:rsidR="00FC0FE2" w:rsidRDefault="00000000">
            <w:pPr>
              <w:jc w:val="center"/>
            </w:pPr>
            <w:r>
              <w:rPr>
                <w:rFonts w:ascii="Cambria Math" w:hAnsi="Cambria Math"/>
                <w:sz w:val="22"/>
              </w:rPr>
              <w:t xml:space="preserve">ŷᴿₜ₊ₕ = </w:t>
            </w:r>
            <w:proofErr w:type="gramStart"/>
            <w:r>
              <w:rPr>
                <w:rFonts w:ascii="Cambria Math" w:hAnsi="Cambria Math"/>
                <w:sz w:val="22"/>
              </w:rPr>
              <w:t>max(</w:t>
            </w:r>
            <w:proofErr w:type="gramEnd"/>
            <w:r>
              <w:rPr>
                <w:rFonts w:ascii="Cambria Math" w:hAnsi="Cambria Math"/>
                <w:sz w:val="22"/>
              </w:rPr>
              <w:t>0, ŷᴬᴿᴵᴹᴬₜ₊ₕ + fᴹᴸᴾ(xₜ)</w:t>
            </w:r>
            <w:proofErr w:type="gramStart"/>
            <w:r>
              <w:rPr>
                <w:rFonts w:ascii="Cambria Math" w:hAnsi="Cambria Math"/>
                <w:sz w:val="22"/>
              </w:rPr>
              <w:t xml:space="preserve">),   </w:t>
            </w:r>
            <w:proofErr w:type="gramEnd"/>
            <w:r>
              <w:rPr>
                <w:rFonts w:ascii="Cambria Math" w:hAnsi="Cambria Math"/>
                <w:sz w:val="22"/>
              </w:rPr>
              <w:t>eₜ₊ₕ = Yₜ₊ₕ − ŷᴬᴿᴵᴹᴬₜ₊ₕ</w:t>
            </w:r>
          </w:p>
        </w:tc>
        <w:tc>
          <w:tcPr>
            <w:tcW w:w="753" w:type="dxa"/>
          </w:tcPr>
          <w:p w14:paraId="25D43F31" w14:textId="563DB400" w:rsidR="00FC0FE2" w:rsidRDefault="00000000">
            <w:pPr>
              <w:jc w:val="right"/>
            </w:pPr>
            <w:bookmarkStart w:id="130" w:name="eq237"/>
            <w:r>
              <w:rPr>
                <w:rFonts w:ascii="Times New Roman" w:hAnsi="Times New Roman"/>
              </w:rPr>
              <w:t>(</w:t>
            </w:r>
            <w:r w:rsidR="00A94FDF">
              <w:fldChar w:fldCharType="begin"/>
            </w:r>
            <w:r w:rsidR="00A94FDF">
              <w:instrText>SEQ EcuacionMT \* ARABIC</w:instrText>
            </w:r>
            <w:r w:rsidR="00A94FDF">
              <w:fldChar w:fldCharType="separate"/>
            </w:r>
            <w:r w:rsidR="00A94FDF">
              <w:rPr>
                <w:noProof/>
              </w:rPr>
              <w:t>38</w:t>
            </w:r>
            <w:r w:rsidR="00A94FDF">
              <w:rPr>
                <w:color w:val="000000"/>
              </w:rPr>
              <w:fldChar w:fldCharType="end"/>
            </w:r>
            <w:r>
              <w:rPr>
                <w:rFonts w:ascii="Times New Roman" w:hAnsi="Times New Roman"/>
              </w:rPr>
              <w:t>)</w:t>
            </w:r>
            <w:bookmarkEnd w:id="130"/>
          </w:p>
        </w:tc>
      </w:tr>
      <w:tr w:rsidR="00962FA0" w14:paraId="1D2C6C65" w14:textId="77777777">
        <w:trPr>
          <w:cantSplit/>
        </w:trPr>
        <w:tc>
          <w:tcPr>
            <w:tcW w:w="753" w:type="dxa"/>
          </w:tcPr>
          <w:p w14:paraId="5412957A" w14:textId="77777777" w:rsidR="00377BD8" w:rsidRDefault="00377BD8">
            <w:pPr>
              <w:spacing w:before="0" w:after="0" w:line="240" w:lineRule="auto"/>
              <w:jc w:val="left"/>
            </w:pPr>
          </w:p>
        </w:tc>
        <w:tc>
          <w:tcPr>
            <w:tcW w:w="8456" w:type="dxa"/>
          </w:tcPr>
          <w:p w14:paraId="67FD5F08" w14:textId="77777777" w:rsidR="00FC0FE2" w:rsidRDefault="00000000">
            <w:pPr>
              <w:jc w:val="center"/>
            </w:pPr>
            <w:r>
              <w:rPr>
                <w:rFonts w:ascii="Cambria Math" w:hAnsi="Cambria Math"/>
                <w:sz w:val="22"/>
              </w:rPr>
              <w:t>oₖ = o₀ + 3</w:t>
            </w:r>
            <w:proofErr w:type="gramStart"/>
            <w:r>
              <w:rPr>
                <w:rFonts w:ascii="Cambria Math" w:hAnsi="Cambria Math"/>
                <w:sz w:val="22"/>
              </w:rPr>
              <w:t xml:space="preserve">k;   </w:t>
            </w:r>
            <w:proofErr w:type="gramEnd"/>
            <w:r>
              <w:rPr>
                <w:rFonts w:ascii="Cambria Math" w:hAnsi="Cambria Math"/>
                <w:sz w:val="22"/>
              </w:rPr>
              <w:t>Tₒ = {</w:t>
            </w:r>
            <w:proofErr w:type="gramStart"/>
            <w:r>
              <w:rPr>
                <w:rFonts w:ascii="Cambria Math" w:hAnsi="Cambria Math"/>
                <w:sz w:val="22"/>
              </w:rPr>
              <w:t>t :</w:t>
            </w:r>
            <w:proofErr w:type="gramEnd"/>
            <w:r>
              <w:rPr>
                <w:rFonts w:ascii="Cambria Math" w:hAnsi="Cambria Math"/>
                <w:sz w:val="22"/>
              </w:rPr>
              <w:t xml:space="preserve"> o−52 ≤ t &lt; o</w:t>
            </w:r>
            <w:proofErr w:type="gramStart"/>
            <w:r>
              <w:rPr>
                <w:rFonts w:ascii="Cambria Math" w:hAnsi="Cambria Math"/>
                <w:sz w:val="22"/>
              </w:rPr>
              <w:t xml:space="preserve">};   </w:t>
            </w:r>
            <w:proofErr w:type="gramEnd"/>
            <w:r>
              <w:rPr>
                <w:rFonts w:ascii="Cambria Math" w:hAnsi="Cambria Math"/>
                <w:sz w:val="22"/>
              </w:rPr>
              <w:t>objetivo = Yₒ₊ₕ₋₁</w:t>
            </w:r>
          </w:p>
        </w:tc>
        <w:tc>
          <w:tcPr>
            <w:tcW w:w="753" w:type="dxa"/>
          </w:tcPr>
          <w:p w14:paraId="7E339D74" w14:textId="19335569" w:rsidR="00FC0FE2" w:rsidRDefault="00000000">
            <w:pPr>
              <w:jc w:val="right"/>
            </w:pPr>
            <w:bookmarkStart w:id="131" w:name="eq238"/>
            <w:r>
              <w:rPr>
                <w:rFonts w:ascii="Times New Roman" w:hAnsi="Times New Roman"/>
              </w:rPr>
              <w:t>(</w:t>
            </w:r>
            <w:r w:rsidR="00A94FDF">
              <w:fldChar w:fldCharType="begin"/>
            </w:r>
            <w:r w:rsidR="00A94FDF">
              <w:instrText>SEQ EcuacionMT \* ARABIC</w:instrText>
            </w:r>
            <w:r w:rsidR="00A94FDF">
              <w:fldChar w:fldCharType="separate"/>
            </w:r>
            <w:r w:rsidR="00A94FDF">
              <w:rPr>
                <w:noProof/>
              </w:rPr>
              <w:t>39</w:t>
            </w:r>
            <w:r w:rsidR="00A94FDF">
              <w:rPr>
                <w:color w:val="000000"/>
              </w:rPr>
              <w:fldChar w:fldCharType="end"/>
            </w:r>
            <w:r>
              <w:rPr>
                <w:rFonts w:ascii="Times New Roman" w:hAnsi="Times New Roman"/>
              </w:rPr>
              <w:t>)</w:t>
            </w:r>
            <w:bookmarkEnd w:id="131"/>
          </w:p>
        </w:tc>
      </w:tr>
    </w:tbl>
    <w:p w14:paraId="4C471EE8" w14:textId="77777777" w:rsidR="00FC0FE2" w:rsidRDefault="00000000">
      <w:r>
        <w:t xml:space="preserve">El peso </w:t>
      </w:r>
      <w:r w:rsidRPr="00DD44DD">
        <w:rPr>
          <w:i/>
          <w:iCs/>
        </w:rPr>
        <w:t>wₕ</w:t>
      </w:r>
      <w:r>
        <w:t xml:space="preserve"> se escoge entre los candidatos internos para cada horizonte. En la alternativa residual, la </w:t>
      </w:r>
      <w:r w:rsidRPr="00DD44DD">
        <w:rPr>
          <w:i/>
          <w:iCs/>
        </w:rPr>
        <w:t>MLP</w:t>
      </w:r>
      <w:r>
        <w:t xml:space="preserve"> estima el error fuera de muestra del </w:t>
      </w:r>
      <w:r w:rsidRPr="00DD44DD">
        <w:rPr>
          <w:i/>
          <w:iCs/>
        </w:rPr>
        <w:t>ARIMA</w:t>
      </w:r>
      <w:r>
        <w:t xml:space="preserve"> y la predicción corregida no puede ser negativa. Cada entrenamiento usa las 52 semanas calendario previas al origen; los objetivos ausentes no se rellenan para calcular las métricas.</w:t>
      </w:r>
    </w:p>
    <w:p w14:paraId="5F79774E" w14:textId="77777777" w:rsidR="00FC0FE2" w:rsidRDefault="00000000">
      <w:pPr>
        <w:pStyle w:val="Descripcin"/>
        <w:keepNext/>
      </w:pPr>
      <w:r>
        <w:t>Figura 40. Particiones temporales utilizadas para selección y evaluación.</w:t>
      </w:r>
    </w:p>
    <w:p w14:paraId="51E2E10C" w14:textId="77777777" w:rsidR="00FC0FE2" w:rsidRDefault="00000000">
      <w:pPr>
        <w:jc w:val="center"/>
      </w:pPr>
      <w:r>
        <w:rPr>
          <w:noProof/>
        </w:rPr>
        <w:drawing>
          <wp:inline distT="0" distB="0" distL="0" distR="0" wp14:anchorId="442C4230" wp14:editId="70F4171B">
            <wp:extent cx="5532120" cy="2561355"/>
            <wp:effectExtent l="0" t="0" r="0" b="0"/>
            <wp:docPr id="1678057667" name="Picture 167805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5532120" cy="2561355"/>
                    </a:xfrm>
                    <a:prstGeom prst="rect">
                      <a:avLst/>
                    </a:prstGeom>
                  </pic:spPr>
                </pic:pic>
              </a:graphicData>
            </a:graphic>
          </wp:inline>
        </w:drawing>
      </w:r>
    </w:p>
    <w:p w14:paraId="07E070EA" w14:textId="77777777" w:rsidR="00FC0FE2" w:rsidRDefault="00000000">
      <w:pPr>
        <w:pStyle w:val="Descripcin"/>
        <w:keepNext/>
      </w:pPr>
      <w:r>
        <w:lastRenderedPageBreak/>
        <w:t>Figura 41. Desempeño de las configuraciones consideradas en la validación interna.</w:t>
      </w:r>
    </w:p>
    <w:p w14:paraId="48587588" w14:textId="77777777" w:rsidR="00FC0FE2" w:rsidRDefault="00000000">
      <w:pPr>
        <w:jc w:val="center"/>
      </w:pPr>
      <w:r>
        <w:rPr>
          <w:noProof/>
        </w:rPr>
        <w:drawing>
          <wp:inline distT="0" distB="0" distL="0" distR="0" wp14:anchorId="5F2767AF" wp14:editId="05C18E9A">
            <wp:extent cx="5532120" cy="2277166"/>
            <wp:effectExtent l="0" t="0" r="0" b="0"/>
            <wp:docPr id="1678057668" name="Picture 1678057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1"/>
                    <a:stretch>
                      <a:fillRect/>
                    </a:stretch>
                  </pic:blipFill>
                  <pic:spPr>
                    <a:xfrm>
                      <a:off x="0" y="0"/>
                      <a:ext cx="5532120" cy="2277166"/>
                    </a:xfrm>
                    <a:prstGeom prst="rect">
                      <a:avLst/>
                    </a:prstGeom>
                  </pic:spPr>
                </pic:pic>
              </a:graphicData>
            </a:graphic>
          </wp:inline>
        </w:drawing>
      </w:r>
    </w:p>
    <w:p w14:paraId="04A1C8E9" w14:textId="7D353C68" w:rsidR="00FC0FE2" w:rsidRDefault="00000000">
      <w:r>
        <w:t xml:space="preserve">La selección interna eligió </w:t>
      </w:r>
      <w:proofErr w:type="spellStart"/>
      <w:r w:rsidRPr="00DD44DD">
        <w:rPr>
          <w:i/>
          <w:iCs/>
        </w:rPr>
        <w:t>SES+RandomForest</w:t>
      </w:r>
      <w:proofErr w:type="spellEnd"/>
      <w:r>
        <w:t xml:space="preserve"> para el horizonte 1, </w:t>
      </w:r>
      <w:r w:rsidRPr="00DD44DD">
        <w:rPr>
          <w:i/>
          <w:iCs/>
        </w:rPr>
        <w:t>SES+HistGradientBoosting</w:t>
      </w:r>
      <w:r>
        <w:t xml:space="preserve"> para el horizonte 2, </w:t>
      </w:r>
      <w:r w:rsidRPr="00DD44DD">
        <w:rPr>
          <w:i/>
          <w:iCs/>
        </w:rPr>
        <w:t>ARIMA+MLP</w:t>
      </w:r>
      <w:r>
        <w:t xml:space="preserve"> residual para el horizonte 3 y </w:t>
      </w:r>
      <w:proofErr w:type="spellStart"/>
      <w:r w:rsidRPr="00DD44DD">
        <w:rPr>
          <w:i/>
          <w:iCs/>
        </w:rPr>
        <w:t>ARIMA+RandomForest</w:t>
      </w:r>
      <w:proofErr w:type="spellEnd"/>
      <w:r>
        <w:t xml:space="preserve"> residual para el horizonte 4. La elección no implica superioridad universal; el desempeño final se resume en la Tabla 13 y se analiza en Resultados.</w:t>
      </w:r>
    </w:p>
    <w:p w14:paraId="4DA558B4" w14:textId="77777777" w:rsidR="00FC0FE2" w:rsidRDefault="00000000">
      <w:pPr>
        <w:pStyle w:val="Descripcin"/>
        <w:keepNext/>
      </w:pPr>
      <w:r>
        <w:t>Tabla 12. Etapas previas de trabajo y su uso en la corrida vigente.</w:t>
      </w:r>
    </w:p>
    <w:tbl>
      <w:tblPr>
        <w:tblStyle w:val="Tablaconcuadrcula"/>
        <w:tblW w:w="0" w:type="auto"/>
        <w:jc w:val="center"/>
        <w:tblLayout w:type="fixed"/>
        <w:tblLook w:val="04A0" w:firstRow="1" w:lastRow="0" w:firstColumn="1" w:lastColumn="0" w:noHBand="0" w:noVBand="1"/>
      </w:tblPr>
      <w:tblGrid>
        <w:gridCol w:w="2088"/>
        <w:gridCol w:w="3528"/>
        <w:gridCol w:w="3816"/>
      </w:tblGrid>
      <w:tr w:rsidR="00FC0FE2" w14:paraId="2AA9AA85" w14:textId="77777777">
        <w:trPr>
          <w:tblHeader/>
          <w:jc w:val="center"/>
        </w:trPr>
        <w:tc>
          <w:tcPr>
            <w:tcW w:w="2088" w:type="dxa"/>
            <w:shd w:val="clear" w:color="auto" w:fill="24476B"/>
          </w:tcPr>
          <w:p w14:paraId="5B48C4DC" w14:textId="77777777" w:rsidR="00FC0FE2" w:rsidRDefault="00000000">
            <w:r>
              <w:rPr>
                <w:b/>
                <w:color w:val="FFFFFF"/>
                <w:sz w:val="15"/>
              </w:rPr>
              <w:t>Etapa previa</w:t>
            </w:r>
          </w:p>
        </w:tc>
        <w:tc>
          <w:tcPr>
            <w:tcW w:w="3528" w:type="dxa"/>
            <w:shd w:val="clear" w:color="auto" w:fill="24476B"/>
          </w:tcPr>
          <w:p w14:paraId="11B5131A" w14:textId="77777777" w:rsidR="00FC0FE2" w:rsidRDefault="00000000">
            <w:r>
              <w:rPr>
                <w:b/>
                <w:color w:val="FFFFFF"/>
                <w:sz w:val="15"/>
              </w:rPr>
              <w:t>Qué se realizó</w:t>
            </w:r>
          </w:p>
        </w:tc>
        <w:tc>
          <w:tcPr>
            <w:tcW w:w="3816" w:type="dxa"/>
            <w:shd w:val="clear" w:color="auto" w:fill="24476B"/>
          </w:tcPr>
          <w:p w14:paraId="6AAA847D" w14:textId="77777777" w:rsidR="00FC0FE2" w:rsidRDefault="00000000">
            <w:r>
              <w:rPr>
                <w:b/>
                <w:color w:val="FFFFFF"/>
                <w:sz w:val="15"/>
              </w:rPr>
              <w:t>Aplicación vigente</w:t>
            </w:r>
          </w:p>
        </w:tc>
      </w:tr>
      <w:tr w:rsidR="00FC0FE2" w14:paraId="71EBA3C7" w14:textId="77777777">
        <w:trPr>
          <w:jc w:val="center"/>
        </w:trPr>
        <w:tc>
          <w:tcPr>
            <w:tcW w:w="2088" w:type="dxa"/>
            <w:vAlign w:val="center"/>
          </w:tcPr>
          <w:p w14:paraId="49FF7480" w14:textId="77777777" w:rsidR="00FC0FE2" w:rsidRDefault="00000000">
            <w:r>
              <w:rPr>
                <w:sz w:val="15"/>
              </w:rPr>
              <w:t>Exploración de fuentes y cobertura</w:t>
            </w:r>
          </w:p>
        </w:tc>
        <w:tc>
          <w:tcPr>
            <w:tcW w:w="3528" w:type="dxa"/>
            <w:vAlign w:val="center"/>
          </w:tcPr>
          <w:p w14:paraId="68253793" w14:textId="77777777" w:rsidR="00FC0FE2" w:rsidRDefault="00000000">
            <w:r>
              <w:rPr>
                <w:sz w:val="15"/>
              </w:rPr>
              <w:t>Se revisaron fuentes de compras, ventas y contexto y se ubicaron discontinuidades.</w:t>
            </w:r>
          </w:p>
        </w:tc>
        <w:tc>
          <w:tcPr>
            <w:tcW w:w="3816" w:type="dxa"/>
            <w:vAlign w:val="center"/>
          </w:tcPr>
          <w:p w14:paraId="76D203E0" w14:textId="77777777" w:rsidR="00FC0FE2" w:rsidRDefault="00000000">
            <w:r>
              <w:rPr>
                <w:sz w:val="15"/>
              </w:rPr>
              <w:t>Se aplicó auditoría semanal explícita, diferenciando ceros y datos ausentes.</w:t>
            </w:r>
          </w:p>
        </w:tc>
      </w:tr>
      <w:tr w:rsidR="00FC0FE2" w14:paraId="786C3DDF" w14:textId="77777777">
        <w:trPr>
          <w:jc w:val="center"/>
        </w:trPr>
        <w:tc>
          <w:tcPr>
            <w:tcW w:w="2088" w:type="dxa"/>
            <w:vAlign w:val="center"/>
          </w:tcPr>
          <w:p w14:paraId="77F70FC9" w14:textId="77777777" w:rsidR="00FC0FE2" w:rsidRDefault="00000000">
            <w:r>
              <w:rPr>
                <w:sz w:val="15"/>
              </w:rPr>
              <w:t>Preparación e imputación exploratoria</w:t>
            </w:r>
          </w:p>
        </w:tc>
        <w:tc>
          <w:tcPr>
            <w:tcW w:w="3528" w:type="dxa"/>
            <w:vAlign w:val="center"/>
          </w:tcPr>
          <w:p w14:paraId="5C259405" w14:textId="77777777" w:rsidR="00FC0FE2" w:rsidRDefault="00000000">
            <w:r>
              <w:rPr>
                <w:sz w:val="15"/>
              </w:rPr>
              <w:t>Se evaluaron criterios para completar huecos; se autorizó promedio simple solo en el tramo indicado.</w:t>
            </w:r>
          </w:p>
        </w:tc>
        <w:tc>
          <w:tcPr>
            <w:tcW w:w="3816" w:type="dxa"/>
            <w:vAlign w:val="center"/>
          </w:tcPr>
          <w:p w14:paraId="28AC635A" w14:textId="77777777" w:rsidR="00FC0FE2" w:rsidRDefault="00000000">
            <w:r>
              <w:rPr>
                <w:sz w:val="15"/>
              </w:rPr>
              <w:t>Se preservan originales y se identifican los valores estimados en archivos derivados.</w:t>
            </w:r>
          </w:p>
        </w:tc>
      </w:tr>
      <w:tr w:rsidR="00FC0FE2" w14:paraId="568B3030" w14:textId="77777777">
        <w:trPr>
          <w:jc w:val="center"/>
        </w:trPr>
        <w:tc>
          <w:tcPr>
            <w:tcW w:w="2088" w:type="dxa"/>
            <w:vAlign w:val="center"/>
          </w:tcPr>
          <w:p w14:paraId="6B8E8D78" w14:textId="77777777" w:rsidR="00FC0FE2" w:rsidRDefault="00000000">
            <w:r>
              <w:rPr>
                <w:sz w:val="15"/>
              </w:rPr>
              <w:t>Variables candidatas</w:t>
            </w:r>
          </w:p>
        </w:tc>
        <w:tc>
          <w:tcPr>
            <w:tcW w:w="3528" w:type="dxa"/>
            <w:vAlign w:val="center"/>
          </w:tcPr>
          <w:p w14:paraId="56D61F5E" w14:textId="77777777" w:rsidR="00FC0FE2" w:rsidRDefault="00000000">
            <w:r>
              <w:rPr>
                <w:sz w:val="15"/>
              </w:rPr>
              <w:t>Se examinaron ventas, peso comercial, eventos, pedidos y clima.</w:t>
            </w:r>
          </w:p>
        </w:tc>
        <w:tc>
          <w:tcPr>
            <w:tcW w:w="3816" w:type="dxa"/>
            <w:vAlign w:val="center"/>
          </w:tcPr>
          <w:p w14:paraId="6F7E2CD7" w14:textId="77777777" w:rsidR="00FC0FE2" w:rsidRDefault="00000000">
            <w:r>
              <w:rPr>
                <w:sz w:val="15"/>
              </w:rPr>
              <w:t>La última corrida usa ventas históricas y calendarios disponibles ex ante; no implica selección universal de variables.</w:t>
            </w:r>
          </w:p>
        </w:tc>
      </w:tr>
      <w:tr w:rsidR="00FC0FE2" w14:paraId="76D786F9" w14:textId="77777777">
        <w:trPr>
          <w:jc w:val="center"/>
        </w:trPr>
        <w:tc>
          <w:tcPr>
            <w:tcW w:w="2088" w:type="dxa"/>
            <w:vAlign w:val="center"/>
          </w:tcPr>
          <w:p w14:paraId="34C4737C" w14:textId="77777777" w:rsidR="00FC0FE2" w:rsidRDefault="00000000">
            <w:r>
              <w:rPr>
                <w:sz w:val="15"/>
              </w:rPr>
              <w:t>Alternativas de modelado</w:t>
            </w:r>
          </w:p>
        </w:tc>
        <w:tc>
          <w:tcPr>
            <w:tcW w:w="3528" w:type="dxa"/>
            <w:vAlign w:val="center"/>
          </w:tcPr>
          <w:p w14:paraId="6F8F31EA" w14:textId="77777777" w:rsidR="00FC0FE2" w:rsidRDefault="00000000">
            <w:r>
              <w:rPr>
                <w:sz w:val="15"/>
              </w:rPr>
              <w:t>Se revisaron métodos estadísticos, de aprendizaje automático y estructuras híbridas.</w:t>
            </w:r>
          </w:p>
        </w:tc>
        <w:tc>
          <w:tcPr>
            <w:tcW w:w="3816" w:type="dxa"/>
            <w:vAlign w:val="center"/>
          </w:tcPr>
          <w:p w14:paraId="637ABDFD" w14:textId="77777777" w:rsidR="00FC0FE2" w:rsidRDefault="00000000">
            <w:r>
              <w:rPr>
                <w:sz w:val="15"/>
              </w:rPr>
              <w:t>Se comparan los candidatos en los mismos orígenes, incluida ARIMA+MLP.</w:t>
            </w:r>
          </w:p>
        </w:tc>
      </w:tr>
      <w:tr w:rsidR="00FC0FE2" w14:paraId="5ADBCA98" w14:textId="77777777">
        <w:trPr>
          <w:jc w:val="center"/>
        </w:trPr>
        <w:tc>
          <w:tcPr>
            <w:tcW w:w="2088" w:type="dxa"/>
            <w:vAlign w:val="center"/>
          </w:tcPr>
          <w:p w14:paraId="4561E628" w14:textId="77777777" w:rsidR="00FC0FE2" w:rsidRDefault="00000000">
            <w:r>
              <w:rPr>
                <w:sz w:val="15"/>
              </w:rPr>
              <w:t>Pruebas y demos</w:t>
            </w:r>
          </w:p>
        </w:tc>
        <w:tc>
          <w:tcPr>
            <w:tcW w:w="3528" w:type="dxa"/>
            <w:vAlign w:val="center"/>
          </w:tcPr>
          <w:p w14:paraId="57C7755B" w14:textId="77777777" w:rsidR="00FC0FE2" w:rsidRDefault="00000000">
            <w:r>
              <w:rPr>
                <w:sz w:val="15"/>
              </w:rPr>
              <w:t>Se verificaron el flujo, la interfaz y salidas con ejercicios anteriores.</w:t>
            </w:r>
          </w:p>
        </w:tc>
        <w:tc>
          <w:tcPr>
            <w:tcW w:w="3816" w:type="dxa"/>
            <w:vAlign w:val="center"/>
          </w:tcPr>
          <w:p w14:paraId="19EE0252" w14:textId="77777777" w:rsidR="00FC0FE2" w:rsidRDefault="00000000">
            <w:r>
              <w:rPr>
                <w:sz w:val="15"/>
              </w:rPr>
              <w:t>Las demos no se presentan como evidencia; la suite automatizada valida el código y no el desempeño predictivo.</w:t>
            </w:r>
          </w:p>
        </w:tc>
      </w:tr>
    </w:tbl>
    <w:p w14:paraId="3CF81C02" w14:textId="77777777" w:rsidR="00FC0FE2" w:rsidRDefault="00000000">
      <w:pPr>
        <w:pStyle w:val="Descripcin"/>
        <w:keepNext/>
      </w:pPr>
      <w:r>
        <w:t>Tabla 13. Configuración seleccionada y error del híbrido en la evaluación final.</w:t>
      </w:r>
    </w:p>
    <w:tbl>
      <w:tblPr>
        <w:tblStyle w:val="Tablaconcuadrcula"/>
        <w:tblW w:w="0" w:type="auto"/>
        <w:jc w:val="center"/>
        <w:tblLayout w:type="fixed"/>
        <w:tblLook w:val="04A0" w:firstRow="1" w:lastRow="0" w:firstColumn="1" w:lastColumn="0" w:noHBand="0" w:noVBand="1"/>
      </w:tblPr>
      <w:tblGrid>
        <w:gridCol w:w="1037"/>
        <w:gridCol w:w="4464"/>
        <w:gridCol w:w="1267"/>
        <w:gridCol w:w="1181"/>
        <w:gridCol w:w="1181"/>
      </w:tblGrid>
      <w:tr w:rsidR="00FC0FE2" w14:paraId="47507825" w14:textId="77777777">
        <w:trPr>
          <w:tblHeader/>
          <w:jc w:val="center"/>
        </w:trPr>
        <w:tc>
          <w:tcPr>
            <w:tcW w:w="1037" w:type="dxa"/>
            <w:shd w:val="clear" w:color="auto" w:fill="24476B"/>
          </w:tcPr>
          <w:p w14:paraId="15575D0F" w14:textId="77777777" w:rsidR="00FC0FE2" w:rsidRDefault="00000000">
            <w:r>
              <w:rPr>
                <w:b/>
                <w:color w:val="FFFFFF"/>
                <w:sz w:val="16"/>
              </w:rPr>
              <w:t>Horizonte</w:t>
            </w:r>
          </w:p>
        </w:tc>
        <w:tc>
          <w:tcPr>
            <w:tcW w:w="4464" w:type="dxa"/>
            <w:shd w:val="clear" w:color="auto" w:fill="24476B"/>
          </w:tcPr>
          <w:p w14:paraId="5399C43E" w14:textId="77777777" w:rsidR="00FC0FE2" w:rsidRDefault="00000000">
            <w:r>
              <w:rPr>
                <w:b/>
                <w:color w:val="FFFFFF"/>
                <w:sz w:val="16"/>
              </w:rPr>
              <w:t>Combinación seleccionada internamente</w:t>
            </w:r>
          </w:p>
        </w:tc>
        <w:tc>
          <w:tcPr>
            <w:tcW w:w="1267" w:type="dxa"/>
            <w:shd w:val="clear" w:color="auto" w:fill="24476B"/>
          </w:tcPr>
          <w:p w14:paraId="4D0A566A" w14:textId="7E5FE7A7" w:rsidR="00FC0FE2" w:rsidRDefault="00DD44DD">
            <w:r w:rsidRPr="00DD44DD">
              <w:rPr>
                <w:b/>
                <w:i/>
                <w:color w:val="FFFFFF"/>
                <w:sz w:val="16"/>
              </w:rPr>
              <w:t>Folds</w:t>
            </w:r>
          </w:p>
        </w:tc>
        <w:tc>
          <w:tcPr>
            <w:tcW w:w="1181" w:type="dxa"/>
            <w:shd w:val="clear" w:color="auto" w:fill="24476B"/>
          </w:tcPr>
          <w:p w14:paraId="20A1FCD2" w14:textId="77777777" w:rsidR="00FC0FE2" w:rsidRDefault="00000000">
            <w:r>
              <w:rPr>
                <w:b/>
                <w:color w:val="FFFFFF"/>
                <w:sz w:val="16"/>
              </w:rPr>
              <w:t>MAE</w:t>
            </w:r>
          </w:p>
        </w:tc>
        <w:tc>
          <w:tcPr>
            <w:tcW w:w="1181" w:type="dxa"/>
            <w:shd w:val="clear" w:color="auto" w:fill="24476B"/>
          </w:tcPr>
          <w:p w14:paraId="016CD5BE" w14:textId="77777777" w:rsidR="00FC0FE2" w:rsidRDefault="00000000">
            <w:r>
              <w:rPr>
                <w:b/>
                <w:color w:val="FFFFFF"/>
                <w:sz w:val="16"/>
              </w:rPr>
              <w:t>RMSE</w:t>
            </w:r>
          </w:p>
        </w:tc>
      </w:tr>
      <w:tr w:rsidR="00FC0FE2" w14:paraId="0C7BF563" w14:textId="77777777">
        <w:trPr>
          <w:jc w:val="center"/>
        </w:trPr>
        <w:tc>
          <w:tcPr>
            <w:tcW w:w="1037" w:type="dxa"/>
            <w:vAlign w:val="center"/>
          </w:tcPr>
          <w:p w14:paraId="751DFE07" w14:textId="77777777" w:rsidR="00FC0FE2" w:rsidRDefault="00000000">
            <w:r>
              <w:rPr>
                <w:sz w:val="16"/>
              </w:rPr>
              <w:t>h=1</w:t>
            </w:r>
          </w:p>
        </w:tc>
        <w:tc>
          <w:tcPr>
            <w:tcW w:w="4464" w:type="dxa"/>
            <w:vAlign w:val="center"/>
          </w:tcPr>
          <w:p w14:paraId="1AA74F00" w14:textId="77777777" w:rsidR="00FC0FE2" w:rsidRDefault="00000000">
            <w:r>
              <w:rPr>
                <w:sz w:val="16"/>
              </w:rPr>
              <w:t>ses + rf (peso estadístico 0.75)</w:t>
            </w:r>
          </w:p>
        </w:tc>
        <w:tc>
          <w:tcPr>
            <w:tcW w:w="1267" w:type="dxa"/>
            <w:vAlign w:val="center"/>
          </w:tcPr>
          <w:p w14:paraId="1F8E819A" w14:textId="77777777" w:rsidR="00FC0FE2" w:rsidRDefault="00000000">
            <w:r>
              <w:rPr>
                <w:sz w:val="16"/>
              </w:rPr>
              <w:t>6</w:t>
            </w:r>
          </w:p>
        </w:tc>
        <w:tc>
          <w:tcPr>
            <w:tcW w:w="1181" w:type="dxa"/>
            <w:vAlign w:val="center"/>
          </w:tcPr>
          <w:p w14:paraId="390EB92D" w14:textId="77777777" w:rsidR="00FC0FE2" w:rsidRDefault="00000000">
            <w:r>
              <w:rPr>
                <w:sz w:val="16"/>
              </w:rPr>
              <w:t>$386.43</w:t>
            </w:r>
          </w:p>
        </w:tc>
        <w:tc>
          <w:tcPr>
            <w:tcW w:w="1181" w:type="dxa"/>
            <w:vAlign w:val="center"/>
          </w:tcPr>
          <w:p w14:paraId="04E2D116" w14:textId="77777777" w:rsidR="00FC0FE2" w:rsidRDefault="00000000">
            <w:r>
              <w:rPr>
                <w:sz w:val="16"/>
              </w:rPr>
              <w:t>$521.60</w:t>
            </w:r>
          </w:p>
        </w:tc>
      </w:tr>
      <w:tr w:rsidR="00FC0FE2" w14:paraId="4511B216" w14:textId="77777777">
        <w:trPr>
          <w:jc w:val="center"/>
        </w:trPr>
        <w:tc>
          <w:tcPr>
            <w:tcW w:w="1037" w:type="dxa"/>
            <w:vAlign w:val="center"/>
          </w:tcPr>
          <w:p w14:paraId="0A8199E1" w14:textId="77777777" w:rsidR="00FC0FE2" w:rsidRDefault="00000000">
            <w:r>
              <w:rPr>
                <w:sz w:val="16"/>
              </w:rPr>
              <w:t>h=2</w:t>
            </w:r>
          </w:p>
        </w:tc>
        <w:tc>
          <w:tcPr>
            <w:tcW w:w="4464" w:type="dxa"/>
            <w:vAlign w:val="center"/>
          </w:tcPr>
          <w:p w14:paraId="28F90815" w14:textId="77777777" w:rsidR="00FC0FE2" w:rsidRDefault="00000000">
            <w:r>
              <w:rPr>
                <w:sz w:val="16"/>
              </w:rPr>
              <w:t>ses + hgb (peso estadístico 0.75)</w:t>
            </w:r>
          </w:p>
        </w:tc>
        <w:tc>
          <w:tcPr>
            <w:tcW w:w="1267" w:type="dxa"/>
            <w:vAlign w:val="center"/>
          </w:tcPr>
          <w:p w14:paraId="74B7E212" w14:textId="77777777" w:rsidR="00FC0FE2" w:rsidRDefault="00000000">
            <w:r>
              <w:rPr>
                <w:sz w:val="16"/>
              </w:rPr>
              <w:t>6</w:t>
            </w:r>
          </w:p>
        </w:tc>
        <w:tc>
          <w:tcPr>
            <w:tcW w:w="1181" w:type="dxa"/>
            <w:vAlign w:val="center"/>
          </w:tcPr>
          <w:p w14:paraId="4D68C194" w14:textId="77777777" w:rsidR="00FC0FE2" w:rsidRDefault="00000000">
            <w:r>
              <w:rPr>
                <w:sz w:val="16"/>
              </w:rPr>
              <w:t>$439.26</w:t>
            </w:r>
          </w:p>
        </w:tc>
        <w:tc>
          <w:tcPr>
            <w:tcW w:w="1181" w:type="dxa"/>
            <w:vAlign w:val="center"/>
          </w:tcPr>
          <w:p w14:paraId="46D71A1D" w14:textId="77777777" w:rsidR="00FC0FE2" w:rsidRDefault="00000000">
            <w:r>
              <w:rPr>
                <w:sz w:val="16"/>
              </w:rPr>
              <w:t>$695.41</w:t>
            </w:r>
          </w:p>
        </w:tc>
      </w:tr>
      <w:tr w:rsidR="00FC0FE2" w14:paraId="1015DBC8" w14:textId="77777777">
        <w:trPr>
          <w:jc w:val="center"/>
        </w:trPr>
        <w:tc>
          <w:tcPr>
            <w:tcW w:w="1037" w:type="dxa"/>
            <w:vAlign w:val="center"/>
          </w:tcPr>
          <w:p w14:paraId="52E9D0E1" w14:textId="77777777" w:rsidR="00FC0FE2" w:rsidRDefault="00000000">
            <w:r>
              <w:rPr>
                <w:sz w:val="16"/>
              </w:rPr>
              <w:t>h=3</w:t>
            </w:r>
          </w:p>
        </w:tc>
        <w:tc>
          <w:tcPr>
            <w:tcW w:w="4464" w:type="dxa"/>
            <w:vAlign w:val="center"/>
          </w:tcPr>
          <w:p w14:paraId="6EFF2E3D" w14:textId="77777777" w:rsidR="00FC0FE2" w:rsidRDefault="00000000">
            <w:r>
              <w:rPr>
                <w:sz w:val="16"/>
              </w:rPr>
              <w:t>ss_arima111 + nn_residual__ss_arima111 (peso estadístico 0.75)</w:t>
            </w:r>
          </w:p>
        </w:tc>
        <w:tc>
          <w:tcPr>
            <w:tcW w:w="1267" w:type="dxa"/>
            <w:vAlign w:val="center"/>
          </w:tcPr>
          <w:p w14:paraId="4E9DC695" w14:textId="77777777" w:rsidR="00FC0FE2" w:rsidRDefault="00000000">
            <w:r>
              <w:rPr>
                <w:sz w:val="16"/>
              </w:rPr>
              <w:t>6</w:t>
            </w:r>
          </w:p>
        </w:tc>
        <w:tc>
          <w:tcPr>
            <w:tcW w:w="1181" w:type="dxa"/>
            <w:vAlign w:val="center"/>
          </w:tcPr>
          <w:p w14:paraId="15D815AD" w14:textId="77777777" w:rsidR="00FC0FE2" w:rsidRDefault="00000000">
            <w:r>
              <w:rPr>
                <w:sz w:val="16"/>
              </w:rPr>
              <w:t>$458.80</w:t>
            </w:r>
          </w:p>
        </w:tc>
        <w:tc>
          <w:tcPr>
            <w:tcW w:w="1181" w:type="dxa"/>
            <w:vAlign w:val="center"/>
          </w:tcPr>
          <w:p w14:paraId="1DC455A2" w14:textId="77777777" w:rsidR="00FC0FE2" w:rsidRDefault="00000000">
            <w:r>
              <w:rPr>
                <w:sz w:val="16"/>
              </w:rPr>
              <w:t>$801.62</w:t>
            </w:r>
          </w:p>
        </w:tc>
      </w:tr>
      <w:tr w:rsidR="00FC0FE2" w14:paraId="21D70829" w14:textId="77777777">
        <w:trPr>
          <w:jc w:val="center"/>
        </w:trPr>
        <w:tc>
          <w:tcPr>
            <w:tcW w:w="1037" w:type="dxa"/>
            <w:vAlign w:val="center"/>
          </w:tcPr>
          <w:p w14:paraId="319D366A" w14:textId="77777777" w:rsidR="00FC0FE2" w:rsidRDefault="00000000">
            <w:r>
              <w:rPr>
                <w:sz w:val="16"/>
              </w:rPr>
              <w:t>h=4</w:t>
            </w:r>
          </w:p>
        </w:tc>
        <w:tc>
          <w:tcPr>
            <w:tcW w:w="4464" w:type="dxa"/>
            <w:vAlign w:val="center"/>
          </w:tcPr>
          <w:p w14:paraId="773D412B" w14:textId="77777777" w:rsidR="00FC0FE2" w:rsidRDefault="00000000">
            <w:r>
              <w:rPr>
                <w:sz w:val="16"/>
              </w:rPr>
              <w:t>ss_arima111 + rf_residual__ss_arima111 (peso estadístico 0.75)</w:t>
            </w:r>
          </w:p>
        </w:tc>
        <w:tc>
          <w:tcPr>
            <w:tcW w:w="1267" w:type="dxa"/>
            <w:vAlign w:val="center"/>
          </w:tcPr>
          <w:p w14:paraId="03FA0576" w14:textId="77777777" w:rsidR="00FC0FE2" w:rsidRDefault="00000000">
            <w:r>
              <w:rPr>
                <w:sz w:val="16"/>
              </w:rPr>
              <w:t>6</w:t>
            </w:r>
          </w:p>
        </w:tc>
        <w:tc>
          <w:tcPr>
            <w:tcW w:w="1181" w:type="dxa"/>
            <w:vAlign w:val="center"/>
          </w:tcPr>
          <w:p w14:paraId="29B036A4" w14:textId="77777777" w:rsidR="00FC0FE2" w:rsidRDefault="00000000">
            <w:r>
              <w:rPr>
                <w:sz w:val="16"/>
              </w:rPr>
              <w:t>$572.54</w:t>
            </w:r>
          </w:p>
        </w:tc>
        <w:tc>
          <w:tcPr>
            <w:tcW w:w="1181" w:type="dxa"/>
            <w:vAlign w:val="center"/>
          </w:tcPr>
          <w:p w14:paraId="682D02F3" w14:textId="77777777" w:rsidR="00FC0FE2" w:rsidRDefault="00000000">
            <w:r>
              <w:rPr>
                <w:sz w:val="16"/>
              </w:rPr>
              <w:t>$700.88</w:t>
            </w:r>
          </w:p>
        </w:tc>
      </w:tr>
    </w:tbl>
    <w:p w14:paraId="5160C53D" w14:textId="77777777" w:rsidR="00FC0FE2" w:rsidRDefault="00000000">
      <w:pPr>
        <w:pStyle w:val="Ttulo2"/>
      </w:pPr>
      <w:r>
        <w:lastRenderedPageBreak/>
        <w:t>Asignación del presupuesto y controles de calidad</w:t>
      </w:r>
    </w:p>
    <w:p w14:paraId="087BA5C8" w14:textId="77777777" w:rsidR="00FC0FE2" w:rsidRDefault="00000000">
      <w:r>
        <w:t>El pronóstico total de cada horizonte se distribuye entre insumos usando las participaciones estimadas. Para las próximas cuatro semanas se suman pronósticos semanales directos; el periodo representa 28 días, no necesariamente un mes calendario. La tabla siguiente presenta el total agregado y la participación monetaria de cada categoría elegible exportada por la corrida.</w:t>
      </w:r>
    </w:p>
    <w:p w14:paraId="0A939D5C" w14:textId="0171D5EA" w:rsidR="00FC0FE2" w:rsidRDefault="00000000">
      <w:r>
        <w:t xml:space="preserve">Las métricas monetarias y el consolidado de cuatro semanas se calculan conforme a las ecuaciones </w:t>
      </w:r>
      <w:r>
        <w:fldChar w:fldCharType="begin"/>
      </w:r>
      <w:r>
        <w:instrText xml:space="preserve"> REF eq239 \h </w:instrText>
      </w:r>
      <w:r>
        <w:fldChar w:fldCharType="separate"/>
      </w:r>
      <w:r w:rsidR="00A94FDF">
        <w:rPr>
          <w:rFonts w:ascii="Times New Roman" w:hAnsi="Times New Roman"/>
        </w:rPr>
        <w:t>(</w:t>
      </w:r>
      <w:r w:rsidR="00A94FDF">
        <w:rPr>
          <w:noProof/>
        </w:rPr>
        <w:t>40</w:t>
      </w:r>
      <w:r w:rsidR="00A94FDF">
        <w:rPr>
          <w:rFonts w:ascii="Times New Roman" w:hAnsi="Times New Roman"/>
        </w:rPr>
        <w:t>)</w:t>
      </w:r>
      <w:r>
        <w:fldChar w:fldCharType="end"/>
      </w:r>
      <w:r>
        <w:t xml:space="preserve"> a </w:t>
      </w:r>
      <w:r>
        <w:fldChar w:fldCharType="begin"/>
      </w:r>
      <w:r>
        <w:instrText xml:space="preserve"> REF eq241 \h </w:instrText>
      </w:r>
      <w:r>
        <w:fldChar w:fldCharType="separate"/>
      </w:r>
      <w:r w:rsidR="00A94FDF">
        <w:rPr>
          <w:rFonts w:ascii="Times New Roman" w:hAnsi="Times New Roman"/>
        </w:rPr>
        <w:t>(</w:t>
      </w:r>
      <w:r w:rsidR="00A94FDF">
        <w:rPr>
          <w:noProof/>
        </w:rPr>
        <w:t>42</w:t>
      </w:r>
      <w:r w:rsidR="00A94FDF">
        <w:rPr>
          <w:rFonts w:ascii="Times New Roman" w:hAnsi="Times New Roman"/>
        </w:rPr>
        <w:t>)</w:t>
      </w:r>
      <w:r>
        <w:fldChar w:fldCharType="end"/>
      </w:r>
      <w:r>
        <w:t xml:space="preserve">. El conjunto </w:t>
      </w:r>
      <w:r w:rsidRPr="004A7173">
        <w:rPr>
          <w:i/>
          <w:iCs/>
        </w:rPr>
        <w:t>Oₕ</w:t>
      </w:r>
      <w:r>
        <w:t xml:space="preserve"> contiene los orígenes evaluables comunes para el horizonte </w:t>
      </w:r>
      <w:r w:rsidRPr="004A7173">
        <w:rPr>
          <w:i/>
          <w:iCs/>
        </w:rPr>
        <w:t>h</w:t>
      </w:r>
      <w:r>
        <w:t xml:space="preserve">; </w:t>
      </w:r>
      <w:r w:rsidRPr="004A7173">
        <w:rPr>
          <w:i/>
          <w:iCs/>
        </w:rPr>
        <w:t>Dₒ</w:t>
      </w:r>
      <w:r>
        <w:t xml:space="preserve"> contiene solo pares de semanas calendario consecutivas observadas dentro del entrenamiento.</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32CB91" w14:textId="77777777">
        <w:trPr>
          <w:cantSplit/>
        </w:trPr>
        <w:tc>
          <w:tcPr>
            <w:tcW w:w="753" w:type="dxa"/>
          </w:tcPr>
          <w:p w14:paraId="5C0892A2" w14:textId="77777777" w:rsidR="00377BD8" w:rsidRDefault="00377BD8">
            <w:pPr>
              <w:spacing w:before="0" w:after="0" w:line="240" w:lineRule="auto"/>
              <w:jc w:val="left"/>
            </w:pPr>
          </w:p>
        </w:tc>
        <w:tc>
          <w:tcPr>
            <w:tcW w:w="8456" w:type="dxa"/>
          </w:tcPr>
          <w:p w14:paraId="4FEE443E" w14:textId="77777777" w:rsidR="00FC0FE2" w:rsidRDefault="00000000">
            <w:pPr>
              <w:jc w:val="center"/>
            </w:pPr>
            <w:r>
              <w:rPr>
                <w:rFonts w:ascii="Cambria Math" w:hAnsi="Cambria Math"/>
                <w:sz w:val="22"/>
              </w:rPr>
              <w:t>RMSEₕ = √[(1/|Oₕ|) ∑ₒ∈Oₕ (Yₒ₊ₕ₋₁ − Ŷₒ</w:t>
            </w:r>
            <w:proofErr w:type="gramStart"/>
            <w:r>
              <w:rPr>
                <w:rFonts w:ascii="Cambria Math" w:hAnsi="Cambria Math"/>
                <w:sz w:val="22"/>
              </w:rPr>
              <w:t xml:space="preserve">,ₕ)²];   </w:t>
            </w:r>
            <w:proofErr w:type="gramEnd"/>
            <w:r>
              <w:rPr>
                <w:rFonts w:ascii="Cambria Math" w:hAnsi="Cambria Math"/>
                <w:sz w:val="22"/>
              </w:rPr>
              <w:t xml:space="preserve">MAEₕ = (1/|Oₕ|) ∑ₒ∈Oₕ |Yₒ₊ₕ₋₁ − </w:t>
            </w:r>
            <w:proofErr w:type="gramStart"/>
            <w:r>
              <w:rPr>
                <w:rFonts w:ascii="Cambria Math" w:hAnsi="Cambria Math"/>
                <w:sz w:val="22"/>
              </w:rPr>
              <w:t>Ŷₒ,ₕ|</w:t>
            </w:r>
            <w:proofErr w:type="gramEnd"/>
          </w:p>
        </w:tc>
        <w:tc>
          <w:tcPr>
            <w:tcW w:w="753" w:type="dxa"/>
          </w:tcPr>
          <w:p w14:paraId="02BCCDE0" w14:textId="68CA4896" w:rsidR="00FC0FE2" w:rsidRDefault="00000000">
            <w:pPr>
              <w:jc w:val="right"/>
            </w:pPr>
            <w:bookmarkStart w:id="132" w:name="eq239"/>
            <w:r>
              <w:rPr>
                <w:rFonts w:ascii="Times New Roman" w:hAnsi="Times New Roman"/>
              </w:rPr>
              <w:t>(</w:t>
            </w:r>
            <w:r w:rsidR="00A94FDF">
              <w:fldChar w:fldCharType="begin"/>
            </w:r>
            <w:r w:rsidR="00A94FDF">
              <w:instrText>SEQ EcuacionMT \* ARABIC</w:instrText>
            </w:r>
            <w:r w:rsidR="00A94FDF">
              <w:fldChar w:fldCharType="separate"/>
            </w:r>
            <w:r w:rsidR="00A94FDF">
              <w:rPr>
                <w:noProof/>
              </w:rPr>
              <w:t>40</w:t>
            </w:r>
            <w:r w:rsidR="00A94FDF">
              <w:rPr>
                <w:color w:val="000000"/>
              </w:rPr>
              <w:fldChar w:fldCharType="end"/>
            </w:r>
            <w:r>
              <w:rPr>
                <w:rFonts w:ascii="Times New Roman" w:hAnsi="Times New Roman"/>
              </w:rPr>
              <w:t>)</w:t>
            </w:r>
            <w:bookmarkEnd w:id="132"/>
          </w:p>
        </w:tc>
      </w:tr>
      <w:tr w:rsidR="00962FA0" w14:paraId="67CEF4A2" w14:textId="77777777">
        <w:trPr>
          <w:cantSplit/>
        </w:trPr>
        <w:tc>
          <w:tcPr>
            <w:tcW w:w="753" w:type="dxa"/>
          </w:tcPr>
          <w:p w14:paraId="57B82E34" w14:textId="77777777" w:rsidR="00377BD8" w:rsidRDefault="00377BD8">
            <w:pPr>
              <w:spacing w:before="0" w:after="0" w:line="240" w:lineRule="auto"/>
              <w:jc w:val="left"/>
            </w:pPr>
          </w:p>
        </w:tc>
        <w:tc>
          <w:tcPr>
            <w:tcW w:w="8456" w:type="dxa"/>
          </w:tcPr>
          <w:p w14:paraId="4FD15808" w14:textId="77777777" w:rsidR="00FC0FE2" w:rsidRDefault="00000000">
            <w:pPr>
              <w:jc w:val="center"/>
            </w:pPr>
            <w:r>
              <w:rPr>
                <w:rFonts w:ascii="Cambria Math" w:hAnsi="Cambria Math"/>
                <w:sz w:val="22"/>
              </w:rPr>
              <w:t>MASEₕ = MAEₕ / [(1/|Dₒ|) ∑ₜ∈Dₒ |Yₜ − Yₜ₋₁|]</w:t>
            </w:r>
          </w:p>
        </w:tc>
        <w:tc>
          <w:tcPr>
            <w:tcW w:w="753" w:type="dxa"/>
          </w:tcPr>
          <w:p w14:paraId="2D2B0E43" w14:textId="4F4ADF16" w:rsidR="00FC0FE2" w:rsidRDefault="00000000">
            <w:pPr>
              <w:jc w:val="right"/>
            </w:pPr>
            <w:bookmarkStart w:id="133" w:name="eq240"/>
            <w:r>
              <w:rPr>
                <w:rFonts w:ascii="Times New Roman" w:hAnsi="Times New Roman"/>
              </w:rPr>
              <w:t>(</w:t>
            </w:r>
            <w:r w:rsidR="00A94FDF">
              <w:fldChar w:fldCharType="begin"/>
            </w:r>
            <w:r w:rsidR="00A94FDF">
              <w:instrText>SEQ EcuacionMT \* ARABIC</w:instrText>
            </w:r>
            <w:r w:rsidR="00A94FDF">
              <w:fldChar w:fldCharType="separate"/>
            </w:r>
            <w:r w:rsidR="00A94FDF">
              <w:rPr>
                <w:noProof/>
              </w:rPr>
              <w:t>41</w:t>
            </w:r>
            <w:r w:rsidR="00A94FDF">
              <w:rPr>
                <w:color w:val="000000"/>
              </w:rPr>
              <w:fldChar w:fldCharType="end"/>
            </w:r>
            <w:r>
              <w:rPr>
                <w:rFonts w:ascii="Times New Roman" w:hAnsi="Times New Roman"/>
              </w:rPr>
              <w:t>)</w:t>
            </w:r>
            <w:bookmarkEnd w:id="133"/>
          </w:p>
        </w:tc>
      </w:tr>
      <w:tr w:rsidR="00962FA0" w14:paraId="6938CEF2" w14:textId="77777777">
        <w:trPr>
          <w:cantSplit/>
        </w:trPr>
        <w:tc>
          <w:tcPr>
            <w:tcW w:w="753" w:type="dxa"/>
          </w:tcPr>
          <w:p w14:paraId="098BD1F5" w14:textId="77777777" w:rsidR="00377BD8" w:rsidRDefault="00377BD8">
            <w:pPr>
              <w:spacing w:before="0" w:after="0" w:line="240" w:lineRule="auto"/>
              <w:jc w:val="left"/>
            </w:pPr>
          </w:p>
        </w:tc>
        <w:tc>
          <w:tcPr>
            <w:tcW w:w="8456" w:type="dxa"/>
          </w:tcPr>
          <w:p w14:paraId="54025515" w14:textId="77777777" w:rsidR="00FC0FE2" w:rsidRDefault="00000000">
            <w:pPr>
              <w:jc w:val="center"/>
            </w:pPr>
            <w:r>
              <w:rPr>
                <w:rFonts w:ascii="Cambria Math" w:hAnsi="Cambria Math"/>
                <w:sz w:val="22"/>
              </w:rPr>
              <w:t xml:space="preserve">B₄ = ∑ₕ₌₁⁴ </w:t>
            </w:r>
            <w:proofErr w:type="gramStart"/>
            <w:r>
              <w:rPr>
                <w:rFonts w:ascii="Cambria Math" w:hAnsi="Cambria Math"/>
                <w:sz w:val="22"/>
              </w:rPr>
              <w:t>Ŷₕ;   pᵢ,₄</w:t>
            </w:r>
            <w:proofErr w:type="gramEnd"/>
            <w:r>
              <w:rPr>
                <w:rFonts w:ascii="Cambria Math" w:hAnsi="Cambria Math"/>
                <w:sz w:val="22"/>
              </w:rPr>
              <w:t xml:space="preserve"> = (∑ₕ₌₁⁴ Aᵢ,ₕ) / B₄</w:t>
            </w:r>
          </w:p>
        </w:tc>
        <w:tc>
          <w:tcPr>
            <w:tcW w:w="753" w:type="dxa"/>
          </w:tcPr>
          <w:p w14:paraId="7886DF7E" w14:textId="222A4401" w:rsidR="00FC0FE2" w:rsidRDefault="00000000">
            <w:pPr>
              <w:jc w:val="right"/>
            </w:pPr>
            <w:bookmarkStart w:id="134" w:name="eq241"/>
            <w:r>
              <w:rPr>
                <w:rFonts w:ascii="Times New Roman" w:hAnsi="Times New Roman"/>
              </w:rPr>
              <w:t>(</w:t>
            </w:r>
            <w:r w:rsidR="00A94FDF">
              <w:fldChar w:fldCharType="begin"/>
            </w:r>
            <w:r w:rsidR="00A94FDF">
              <w:instrText>SEQ EcuacionMT \* ARABIC</w:instrText>
            </w:r>
            <w:r w:rsidR="00A94FDF">
              <w:fldChar w:fldCharType="separate"/>
            </w:r>
            <w:r w:rsidR="00A94FDF">
              <w:rPr>
                <w:noProof/>
              </w:rPr>
              <w:t>42</w:t>
            </w:r>
            <w:r w:rsidR="00A94FDF">
              <w:rPr>
                <w:color w:val="000000"/>
              </w:rPr>
              <w:fldChar w:fldCharType="end"/>
            </w:r>
            <w:r>
              <w:rPr>
                <w:rFonts w:ascii="Times New Roman" w:hAnsi="Times New Roman"/>
              </w:rPr>
              <w:t>)</w:t>
            </w:r>
            <w:bookmarkEnd w:id="134"/>
          </w:p>
        </w:tc>
      </w:tr>
    </w:tbl>
    <w:p w14:paraId="43680297" w14:textId="77777777" w:rsidR="00FC0FE2" w:rsidRDefault="00000000">
      <w:r>
        <w:t xml:space="preserve">El RMSE, MAE y MASE se calculan por separado para cada horizonte; MASE no está definido si la escala de entrenamiento es cero. </w:t>
      </w:r>
      <w:r w:rsidRPr="004A7173">
        <w:rPr>
          <w:i/>
          <w:iCs/>
        </w:rPr>
        <w:t>B₄</w:t>
      </w:r>
      <w:r>
        <w:t xml:space="preserve"> suma los cuatro pronósticos semanales directos y </w:t>
      </w:r>
      <w:proofErr w:type="gramStart"/>
      <w:r w:rsidRPr="004A7173">
        <w:rPr>
          <w:i/>
          <w:iCs/>
        </w:rPr>
        <w:t>pᵢ,₄</w:t>
      </w:r>
      <w:proofErr w:type="gramEnd"/>
      <w:r>
        <w:t xml:space="preserve"> representa la participación de cada asignación </w:t>
      </w:r>
      <w:r w:rsidRPr="004A7173">
        <w:rPr>
          <w:i/>
          <w:iCs/>
        </w:rPr>
        <w:t>A</w:t>
      </w:r>
      <w:r>
        <w:t xml:space="preserve"> en el presupuesto acumulado de 28 días.</w:t>
      </w:r>
    </w:p>
    <w:p w14:paraId="08382B2F" w14:textId="77777777" w:rsidR="00FC0FE2" w:rsidRDefault="00000000">
      <w:pPr>
        <w:pStyle w:val="Descripcin"/>
        <w:keepNext/>
      </w:pPr>
      <w:r>
        <w:lastRenderedPageBreak/>
        <w:t>Figura 42. Asignación agregada del presupuesto pronosticado a cuatro semanas.</w:t>
      </w:r>
    </w:p>
    <w:p w14:paraId="6DDD52C2" w14:textId="77777777" w:rsidR="00FC0FE2" w:rsidRDefault="00000000">
      <w:pPr>
        <w:jc w:val="center"/>
      </w:pPr>
      <w:r>
        <w:rPr>
          <w:noProof/>
        </w:rPr>
        <w:drawing>
          <wp:inline distT="0" distB="0" distL="0" distR="0" wp14:anchorId="6D885E3E" wp14:editId="2394687C">
            <wp:extent cx="5532120" cy="3051038"/>
            <wp:effectExtent l="0" t="0" r="0" b="0"/>
            <wp:docPr id="1678057669" name="Picture 1678057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22"/>
                    <a:stretch>
                      <a:fillRect/>
                    </a:stretch>
                  </pic:blipFill>
                  <pic:spPr>
                    <a:xfrm>
                      <a:off x="0" y="0"/>
                      <a:ext cx="5532120" cy="3051038"/>
                    </a:xfrm>
                    <a:prstGeom prst="rect">
                      <a:avLst/>
                    </a:prstGeom>
                  </pic:spPr>
                </pic:pic>
              </a:graphicData>
            </a:graphic>
          </wp:inline>
        </w:drawing>
      </w:r>
    </w:p>
    <w:p w14:paraId="5EBCCE84" w14:textId="77777777" w:rsidR="00FC0FE2" w:rsidRDefault="00000000">
      <w:pPr>
        <w:pStyle w:val="Descripcin"/>
        <w:keepNext/>
      </w:pPr>
      <w:r>
        <w:t>Tabla 14. Pronóstico agregado de cuatro semanas por categoría elegible.</w:t>
      </w:r>
    </w:p>
    <w:tbl>
      <w:tblPr>
        <w:tblStyle w:val="Tablaconcuadrcula"/>
        <w:tblW w:w="0" w:type="auto"/>
        <w:jc w:val="center"/>
        <w:tblLayout w:type="fixed"/>
        <w:tblLook w:val="04A0" w:firstRow="1" w:lastRow="0" w:firstColumn="1" w:lastColumn="0" w:noHBand="0" w:noVBand="1"/>
      </w:tblPr>
      <w:tblGrid>
        <w:gridCol w:w="3888"/>
        <w:gridCol w:w="2232"/>
        <w:gridCol w:w="1872"/>
      </w:tblGrid>
      <w:tr w:rsidR="00FC0FE2" w14:paraId="53E81A6B" w14:textId="77777777">
        <w:trPr>
          <w:tblHeader/>
          <w:jc w:val="center"/>
        </w:trPr>
        <w:tc>
          <w:tcPr>
            <w:tcW w:w="3888" w:type="dxa"/>
            <w:shd w:val="clear" w:color="auto" w:fill="24476B"/>
          </w:tcPr>
          <w:p w14:paraId="0C4B897B" w14:textId="77777777" w:rsidR="00FC0FE2" w:rsidRDefault="00000000">
            <w:r>
              <w:rPr>
                <w:b/>
                <w:color w:val="FFFFFF"/>
                <w:sz w:val="16"/>
              </w:rPr>
              <w:t>Categoría / agrupación</w:t>
            </w:r>
          </w:p>
        </w:tc>
        <w:tc>
          <w:tcPr>
            <w:tcW w:w="2232" w:type="dxa"/>
            <w:shd w:val="clear" w:color="auto" w:fill="24476B"/>
          </w:tcPr>
          <w:p w14:paraId="48E5D9E6" w14:textId="77777777" w:rsidR="00FC0FE2" w:rsidRDefault="00000000">
            <w:r>
              <w:rPr>
                <w:b/>
                <w:color w:val="FFFFFF"/>
                <w:sz w:val="16"/>
              </w:rPr>
              <w:t>Importe estimado (MXN)</w:t>
            </w:r>
          </w:p>
        </w:tc>
        <w:tc>
          <w:tcPr>
            <w:tcW w:w="1872" w:type="dxa"/>
            <w:shd w:val="clear" w:color="auto" w:fill="24476B"/>
          </w:tcPr>
          <w:p w14:paraId="34E51875" w14:textId="77777777" w:rsidR="00FC0FE2" w:rsidRDefault="00000000">
            <w:r>
              <w:rPr>
                <w:b/>
                <w:color w:val="FFFFFF"/>
                <w:sz w:val="16"/>
              </w:rPr>
              <w:t>Participación</w:t>
            </w:r>
          </w:p>
        </w:tc>
      </w:tr>
      <w:tr w:rsidR="00FC0FE2" w14:paraId="410C0FE9" w14:textId="77777777">
        <w:trPr>
          <w:jc w:val="center"/>
        </w:trPr>
        <w:tc>
          <w:tcPr>
            <w:tcW w:w="3888" w:type="dxa"/>
            <w:vAlign w:val="center"/>
          </w:tcPr>
          <w:p w14:paraId="0A4A5384" w14:textId="77777777" w:rsidR="00FC0FE2" w:rsidRDefault="00000000">
            <w:r>
              <w:rPr>
                <w:sz w:val="16"/>
              </w:rPr>
              <w:t>HARINA</w:t>
            </w:r>
          </w:p>
        </w:tc>
        <w:tc>
          <w:tcPr>
            <w:tcW w:w="2232" w:type="dxa"/>
            <w:vAlign w:val="center"/>
          </w:tcPr>
          <w:p w14:paraId="60729DDB" w14:textId="77777777" w:rsidR="00FC0FE2" w:rsidRDefault="00000000">
            <w:r>
              <w:rPr>
                <w:sz w:val="16"/>
              </w:rPr>
              <w:t>$468.33</w:t>
            </w:r>
          </w:p>
        </w:tc>
        <w:tc>
          <w:tcPr>
            <w:tcW w:w="1872" w:type="dxa"/>
            <w:vAlign w:val="center"/>
          </w:tcPr>
          <w:p w14:paraId="281ECF86" w14:textId="77777777" w:rsidR="00FC0FE2" w:rsidRDefault="00000000">
            <w:r>
              <w:rPr>
                <w:sz w:val="16"/>
              </w:rPr>
              <w:t>25.24%</w:t>
            </w:r>
          </w:p>
        </w:tc>
      </w:tr>
      <w:tr w:rsidR="00FC0FE2" w14:paraId="72327B90" w14:textId="77777777">
        <w:trPr>
          <w:jc w:val="center"/>
        </w:trPr>
        <w:tc>
          <w:tcPr>
            <w:tcW w:w="3888" w:type="dxa"/>
            <w:vAlign w:val="center"/>
          </w:tcPr>
          <w:p w14:paraId="06CB3B62" w14:textId="77777777" w:rsidR="00FC0FE2" w:rsidRDefault="00000000">
            <w:r>
              <w:rPr>
                <w:sz w:val="16"/>
              </w:rPr>
              <w:t>BASES</w:t>
            </w:r>
          </w:p>
        </w:tc>
        <w:tc>
          <w:tcPr>
            <w:tcW w:w="2232" w:type="dxa"/>
            <w:vAlign w:val="center"/>
          </w:tcPr>
          <w:p w14:paraId="3DB1DAFF" w14:textId="77777777" w:rsidR="00FC0FE2" w:rsidRDefault="00000000">
            <w:r>
              <w:rPr>
                <w:sz w:val="16"/>
              </w:rPr>
              <w:t>$354.84</w:t>
            </w:r>
          </w:p>
        </w:tc>
        <w:tc>
          <w:tcPr>
            <w:tcW w:w="1872" w:type="dxa"/>
            <w:vAlign w:val="center"/>
          </w:tcPr>
          <w:p w14:paraId="6B2B2B8C" w14:textId="77777777" w:rsidR="00FC0FE2" w:rsidRDefault="00000000">
            <w:r>
              <w:rPr>
                <w:sz w:val="16"/>
              </w:rPr>
              <w:t>19.12%</w:t>
            </w:r>
          </w:p>
        </w:tc>
      </w:tr>
      <w:tr w:rsidR="00FC0FE2" w14:paraId="66308878" w14:textId="77777777">
        <w:trPr>
          <w:jc w:val="center"/>
        </w:trPr>
        <w:tc>
          <w:tcPr>
            <w:tcW w:w="3888" w:type="dxa"/>
            <w:vAlign w:val="center"/>
          </w:tcPr>
          <w:p w14:paraId="15BB3E1F" w14:textId="77777777" w:rsidR="00FC0FE2" w:rsidRDefault="00000000">
            <w:r>
              <w:rPr>
                <w:sz w:val="16"/>
              </w:rPr>
              <w:t>RESTO_ELEGIBLE</w:t>
            </w:r>
          </w:p>
        </w:tc>
        <w:tc>
          <w:tcPr>
            <w:tcW w:w="2232" w:type="dxa"/>
            <w:vAlign w:val="center"/>
          </w:tcPr>
          <w:p w14:paraId="4B4AFA03" w14:textId="77777777" w:rsidR="00FC0FE2" w:rsidRDefault="00000000">
            <w:r>
              <w:rPr>
                <w:sz w:val="16"/>
              </w:rPr>
              <w:t>$249.75</w:t>
            </w:r>
          </w:p>
        </w:tc>
        <w:tc>
          <w:tcPr>
            <w:tcW w:w="1872" w:type="dxa"/>
            <w:vAlign w:val="center"/>
          </w:tcPr>
          <w:p w14:paraId="16661B43" w14:textId="77777777" w:rsidR="00FC0FE2" w:rsidRDefault="00000000">
            <w:r>
              <w:rPr>
                <w:sz w:val="16"/>
              </w:rPr>
              <w:t>13.46%</w:t>
            </w:r>
          </w:p>
        </w:tc>
      </w:tr>
      <w:tr w:rsidR="00FC0FE2" w14:paraId="30D170CC" w14:textId="77777777">
        <w:trPr>
          <w:jc w:val="center"/>
        </w:trPr>
        <w:tc>
          <w:tcPr>
            <w:tcW w:w="3888" w:type="dxa"/>
            <w:vAlign w:val="center"/>
          </w:tcPr>
          <w:p w14:paraId="6EF04719" w14:textId="77777777" w:rsidR="00FC0FE2" w:rsidRDefault="00000000">
            <w:r>
              <w:rPr>
                <w:sz w:val="16"/>
              </w:rPr>
              <w:t>EMPAQUE</w:t>
            </w:r>
          </w:p>
        </w:tc>
        <w:tc>
          <w:tcPr>
            <w:tcW w:w="2232" w:type="dxa"/>
            <w:vAlign w:val="center"/>
          </w:tcPr>
          <w:p w14:paraId="12E46C51" w14:textId="77777777" w:rsidR="00FC0FE2" w:rsidRDefault="00000000">
            <w:r>
              <w:rPr>
                <w:sz w:val="16"/>
              </w:rPr>
              <w:t>$212.07</w:t>
            </w:r>
          </w:p>
        </w:tc>
        <w:tc>
          <w:tcPr>
            <w:tcW w:w="1872" w:type="dxa"/>
            <w:vAlign w:val="center"/>
          </w:tcPr>
          <w:p w14:paraId="601C17FF" w14:textId="77777777" w:rsidR="00FC0FE2" w:rsidRDefault="00000000">
            <w:r>
              <w:rPr>
                <w:sz w:val="16"/>
              </w:rPr>
              <w:t>11.43%</w:t>
            </w:r>
          </w:p>
        </w:tc>
      </w:tr>
      <w:tr w:rsidR="00FC0FE2" w14:paraId="3066DE93" w14:textId="77777777">
        <w:trPr>
          <w:jc w:val="center"/>
        </w:trPr>
        <w:tc>
          <w:tcPr>
            <w:tcW w:w="3888" w:type="dxa"/>
            <w:vAlign w:val="center"/>
          </w:tcPr>
          <w:p w14:paraId="6DE10FCF" w14:textId="77777777" w:rsidR="00FC0FE2" w:rsidRDefault="00000000">
            <w:r>
              <w:rPr>
                <w:sz w:val="16"/>
              </w:rPr>
              <w:t>HUEVO</w:t>
            </w:r>
          </w:p>
        </w:tc>
        <w:tc>
          <w:tcPr>
            <w:tcW w:w="2232" w:type="dxa"/>
            <w:vAlign w:val="center"/>
          </w:tcPr>
          <w:p w14:paraId="6E285FE6" w14:textId="77777777" w:rsidR="00FC0FE2" w:rsidRDefault="00000000">
            <w:r>
              <w:rPr>
                <w:sz w:val="16"/>
              </w:rPr>
              <w:t>$108.38</w:t>
            </w:r>
          </w:p>
        </w:tc>
        <w:tc>
          <w:tcPr>
            <w:tcW w:w="1872" w:type="dxa"/>
            <w:vAlign w:val="center"/>
          </w:tcPr>
          <w:p w14:paraId="1DF3E362" w14:textId="77777777" w:rsidR="00FC0FE2" w:rsidRDefault="00000000">
            <w:r>
              <w:rPr>
                <w:sz w:val="16"/>
              </w:rPr>
              <w:t>5.84%</w:t>
            </w:r>
          </w:p>
        </w:tc>
      </w:tr>
      <w:tr w:rsidR="00FC0FE2" w14:paraId="403FBF09" w14:textId="77777777">
        <w:trPr>
          <w:jc w:val="center"/>
        </w:trPr>
        <w:tc>
          <w:tcPr>
            <w:tcW w:w="3888" w:type="dxa"/>
            <w:vAlign w:val="center"/>
          </w:tcPr>
          <w:p w14:paraId="75757B2D" w14:textId="77777777" w:rsidR="00FC0FE2" w:rsidRDefault="00000000">
            <w:r>
              <w:rPr>
                <w:sz w:val="16"/>
              </w:rPr>
              <w:t>AMBIANTE</w:t>
            </w:r>
          </w:p>
        </w:tc>
        <w:tc>
          <w:tcPr>
            <w:tcW w:w="2232" w:type="dxa"/>
            <w:vAlign w:val="center"/>
          </w:tcPr>
          <w:p w14:paraId="37035C05" w14:textId="77777777" w:rsidR="00FC0FE2" w:rsidRDefault="00000000">
            <w:r>
              <w:rPr>
                <w:sz w:val="16"/>
              </w:rPr>
              <w:t>$103.75</w:t>
            </w:r>
          </w:p>
        </w:tc>
        <w:tc>
          <w:tcPr>
            <w:tcW w:w="1872" w:type="dxa"/>
            <w:vAlign w:val="center"/>
          </w:tcPr>
          <w:p w14:paraId="16EDEA3C" w14:textId="77777777" w:rsidR="00FC0FE2" w:rsidRDefault="00000000">
            <w:r>
              <w:rPr>
                <w:sz w:val="16"/>
              </w:rPr>
              <w:t>5.59%</w:t>
            </w:r>
          </w:p>
        </w:tc>
      </w:tr>
      <w:tr w:rsidR="00FC0FE2" w14:paraId="61DAE9C7" w14:textId="77777777">
        <w:trPr>
          <w:jc w:val="center"/>
        </w:trPr>
        <w:tc>
          <w:tcPr>
            <w:tcW w:w="3888" w:type="dxa"/>
            <w:vAlign w:val="center"/>
          </w:tcPr>
          <w:p w14:paraId="6890A1CC" w14:textId="77777777" w:rsidR="00FC0FE2" w:rsidRDefault="00000000">
            <w:r>
              <w:rPr>
                <w:sz w:val="16"/>
              </w:rPr>
              <w:t>CHANTILLY</w:t>
            </w:r>
          </w:p>
        </w:tc>
        <w:tc>
          <w:tcPr>
            <w:tcW w:w="2232" w:type="dxa"/>
            <w:vAlign w:val="center"/>
          </w:tcPr>
          <w:p w14:paraId="0F9BEDAC" w14:textId="77777777" w:rsidR="00FC0FE2" w:rsidRDefault="00000000">
            <w:r>
              <w:rPr>
                <w:sz w:val="16"/>
              </w:rPr>
              <w:t>$96.81</w:t>
            </w:r>
          </w:p>
        </w:tc>
        <w:tc>
          <w:tcPr>
            <w:tcW w:w="1872" w:type="dxa"/>
            <w:vAlign w:val="center"/>
          </w:tcPr>
          <w:p w14:paraId="6BF99BCD" w14:textId="77777777" w:rsidR="00FC0FE2" w:rsidRDefault="00000000">
            <w:r>
              <w:rPr>
                <w:sz w:val="16"/>
              </w:rPr>
              <w:t>5.22%</w:t>
            </w:r>
          </w:p>
        </w:tc>
      </w:tr>
      <w:tr w:rsidR="00FC0FE2" w14:paraId="53AC81B5" w14:textId="77777777">
        <w:trPr>
          <w:jc w:val="center"/>
        </w:trPr>
        <w:tc>
          <w:tcPr>
            <w:tcW w:w="3888" w:type="dxa"/>
            <w:vAlign w:val="center"/>
          </w:tcPr>
          <w:p w14:paraId="26475D1F" w14:textId="77777777" w:rsidR="00FC0FE2" w:rsidRDefault="00000000">
            <w:r>
              <w:rPr>
                <w:sz w:val="16"/>
              </w:rPr>
              <w:t>CHOCOLATE</w:t>
            </w:r>
          </w:p>
        </w:tc>
        <w:tc>
          <w:tcPr>
            <w:tcW w:w="2232" w:type="dxa"/>
            <w:vAlign w:val="center"/>
          </w:tcPr>
          <w:p w14:paraId="1ACC4255" w14:textId="77777777" w:rsidR="00FC0FE2" w:rsidRDefault="00000000">
            <w:r>
              <w:rPr>
                <w:sz w:val="16"/>
              </w:rPr>
              <w:t>$87.08</w:t>
            </w:r>
          </w:p>
        </w:tc>
        <w:tc>
          <w:tcPr>
            <w:tcW w:w="1872" w:type="dxa"/>
            <w:vAlign w:val="center"/>
          </w:tcPr>
          <w:p w14:paraId="29198914" w14:textId="77777777" w:rsidR="00FC0FE2" w:rsidRDefault="00000000">
            <w:r>
              <w:rPr>
                <w:sz w:val="16"/>
              </w:rPr>
              <w:t>4.69%</w:t>
            </w:r>
          </w:p>
        </w:tc>
      </w:tr>
      <w:tr w:rsidR="00FC0FE2" w14:paraId="6C9F66E4" w14:textId="77777777">
        <w:trPr>
          <w:jc w:val="center"/>
        </w:trPr>
        <w:tc>
          <w:tcPr>
            <w:tcW w:w="3888" w:type="dxa"/>
            <w:vAlign w:val="center"/>
          </w:tcPr>
          <w:p w14:paraId="1BF8D47F" w14:textId="77777777" w:rsidR="00FC0FE2" w:rsidRDefault="00000000">
            <w:r>
              <w:rPr>
                <w:sz w:val="16"/>
              </w:rPr>
              <w:t>FONDANT</w:t>
            </w:r>
          </w:p>
        </w:tc>
        <w:tc>
          <w:tcPr>
            <w:tcW w:w="2232" w:type="dxa"/>
            <w:vAlign w:val="center"/>
          </w:tcPr>
          <w:p w14:paraId="33FCDA83" w14:textId="77777777" w:rsidR="00FC0FE2" w:rsidRDefault="00000000">
            <w:r>
              <w:rPr>
                <w:sz w:val="16"/>
              </w:rPr>
              <w:t>$87.07</w:t>
            </w:r>
          </w:p>
        </w:tc>
        <w:tc>
          <w:tcPr>
            <w:tcW w:w="1872" w:type="dxa"/>
            <w:vAlign w:val="center"/>
          </w:tcPr>
          <w:p w14:paraId="0657AD48" w14:textId="77777777" w:rsidR="00FC0FE2" w:rsidRDefault="00000000">
            <w:r>
              <w:rPr>
                <w:sz w:val="16"/>
              </w:rPr>
              <w:t>4.69%</w:t>
            </w:r>
          </w:p>
        </w:tc>
      </w:tr>
      <w:tr w:rsidR="00FC0FE2" w14:paraId="4C222FEB" w14:textId="77777777">
        <w:trPr>
          <w:jc w:val="center"/>
        </w:trPr>
        <w:tc>
          <w:tcPr>
            <w:tcW w:w="3888" w:type="dxa"/>
            <w:vAlign w:val="center"/>
          </w:tcPr>
          <w:p w14:paraId="3A3B1A76" w14:textId="77777777" w:rsidR="00FC0FE2" w:rsidRDefault="00000000">
            <w:r>
              <w:rPr>
                <w:sz w:val="16"/>
              </w:rPr>
              <w:t>DECORACION</w:t>
            </w:r>
          </w:p>
        </w:tc>
        <w:tc>
          <w:tcPr>
            <w:tcW w:w="2232" w:type="dxa"/>
            <w:vAlign w:val="center"/>
          </w:tcPr>
          <w:p w14:paraId="0872EE6C" w14:textId="77777777" w:rsidR="00FC0FE2" w:rsidRDefault="00000000">
            <w:r>
              <w:rPr>
                <w:sz w:val="16"/>
              </w:rPr>
              <w:t>$56.74</w:t>
            </w:r>
          </w:p>
        </w:tc>
        <w:tc>
          <w:tcPr>
            <w:tcW w:w="1872" w:type="dxa"/>
            <w:vAlign w:val="center"/>
          </w:tcPr>
          <w:p w14:paraId="3C3158A3" w14:textId="77777777" w:rsidR="00FC0FE2" w:rsidRDefault="00000000">
            <w:r>
              <w:rPr>
                <w:sz w:val="16"/>
              </w:rPr>
              <w:t>3.06%</w:t>
            </w:r>
          </w:p>
        </w:tc>
      </w:tr>
      <w:tr w:rsidR="00FC0FE2" w14:paraId="0D7E7A98" w14:textId="77777777">
        <w:trPr>
          <w:jc w:val="center"/>
        </w:trPr>
        <w:tc>
          <w:tcPr>
            <w:tcW w:w="3888" w:type="dxa"/>
            <w:vAlign w:val="center"/>
          </w:tcPr>
          <w:p w14:paraId="569527E1" w14:textId="77777777" w:rsidR="00FC0FE2" w:rsidRDefault="00000000">
            <w:r>
              <w:rPr>
                <w:sz w:val="16"/>
              </w:rPr>
              <w:t>CAPACILLOS</w:t>
            </w:r>
          </w:p>
        </w:tc>
        <w:tc>
          <w:tcPr>
            <w:tcW w:w="2232" w:type="dxa"/>
            <w:vAlign w:val="center"/>
          </w:tcPr>
          <w:p w14:paraId="3327D6F4" w14:textId="77777777" w:rsidR="00FC0FE2" w:rsidRDefault="00000000">
            <w:r>
              <w:rPr>
                <w:sz w:val="16"/>
              </w:rPr>
              <w:t>$24.28</w:t>
            </w:r>
          </w:p>
        </w:tc>
        <w:tc>
          <w:tcPr>
            <w:tcW w:w="1872" w:type="dxa"/>
            <w:vAlign w:val="center"/>
          </w:tcPr>
          <w:p w14:paraId="1A6E1DEB" w14:textId="77777777" w:rsidR="00FC0FE2" w:rsidRDefault="00000000">
            <w:r>
              <w:rPr>
                <w:sz w:val="16"/>
              </w:rPr>
              <w:t>1.31%</w:t>
            </w:r>
          </w:p>
        </w:tc>
      </w:tr>
      <w:tr w:rsidR="00FC0FE2" w14:paraId="1958E912" w14:textId="77777777">
        <w:trPr>
          <w:jc w:val="center"/>
        </w:trPr>
        <w:tc>
          <w:tcPr>
            <w:tcW w:w="3888" w:type="dxa"/>
            <w:vAlign w:val="center"/>
          </w:tcPr>
          <w:p w14:paraId="4831D1DD" w14:textId="77777777" w:rsidR="00FC0FE2" w:rsidRDefault="00000000">
            <w:r>
              <w:rPr>
                <w:sz w:val="16"/>
              </w:rPr>
              <w:t>RELLENO</w:t>
            </w:r>
          </w:p>
        </w:tc>
        <w:tc>
          <w:tcPr>
            <w:tcW w:w="2232" w:type="dxa"/>
            <w:vAlign w:val="center"/>
          </w:tcPr>
          <w:p w14:paraId="3A4CF16A" w14:textId="77777777" w:rsidR="00FC0FE2" w:rsidRDefault="00000000">
            <w:r>
              <w:rPr>
                <w:sz w:val="16"/>
              </w:rPr>
              <w:t>$6.51</w:t>
            </w:r>
          </w:p>
        </w:tc>
        <w:tc>
          <w:tcPr>
            <w:tcW w:w="1872" w:type="dxa"/>
            <w:vAlign w:val="center"/>
          </w:tcPr>
          <w:p w14:paraId="34D63917" w14:textId="77777777" w:rsidR="00FC0FE2" w:rsidRDefault="00000000">
            <w:r>
              <w:rPr>
                <w:sz w:val="16"/>
              </w:rPr>
              <w:t>0.35%</w:t>
            </w:r>
          </w:p>
        </w:tc>
      </w:tr>
    </w:tbl>
    <w:p w14:paraId="02F2167C" w14:textId="77777777" w:rsidR="00FC0FE2" w:rsidRDefault="00000000">
      <w:r>
        <w:t>Los controles automáticos verificaron conservación de huecos, conciliación de asignaciones, suma de participaciones, importes no negativos, reproducción de la emisión, generación de cuatro horizontes y exclusión de categorías fuera del objetivo. Todos quedaron aprobados. Estos controles verifican consistencia computacional, no precisión predictiva ni aceptación de la hipótesis.</w:t>
      </w:r>
    </w:p>
    <w:p w14:paraId="1C553657" w14:textId="62AEF0C5" w:rsidR="00FC0FE2" w:rsidRDefault="00000000">
      <w:pPr>
        <w:pStyle w:val="Descripcin"/>
        <w:keepNext/>
      </w:pPr>
      <w:r>
        <w:lastRenderedPageBreak/>
        <w:t xml:space="preserve">Figura 43. Resultado de los controles de calidad del </w:t>
      </w:r>
      <w:r w:rsidR="00006179" w:rsidRPr="00006179">
        <w:t>pipeline</w:t>
      </w:r>
      <w:r>
        <w:t>.</w:t>
      </w:r>
    </w:p>
    <w:p w14:paraId="0C12704B" w14:textId="77777777" w:rsidR="00FC0FE2" w:rsidRDefault="00000000">
      <w:pPr>
        <w:jc w:val="center"/>
      </w:pPr>
      <w:r>
        <w:rPr>
          <w:noProof/>
        </w:rPr>
        <w:drawing>
          <wp:inline distT="0" distB="0" distL="0" distR="0" wp14:anchorId="0F792F8C" wp14:editId="3721C0D0">
            <wp:extent cx="5532120" cy="2284843"/>
            <wp:effectExtent l="0" t="0" r="0" b="0"/>
            <wp:docPr id="1678057670" name="Picture 1678057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23"/>
                    <a:stretch>
                      <a:fillRect/>
                    </a:stretch>
                  </pic:blipFill>
                  <pic:spPr>
                    <a:xfrm>
                      <a:off x="0" y="0"/>
                      <a:ext cx="5532120" cy="2284843"/>
                    </a:xfrm>
                    <a:prstGeom prst="rect">
                      <a:avLst/>
                    </a:prstGeom>
                  </pic:spPr>
                </pic:pic>
              </a:graphicData>
            </a:graphic>
          </wp:inline>
        </w:drawing>
      </w:r>
    </w:p>
    <w:p w14:paraId="3A6A98B5" w14:textId="77777777" w:rsidR="00FC0FE2" w:rsidRDefault="00000000">
      <w:pPr>
        <w:pStyle w:val="Ttulo2"/>
      </w:pPr>
      <w:r>
        <w:t>Alcance y trazabilidad de la corrida</w:t>
      </w:r>
    </w:p>
    <w:p w14:paraId="267118B8" w14:textId="77777777" w:rsidR="00FC0FE2" w:rsidRDefault="00000000">
      <w:r>
        <w:t>La corrida run_20260924T195600Z_86a6f5 finalizó correctamente y dejó métricas, predicciones, auditorías, asignaciones, figuras con datos de respaldo, tablero local y manifiesto con huellas digitales. Los artefactos son reproducibles a partir de la configuración y fuentes registradas.</w:t>
      </w:r>
    </w:p>
    <w:p w14:paraId="5BCE10D3" w14:textId="77777777" w:rsidR="00FC0FE2" w:rsidRDefault="00000000">
      <w:r>
        <w:t>El origen de emisión fue el 4 de agosto de 2025, pues los registros de compras utilizados llegan hasta el 28 de julio de 2025. El pronóstico de cuatro semanas es retrospectivo y no estima las necesidades del mes actual. Para apoyar decisiones contemporáneas se deben actualizar las compras y su cobertura documentada y volver a ejecutar el protocolo. La interpretación de los errores y su comparación con las referencias se desarrolla en Resultados.</w:t>
      </w:r>
    </w:p>
    <w:p w14:paraId="0B686185" w14:textId="77777777" w:rsidR="002D3753" w:rsidRDefault="002D3753" w:rsidP="002D3753">
      <w:pPr>
        <w:pStyle w:val="Ttulo1"/>
        <w:pageBreakBefore/>
        <w:numPr>
          <w:ilvl w:val="0"/>
          <w:numId w:val="19"/>
        </w:numPr>
      </w:pPr>
      <w:bookmarkStart w:id="135" w:name="_Toc240207794"/>
      <w:r>
        <w:lastRenderedPageBreak/>
        <w:t>RESULTADOS</w:t>
      </w:r>
      <w:bookmarkEnd w:id="135"/>
    </w:p>
    <w:p w14:paraId="3E71F040" w14:textId="77777777" w:rsidR="00FC0FE2" w:rsidRDefault="00000000">
      <w:r>
        <w:t>La presente sección reporta la corrida empírica completa más reciente disponible, identificada como run_20260924T195600Z_86a6f5 y ejecutada el 24 de septiembre de 2026. Se utilizaron Compras.xlsx, Ventas.xlsx y el conjunto contextual de Tizayuca; la evaluación se refiere a importes nominales registrados y utilizables, no a una certificación de captura exhaustiva del gasto.</w:t>
      </w:r>
    </w:p>
    <w:p w14:paraId="341AA549" w14:textId="77777777" w:rsidR="00FC0FE2" w:rsidRDefault="00000000">
      <w:pPr>
        <w:pStyle w:val="Ttulo2"/>
      </w:pPr>
      <w:r>
        <w:t>Calidad, cobertura e integración de datos</w:t>
      </w:r>
    </w:p>
    <w:p w14:paraId="7D43B9C8" w14:textId="77777777" w:rsidR="00FC0FE2" w:rsidRDefault="00000000">
      <w:r>
        <w:t>El panel cubrió semanas entre el 5 de diciembre de 2016 y el 11 de mayo de 2026. Para el tramo de tres años destinado a completar series (3 de mayo de 2021–29 de abril de 2024), el proceso identificó 128 semanas de compras observadas y estimó 29 semanas faltantes mediante promedio simple; en ventas se reportaron 157 semanas observadas y ninguna semana estimada. Las estimaciones se conservaron identificadas como tales. Los huecos fuera de ese tramo no se rellenaron y se mantuvieron como ausencia de captura, por lo que no se interpretaron como gasto cero.</w:t>
      </w:r>
    </w:p>
    <w:p w14:paraId="2A3B2CD0" w14:textId="77777777" w:rsidR="00FC0FE2" w:rsidRDefault="00000000">
      <w:r>
        <w:t>En el objetivo monetario se excluyeron COMBUSTIBLE, MUEBLES, HERRAMIENTA, IMPUTADO/IMPUTADOS y OTROS. La composición incluyó 11 insumos principales y la categoría RESTO_ELEGIBLE para conciliar el total; esta última no equivale a OTROS. La auditoría de cobertura advierte que la presencia de transacciones no certifica que todos los movimientos de cada semana hayan sido capturados.</w:t>
      </w:r>
    </w:p>
    <w:p w14:paraId="3B32E47B" w14:textId="77777777" w:rsidR="00FC0FE2" w:rsidRDefault="00000000">
      <w:r>
        <w:t>Las siete verificaciones automatizadas de la corrida resultaron aprobadas: conservación de huecos, reconciliación de asignaciones con el total, suma de participaciones, no negatividad, reproducción de la emisión, cuatro horizontes y exclusión de categorías fuera de alcance. No se encontraron registros pendientes de resolución en el archivo de pendientes de esta corrida.</w:t>
      </w:r>
    </w:p>
    <w:p w14:paraId="2A741003" w14:textId="77777777" w:rsidR="00FC0FE2" w:rsidRDefault="00000000">
      <w:pPr>
        <w:pStyle w:val="Ttulo2"/>
      </w:pPr>
      <w:r>
        <w:lastRenderedPageBreak/>
        <w:t>Diseño efectivo de evaluación</w:t>
      </w:r>
    </w:p>
    <w:p w14:paraId="419707F3" w14:textId="7A83834F" w:rsidR="00FC0FE2" w:rsidRDefault="00000000">
      <w:r>
        <w:t xml:space="preserve">Se configuró una ventana de entrenamiento de 52 semanas, avance de 3 semanas y horizontes de 1 a 4 semanas, con 20 semanas reservadas como bloque final. Debido a la disponibilidad de objetivos utilizables y al esquema de avance, la evaluación generó seis orígenes efectivos para cada horizonte (24 predicciones objetivo-horizonte); no deben confundirse con 20 </w:t>
      </w:r>
      <w:proofErr w:type="spellStart"/>
      <w:r w:rsidR="00DD44DD" w:rsidRPr="00DD44DD">
        <w:rPr>
          <w:i/>
        </w:rPr>
        <w:t>folds</w:t>
      </w:r>
      <w:proofErr w:type="spellEnd"/>
      <w:r>
        <w:t xml:space="preserve">. No hubo exclusiones de objetivos monetarios en esas seis predicciones por horizonte. Los </w:t>
      </w:r>
      <w:proofErr w:type="spellStart"/>
      <w:r w:rsidR="00253ED1" w:rsidRPr="00253ED1">
        <w:rPr>
          <w:i/>
        </w:rPr>
        <w:t>benchmark</w:t>
      </w:r>
      <w:r>
        <w:t>s</w:t>
      </w:r>
      <w:proofErr w:type="spellEnd"/>
      <w:r>
        <w:t xml:space="preserve"> estacionales de 52 semanas sí tuvieron menos casos utilizables (2, 4, 4 y 2, respectivamente), por falta del rezago anual observado; se reportan aparte y no se comparan como si tuvieran la misma disponibilidad.</w:t>
      </w:r>
    </w:p>
    <w:p w14:paraId="5A18CC58" w14:textId="77777777" w:rsidR="00FC0FE2" w:rsidRDefault="00000000">
      <w:r>
        <w:t xml:space="preserve">El ajuste interno utilizó cinco orígenes y seleccionó configuraciones por horizonte: </w:t>
      </w:r>
      <w:r w:rsidRPr="004A7173">
        <w:rPr>
          <w:i/>
          <w:iCs/>
        </w:rPr>
        <w:t>SES + Random Forest</w:t>
      </w:r>
      <w:r>
        <w:t xml:space="preserve"> (peso estadístico 0.75) para h=1; </w:t>
      </w:r>
      <w:r w:rsidRPr="004A7173">
        <w:rPr>
          <w:i/>
          <w:iCs/>
        </w:rPr>
        <w:t>SES + HistGradientBoosting</w:t>
      </w:r>
      <w:r>
        <w:t xml:space="preserve"> (0.75) para h=2; </w:t>
      </w:r>
      <w:r w:rsidRPr="00252087">
        <w:rPr>
          <w:i/>
          <w:iCs/>
        </w:rPr>
        <w:t>ARIMA</w:t>
      </w:r>
      <w:r>
        <w:t xml:space="preserve"> estacional simplificado + red neuronal residual para h=3; y </w:t>
      </w:r>
      <w:r w:rsidRPr="00252087">
        <w:rPr>
          <w:i/>
          <w:iCs/>
        </w:rPr>
        <w:t>ARIMA</w:t>
      </w:r>
      <w:r>
        <w:t xml:space="preserve"> estacional simplificado </w:t>
      </w:r>
      <w:r w:rsidRPr="00252087">
        <w:rPr>
          <w:i/>
          <w:iCs/>
        </w:rPr>
        <w:t>+ Random Forest</w:t>
      </w:r>
      <w:r>
        <w:t xml:space="preserve"> residual para h=4. Esta selección se efectuó en validación interna y no constituye por sí misma evidencia de superioridad en la evaluación externa.</w:t>
      </w:r>
    </w:p>
    <w:p w14:paraId="0464285C" w14:textId="77777777" w:rsidR="00FC0FE2" w:rsidRDefault="00000000">
      <w:pPr>
        <w:pStyle w:val="Ttulo2"/>
      </w:pPr>
      <w:r>
        <w:t>Rendimiento comparativo del importe semanal</w:t>
      </w:r>
    </w:p>
    <w:p w14:paraId="116D037A" w14:textId="77777777" w:rsidR="00FC0FE2" w:rsidRDefault="00000000">
      <w:r>
        <w:t>La tabla siguiente resume RMSE y MAE del ensamble denominado hibrido frente al método con menor RMSE entre los comparadores principales disponibles en las mismas fechas. El menor error observado no fue uniforme: el híbrido no obtuvo el menor RMSE en h=1, h=2 ni h=4; sí obtuvo el menor RMSE entre los comparadores principales en h=3. En h=3, la red neuronal residual tuvo menor MAE que el híbrido (420.998 frente a 458.797 MXN), aunque su RMSE fue ligeramente mayor (824.296 frente a 801.619 MXN).</w:t>
      </w:r>
    </w:p>
    <w:tbl>
      <w:tblPr>
        <w:tblStyle w:val="Tablaconcuadrcula"/>
        <w:tblW w:w="0" w:type="auto"/>
        <w:jc w:val="center"/>
        <w:tblLook w:val="04A0" w:firstRow="1" w:lastRow="0" w:firstColumn="1" w:lastColumn="0" w:noHBand="0" w:noVBand="1"/>
      </w:tblPr>
      <w:tblGrid>
        <w:gridCol w:w="1992"/>
        <w:gridCol w:w="1992"/>
        <w:gridCol w:w="1992"/>
        <w:gridCol w:w="1994"/>
        <w:gridCol w:w="1992"/>
      </w:tblGrid>
      <w:tr w:rsidR="00FC0FE2" w14:paraId="12B06989" w14:textId="77777777">
        <w:trPr>
          <w:jc w:val="center"/>
        </w:trPr>
        <w:tc>
          <w:tcPr>
            <w:tcW w:w="1994" w:type="dxa"/>
            <w:vAlign w:val="center"/>
          </w:tcPr>
          <w:p w14:paraId="1E2B1FB0" w14:textId="77777777" w:rsidR="00FC0FE2" w:rsidRDefault="00000000">
            <w:r>
              <w:rPr>
                <w:b/>
                <w:sz w:val="16"/>
              </w:rPr>
              <w:t>Horizonte</w:t>
            </w:r>
          </w:p>
        </w:tc>
        <w:tc>
          <w:tcPr>
            <w:tcW w:w="1994" w:type="dxa"/>
            <w:vAlign w:val="center"/>
          </w:tcPr>
          <w:p w14:paraId="776B5789" w14:textId="77777777" w:rsidR="00FC0FE2" w:rsidRDefault="00000000">
            <w:r>
              <w:rPr>
                <w:b/>
                <w:sz w:val="16"/>
              </w:rPr>
              <w:t>Híbrido RMSE (MXN)</w:t>
            </w:r>
          </w:p>
        </w:tc>
        <w:tc>
          <w:tcPr>
            <w:tcW w:w="1994" w:type="dxa"/>
            <w:vAlign w:val="center"/>
          </w:tcPr>
          <w:p w14:paraId="6C0A103D" w14:textId="77777777" w:rsidR="00FC0FE2" w:rsidRDefault="00000000">
            <w:r>
              <w:rPr>
                <w:b/>
                <w:sz w:val="16"/>
              </w:rPr>
              <w:t>Híbrido MAE (MXN)</w:t>
            </w:r>
          </w:p>
        </w:tc>
        <w:tc>
          <w:tcPr>
            <w:tcW w:w="1994" w:type="dxa"/>
            <w:vAlign w:val="center"/>
          </w:tcPr>
          <w:p w14:paraId="591DDC89" w14:textId="77777777" w:rsidR="00FC0FE2" w:rsidRDefault="00000000">
            <w:r>
              <w:rPr>
                <w:b/>
                <w:sz w:val="16"/>
              </w:rPr>
              <w:t>Menor RMSE comparador principal</w:t>
            </w:r>
          </w:p>
        </w:tc>
        <w:tc>
          <w:tcPr>
            <w:tcW w:w="1994" w:type="dxa"/>
            <w:vAlign w:val="center"/>
          </w:tcPr>
          <w:p w14:paraId="69A24EA8" w14:textId="77777777" w:rsidR="00FC0FE2" w:rsidRDefault="00000000">
            <w:r>
              <w:rPr>
                <w:b/>
                <w:sz w:val="16"/>
              </w:rPr>
              <w:t>RMSE (MXN)</w:t>
            </w:r>
          </w:p>
        </w:tc>
      </w:tr>
      <w:tr w:rsidR="00FC0FE2" w14:paraId="7F0F241F" w14:textId="77777777">
        <w:trPr>
          <w:jc w:val="center"/>
        </w:trPr>
        <w:tc>
          <w:tcPr>
            <w:tcW w:w="1994" w:type="dxa"/>
            <w:vAlign w:val="center"/>
          </w:tcPr>
          <w:p w14:paraId="14CD72D5" w14:textId="77777777" w:rsidR="00FC0FE2" w:rsidRDefault="00000000">
            <w:r>
              <w:rPr>
                <w:sz w:val="16"/>
              </w:rPr>
              <w:t>1 semana</w:t>
            </w:r>
          </w:p>
        </w:tc>
        <w:tc>
          <w:tcPr>
            <w:tcW w:w="1994" w:type="dxa"/>
            <w:vAlign w:val="center"/>
          </w:tcPr>
          <w:p w14:paraId="28BB027D" w14:textId="77777777" w:rsidR="00FC0FE2" w:rsidRDefault="00000000">
            <w:r>
              <w:rPr>
                <w:sz w:val="16"/>
              </w:rPr>
              <w:t>521.60</w:t>
            </w:r>
          </w:p>
        </w:tc>
        <w:tc>
          <w:tcPr>
            <w:tcW w:w="1994" w:type="dxa"/>
            <w:vAlign w:val="center"/>
          </w:tcPr>
          <w:p w14:paraId="295B363A" w14:textId="77777777" w:rsidR="00FC0FE2" w:rsidRDefault="00000000">
            <w:r>
              <w:rPr>
                <w:sz w:val="16"/>
              </w:rPr>
              <w:t>386.43</w:t>
            </w:r>
          </w:p>
        </w:tc>
        <w:tc>
          <w:tcPr>
            <w:tcW w:w="1994" w:type="dxa"/>
            <w:vAlign w:val="center"/>
          </w:tcPr>
          <w:p w14:paraId="2B3C071E" w14:textId="77777777" w:rsidR="00FC0FE2" w:rsidRDefault="00000000">
            <w:r>
              <w:rPr>
                <w:sz w:val="16"/>
              </w:rPr>
              <w:t>Random Forest</w:t>
            </w:r>
          </w:p>
        </w:tc>
        <w:tc>
          <w:tcPr>
            <w:tcW w:w="1994" w:type="dxa"/>
            <w:vAlign w:val="center"/>
          </w:tcPr>
          <w:p w14:paraId="38E9DEA5" w14:textId="77777777" w:rsidR="00FC0FE2" w:rsidRDefault="00000000">
            <w:r>
              <w:rPr>
                <w:sz w:val="16"/>
              </w:rPr>
              <w:t>446.21</w:t>
            </w:r>
          </w:p>
        </w:tc>
      </w:tr>
      <w:tr w:rsidR="00FC0FE2" w14:paraId="2AD4D3AF" w14:textId="77777777">
        <w:trPr>
          <w:jc w:val="center"/>
        </w:trPr>
        <w:tc>
          <w:tcPr>
            <w:tcW w:w="1994" w:type="dxa"/>
            <w:vAlign w:val="center"/>
          </w:tcPr>
          <w:p w14:paraId="02E9C4B5" w14:textId="77777777" w:rsidR="00FC0FE2" w:rsidRDefault="00000000">
            <w:r>
              <w:rPr>
                <w:sz w:val="16"/>
              </w:rPr>
              <w:t>2 semanas</w:t>
            </w:r>
          </w:p>
        </w:tc>
        <w:tc>
          <w:tcPr>
            <w:tcW w:w="1994" w:type="dxa"/>
            <w:vAlign w:val="center"/>
          </w:tcPr>
          <w:p w14:paraId="5D2C0894" w14:textId="77777777" w:rsidR="00FC0FE2" w:rsidRDefault="00000000">
            <w:r>
              <w:rPr>
                <w:sz w:val="16"/>
              </w:rPr>
              <w:t>695.41</w:t>
            </w:r>
          </w:p>
        </w:tc>
        <w:tc>
          <w:tcPr>
            <w:tcW w:w="1994" w:type="dxa"/>
            <w:vAlign w:val="center"/>
          </w:tcPr>
          <w:p w14:paraId="7D51F1C7" w14:textId="77777777" w:rsidR="00FC0FE2" w:rsidRDefault="00000000">
            <w:r>
              <w:rPr>
                <w:sz w:val="16"/>
              </w:rPr>
              <w:t>439.26</w:t>
            </w:r>
          </w:p>
        </w:tc>
        <w:tc>
          <w:tcPr>
            <w:tcW w:w="1994" w:type="dxa"/>
            <w:vAlign w:val="center"/>
          </w:tcPr>
          <w:p w14:paraId="4BB5523C" w14:textId="77777777" w:rsidR="00FC0FE2" w:rsidRDefault="00000000">
            <w:r>
              <w:rPr>
                <w:sz w:val="16"/>
              </w:rPr>
              <w:t>HistGradientBoosting</w:t>
            </w:r>
          </w:p>
        </w:tc>
        <w:tc>
          <w:tcPr>
            <w:tcW w:w="1994" w:type="dxa"/>
            <w:vAlign w:val="center"/>
          </w:tcPr>
          <w:p w14:paraId="062093DA" w14:textId="77777777" w:rsidR="00FC0FE2" w:rsidRDefault="00000000">
            <w:r>
              <w:rPr>
                <w:sz w:val="16"/>
              </w:rPr>
              <w:t>596.17</w:t>
            </w:r>
          </w:p>
        </w:tc>
      </w:tr>
      <w:tr w:rsidR="00FC0FE2" w14:paraId="5400DCD1" w14:textId="77777777">
        <w:trPr>
          <w:jc w:val="center"/>
        </w:trPr>
        <w:tc>
          <w:tcPr>
            <w:tcW w:w="1994" w:type="dxa"/>
            <w:vAlign w:val="center"/>
          </w:tcPr>
          <w:p w14:paraId="41C9B0F9" w14:textId="77777777" w:rsidR="00FC0FE2" w:rsidRDefault="00000000">
            <w:r>
              <w:rPr>
                <w:sz w:val="16"/>
              </w:rPr>
              <w:t>3 semanas</w:t>
            </w:r>
          </w:p>
        </w:tc>
        <w:tc>
          <w:tcPr>
            <w:tcW w:w="1994" w:type="dxa"/>
            <w:vAlign w:val="center"/>
          </w:tcPr>
          <w:p w14:paraId="71971679" w14:textId="77777777" w:rsidR="00FC0FE2" w:rsidRDefault="00000000">
            <w:r>
              <w:rPr>
                <w:sz w:val="16"/>
              </w:rPr>
              <w:t>801.62</w:t>
            </w:r>
          </w:p>
        </w:tc>
        <w:tc>
          <w:tcPr>
            <w:tcW w:w="1994" w:type="dxa"/>
            <w:vAlign w:val="center"/>
          </w:tcPr>
          <w:p w14:paraId="4C460DE0" w14:textId="77777777" w:rsidR="00FC0FE2" w:rsidRDefault="00000000">
            <w:r>
              <w:rPr>
                <w:sz w:val="16"/>
              </w:rPr>
              <w:t>458.80</w:t>
            </w:r>
          </w:p>
        </w:tc>
        <w:tc>
          <w:tcPr>
            <w:tcW w:w="1994" w:type="dxa"/>
            <w:vAlign w:val="center"/>
          </w:tcPr>
          <w:p w14:paraId="368F3633" w14:textId="77777777" w:rsidR="00FC0FE2" w:rsidRDefault="00000000">
            <w:r>
              <w:rPr>
                <w:sz w:val="16"/>
              </w:rPr>
              <w:t>Híbrido</w:t>
            </w:r>
          </w:p>
        </w:tc>
        <w:tc>
          <w:tcPr>
            <w:tcW w:w="1994" w:type="dxa"/>
            <w:vAlign w:val="center"/>
          </w:tcPr>
          <w:p w14:paraId="2F1F049E" w14:textId="77777777" w:rsidR="00FC0FE2" w:rsidRDefault="00000000">
            <w:r>
              <w:rPr>
                <w:sz w:val="16"/>
              </w:rPr>
              <w:t>801.62</w:t>
            </w:r>
          </w:p>
        </w:tc>
      </w:tr>
      <w:tr w:rsidR="00FC0FE2" w14:paraId="1BD8425E" w14:textId="77777777">
        <w:trPr>
          <w:jc w:val="center"/>
        </w:trPr>
        <w:tc>
          <w:tcPr>
            <w:tcW w:w="1994" w:type="dxa"/>
            <w:vAlign w:val="center"/>
          </w:tcPr>
          <w:p w14:paraId="40241957" w14:textId="77777777" w:rsidR="00FC0FE2" w:rsidRDefault="00000000">
            <w:r>
              <w:rPr>
                <w:sz w:val="16"/>
              </w:rPr>
              <w:t>4 semanas</w:t>
            </w:r>
          </w:p>
        </w:tc>
        <w:tc>
          <w:tcPr>
            <w:tcW w:w="1994" w:type="dxa"/>
            <w:vAlign w:val="center"/>
          </w:tcPr>
          <w:p w14:paraId="43ECE929" w14:textId="77777777" w:rsidR="00FC0FE2" w:rsidRDefault="00000000">
            <w:r>
              <w:rPr>
                <w:sz w:val="16"/>
              </w:rPr>
              <w:t>700.88</w:t>
            </w:r>
          </w:p>
        </w:tc>
        <w:tc>
          <w:tcPr>
            <w:tcW w:w="1994" w:type="dxa"/>
            <w:vAlign w:val="center"/>
          </w:tcPr>
          <w:p w14:paraId="72B99977" w14:textId="77777777" w:rsidR="00FC0FE2" w:rsidRDefault="00000000">
            <w:r>
              <w:rPr>
                <w:sz w:val="16"/>
              </w:rPr>
              <w:t>572.54</w:t>
            </w:r>
          </w:p>
        </w:tc>
        <w:tc>
          <w:tcPr>
            <w:tcW w:w="1994" w:type="dxa"/>
            <w:vAlign w:val="center"/>
          </w:tcPr>
          <w:p w14:paraId="554166AF" w14:textId="77777777" w:rsidR="00FC0FE2" w:rsidRDefault="00000000">
            <w:r>
              <w:rPr>
                <w:sz w:val="16"/>
              </w:rPr>
              <w:t>RF residual + ARIMA estacional</w:t>
            </w:r>
          </w:p>
        </w:tc>
        <w:tc>
          <w:tcPr>
            <w:tcW w:w="1994" w:type="dxa"/>
            <w:vAlign w:val="center"/>
          </w:tcPr>
          <w:p w14:paraId="490D3C89" w14:textId="77777777" w:rsidR="00FC0FE2" w:rsidRDefault="00000000">
            <w:r>
              <w:rPr>
                <w:sz w:val="16"/>
              </w:rPr>
              <w:t>578.95</w:t>
            </w:r>
          </w:p>
        </w:tc>
      </w:tr>
    </w:tbl>
    <w:p w14:paraId="5276C785" w14:textId="77777777" w:rsidR="00FC0FE2" w:rsidRDefault="00000000">
      <w:r>
        <w:t xml:space="preserve">A través de horizontes, el RMSE del híbrido fue 521.60, 695.41, 801.62 y 700.88 MXN, mientras que su MAE fue 386.43, 439.26, 458.80 y 572.54 MXN. La comparación con el </w:t>
      </w:r>
      <w:r>
        <w:lastRenderedPageBreak/>
        <w:t>promedio móvil de cuatro semanas y otros métodos aparece en las salidas completas, pero su disponibilidad se etiqueta por separado cuando no comparte exactamente el conjunto principal de fechas. MASE también se calculó; sus valores para el híbrido fueron 28.89, 7.94, 7.51 y 16.68. Como su escala se forma con diferencias observadas de semanas calendario consecutivas y existen huecos, debe leerse con cautela y junto a las métricas monetarias, no como una medida autónoma de éxito.</w:t>
      </w:r>
    </w:p>
    <w:p w14:paraId="52847662" w14:textId="7B5D204F" w:rsidR="00252087" w:rsidRPr="00252087" w:rsidRDefault="00252087" w:rsidP="00252087">
      <w:pPr>
        <w:spacing w:before="0" w:after="0"/>
        <w:rPr>
          <w:i/>
          <w:iCs/>
          <w:sz w:val="18"/>
          <w:szCs w:val="18"/>
        </w:rPr>
      </w:pPr>
      <w:r w:rsidRPr="00252087">
        <w:rPr>
          <w:i/>
          <w:iCs/>
          <w:sz w:val="18"/>
          <w:szCs w:val="18"/>
        </w:rPr>
        <w:t>Figura 46. Errores monetarios por modelo y horizonte en la evaluación temporal.</w:t>
      </w:r>
    </w:p>
    <w:p w14:paraId="31D11C13" w14:textId="77777777" w:rsidR="00FC0FE2" w:rsidRDefault="00000000" w:rsidP="00252087">
      <w:pPr>
        <w:spacing w:before="0"/>
        <w:jc w:val="center"/>
      </w:pPr>
      <w:r>
        <w:rPr>
          <w:noProof/>
        </w:rPr>
        <w:drawing>
          <wp:inline distT="0" distB="0" distL="0" distR="0" wp14:anchorId="24EEB2D2" wp14:editId="744EF229">
            <wp:extent cx="5669280" cy="2405631"/>
            <wp:effectExtent l="0" t="0" r="0" b="0"/>
            <wp:docPr id="1678057671" name="Picture 1678057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24"/>
                    <a:stretch>
                      <a:fillRect/>
                    </a:stretch>
                  </pic:blipFill>
                  <pic:spPr>
                    <a:xfrm>
                      <a:off x="0" y="0"/>
                      <a:ext cx="5669280" cy="2405631"/>
                    </a:xfrm>
                    <a:prstGeom prst="rect">
                      <a:avLst/>
                    </a:prstGeom>
                  </pic:spPr>
                </pic:pic>
              </a:graphicData>
            </a:graphic>
          </wp:inline>
        </w:drawing>
      </w:r>
    </w:p>
    <w:p w14:paraId="3E2EC7D0" w14:textId="7B32E041" w:rsidR="00FC0FE2" w:rsidRDefault="00000000">
      <w:pPr>
        <w:pStyle w:val="Descripcin"/>
      </w:pPr>
      <w:r>
        <w:t xml:space="preserve">Fuente: salida del </w:t>
      </w:r>
      <w:r w:rsidR="00006179" w:rsidRPr="00006179">
        <w:t>pipeline</w:t>
      </w:r>
      <w:r>
        <w:t>, corrida run_20260924T195600Z_86a6f5.</w:t>
      </w:r>
    </w:p>
    <w:p w14:paraId="23B45845" w14:textId="77777777" w:rsidR="00FC0FE2" w:rsidRDefault="00000000">
      <w:pPr>
        <w:pStyle w:val="Ttulo2"/>
      </w:pPr>
      <w:r>
        <w:t>Distribución porcentual por insumo</w:t>
      </w:r>
    </w:p>
    <w:p w14:paraId="58AB2382" w14:textId="77777777" w:rsidR="00FC0FE2" w:rsidRDefault="00000000">
      <w:r>
        <w:t>La comparación composicional no identifica un único método dominante: la participación histórica fue mejor en los horizontes uno y cuatro, y el promedio temporal ponderado en los horizontes dos y tres. Esta alternancia sugiere que la composición puede cambiar con el horizonte y que una estructura de participaciones relativamente estable no debe suponerse sin evidencia. Los promedios de error fueron calculados sobre pocas observaciones válidas, de modo que pequeñas diferencias no deben interpretarse como superioridad estable.</w:t>
      </w:r>
    </w:p>
    <w:p w14:paraId="387E2744" w14:textId="77777777" w:rsidR="00FC0FE2" w:rsidRDefault="00000000">
      <w:r>
        <w:t xml:space="preserve">La evaluación porcentual también tiene un dominio de aplicación distinto al monetario. Cuando el total elegible semanal es cero o falta captura, las participaciones no se definen o no son observables; excluir esos casos de la métrica composicional evita asignarles porcentajes </w:t>
      </w:r>
      <w:r>
        <w:lastRenderedPageBreak/>
        <w:t>artificiales, pero reduce aún más la muestra. El MAE en puntos porcentuales facilita la lectura por insumo, aunque el error entre partes está sujeto a la restricción de que las participaciones sumen cien por ciento.</w:t>
      </w:r>
    </w:p>
    <w:tbl>
      <w:tblPr>
        <w:tblStyle w:val="Tablaconcuadrcula"/>
        <w:tblW w:w="0" w:type="auto"/>
        <w:jc w:val="center"/>
        <w:tblLook w:val="04A0" w:firstRow="1" w:lastRow="0" w:firstColumn="1" w:lastColumn="0" w:noHBand="0" w:noVBand="1"/>
      </w:tblPr>
      <w:tblGrid>
        <w:gridCol w:w="2491"/>
        <w:gridCol w:w="2491"/>
        <w:gridCol w:w="2490"/>
        <w:gridCol w:w="2490"/>
      </w:tblGrid>
      <w:tr w:rsidR="00FC0FE2" w14:paraId="687B5BA6" w14:textId="77777777">
        <w:trPr>
          <w:jc w:val="center"/>
        </w:trPr>
        <w:tc>
          <w:tcPr>
            <w:tcW w:w="2493" w:type="dxa"/>
            <w:vAlign w:val="center"/>
          </w:tcPr>
          <w:p w14:paraId="5AB52AE7" w14:textId="77777777" w:rsidR="00FC0FE2" w:rsidRDefault="00000000">
            <w:r>
              <w:rPr>
                <w:b/>
                <w:sz w:val="16"/>
              </w:rPr>
              <w:t>Horizonte</w:t>
            </w:r>
          </w:p>
        </w:tc>
        <w:tc>
          <w:tcPr>
            <w:tcW w:w="2493" w:type="dxa"/>
            <w:vAlign w:val="center"/>
          </w:tcPr>
          <w:p w14:paraId="733BB988" w14:textId="77777777" w:rsidR="00FC0FE2" w:rsidRDefault="00000000">
            <w:r>
              <w:rPr>
                <w:b/>
                <w:sz w:val="16"/>
              </w:rPr>
              <w:t>Participación histórica (MAE pp)</w:t>
            </w:r>
          </w:p>
        </w:tc>
        <w:tc>
          <w:tcPr>
            <w:tcW w:w="2493" w:type="dxa"/>
            <w:vAlign w:val="center"/>
          </w:tcPr>
          <w:p w14:paraId="55497989" w14:textId="77777777" w:rsidR="00FC0FE2" w:rsidRDefault="00000000">
            <w:r>
              <w:rPr>
                <w:b/>
                <w:sz w:val="16"/>
              </w:rPr>
              <w:t>Promedio temporal ponderado (MAE pp)</w:t>
            </w:r>
          </w:p>
        </w:tc>
        <w:tc>
          <w:tcPr>
            <w:tcW w:w="2493" w:type="dxa"/>
            <w:vAlign w:val="center"/>
          </w:tcPr>
          <w:p w14:paraId="7EC86298" w14:textId="77777777" w:rsidR="00FC0FE2" w:rsidRDefault="00000000">
            <w:r>
              <w:rPr>
                <w:b/>
                <w:sz w:val="16"/>
              </w:rPr>
              <w:t>Menor error</w:t>
            </w:r>
          </w:p>
        </w:tc>
      </w:tr>
      <w:tr w:rsidR="00FC0FE2" w14:paraId="1D0804EF" w14:textId="77777777">
        <w:trPr>
          <w:jc w:val="center"/>
        </w:trPr>
        <w:tc>
          <w:tcPr>
            <w:tcW w:w="2493" w:type="dxa"/>
            <w:vAlign w:val="center"/>
          </w:tcPr>
          <w:p w14:paraId="5F77E803" w14:textId="77777777" w:rsidR="00FC0FE2" w:rsidRDefault="00000000">
            <w:r>
              <w:rPr>
                <w:sz w:val="16"/>
              </w:rPr>
              <w:t>1</w:t>
            </w:r>
          </w:p>
        </w:tc>
        <w:tc>
          <w:tcPr>
            <w:tcW w:w="2493" w:type="dxa"/>
            <w:vAlign w:val="center"/>
          </w:tcPr>
          <w:p w14:paraId="160CACD5" w14:textId="77777777" w:rsidR="00FC0FE2" w:rsidRDefault="00000000">
            <w:r>
              <w:rPr>
                <w:sz w:val="16"/>
              </w:rPr>
              <w:t>10.34</w:t>
            </w:r>
          </w:p>
        </w:tc>
        <w:tc>
          <w:tcPr>
            <w:tcW w:w="2493" w:type="dxa"/>
            <w:vAlign w:val="center"/>
          </w:tcPr>
          <w:p w14:paraId="7F4F36E0" w14:textId="77777777" w:rsidR="00FC0FE2" w:rsidRDefault="00000000">
            <w:r>
              <w:rPr>
                <w:sz w:val="16"/>
              </w:rPr>
              <w:t>11.73</w:t>
            </w:r>
          </w:p>
        </w:tc>
        <w:tc>
          <w:tcPr>
            <w:tcW w:w="2493" w:type="dxa"/>
            <w:vAlign w:val="center"/>
          </w:tcPr>
          <w:p w14:paraId="1CF924DD" w14:textId="77777777" w:rsidR="00FC0FE2" w:rsidRDefault="00000000">
            <w:r>
              <w:rPr>
                <w:sz w:val="16"/>
              </w:rPr>
              <w:t>Histórica</w:t>
            </w:r>
          </w:p>
        </w:tc>
      </w:tr>
      <w:tr w:rsidR="00FC0FE2" w14:paraId="5E1D97AF" w14:textId="77777777">
        <w:trPr>
          <w:jc w:val="center"/>
        </w:trPr>
        <w:tc>
          <w:tcPr>
            <w:tcW w:w="2493" w:type="dxa"/>
            <w:vAlign w:val="center"/>
          </w:tcPr>
          <w:p w14:paraId="57B205B6" w14:textId="77777777" w:rsidR="00FC0FE2" w:rsidRDefault="00000000">
            <w:r>
              <w:rPr>
                <w:sz w:val="16"/>
              </w:rPr>
              <w:t>2</w:t>
            </w:r>
          </w:p>
        </w:tc>
        <w:tc>
          <w:tcPr>
            <w:tcW w:w="2493" w:type="dxa"/>
            <w:vAlign w:val="center"/>
          </w:tcPr>
          <w:p w14:paraId="6391FC7E" w14:textId="77777777" w:rsidR="00FC0FE2" w:rsidRDefault="00000000">
            <w:r>
              <w:rPr>
                <w:sz w:val="16"/>
              </w:rPr>
              <w:t>7.14</w:t>
            </w:r>
          </w:p>
        </w:tc>
        <w:tc>
          <w:tcPr>
            <w:tcW w:w="2493" w:type="dxa"/>
            <w:vAlign w:val="center"/>
          </w:tcPr>
          <w:p w14:paraId="729064C2" w14:textId="77777777" w:rsidR="00FC0FE2" w:rsidRDefault="00000000">
            <w:r>
              <w:rPr>
                <w:sz w:val="16"/>
              </w:rPr>
              <w:t>6.93</w:t>
            </w:r>
          </w:p>
        </w:tc>
        <w:tc>
          <w:tcPr>
            <w:tcW w:w="2493" w:type="dxa"/>
            <w:vAlign w:val="center"/>
          </w:tcPr>
          <w:p w14:paraId="28765167" w14:textId="77777777" w:rsidR="00FC0FE2" w:rsidRDefault="00000000">
            <w:proofErr w:type="gramStart"/>
            <w:r>
              <w:rPr>
                <w:sz w:val="16"/>
              </w:rPr>
              <w:t>Temporal ponderada</w:t>
            </w:r>
            <w:proofErr w:type="gramEnd"/>
          </w:p>
        </w:tc>
      </w:tr>
      <w:tr w:rsidR="00FC0FE2" w14:paraId="1097865B" w14:textId="77777777">
        <w:trPr>
          <w:jc w:val="center"/>
        </w:trPr>
        <w:tc>
          <w:tcPr>
            <w:tcW w:w="2493" w:type="dxa"/>
            <w:vAlign w:val="center"/>
          </w:tcPr>
          <w:p w14:paraId="3051086A" w14:textId="77777777" w:rsidR="00FC0FE2" w:rsidRDefault="00000000">
            <w:r>
              <w:rPr>
                <w:sz w:val="16"/>
              </w:rPr>
              <w:t>3</w:t>
            </w:r>
          </w:p>
        </w:tc>
        <w:tc>
          <w:tcPr>
            <w:tcW w:w="2493" w:type="dxa"/>
            <w:vAlign w:val="center"/>
          </w:tcPr>
          <w:p w14:paraId="2FBC9D4E" w14:textId="77777777" w:rsidR="00FC0FE2" w:rsidRDefault="00000000">
            <w:r>
              <w:rPr>
                <w:sz w:val="16"/>
              </w:rPr>
              <w:t>10.77</w:t>
            </w:r>
          </w:p>
        </w:tc>
        <w:tc>
          <w:tcPr>
            <w:tcW w:w="2493" w:type="dxa"/>
            <w:vAlign w:val="center"/>
          </w:tcPr>
          <w:p w14:paraId="71EB8828" w14:textId="77777777" w:rsidR="00FC0FE2" w:rsidRDefault="00000000">
            <w:r>
              <w:rPr>
                <w:sz w:val="16"/>
              </w:rPr>
              <w:t>10.37</w:t>
            </w:r>
          </w:p>
        </w:tc>
        <w:tc>
          <w:tcPr>
            <w:tcW w:w="2493" w:type="dxa"/>
            <w:vAlign w:val="center"/>
          </w:tcPr>
          <w:p w14:paraId="73D36A07" w14:textId="77777777" w:rsidR="00FC0FE2" w:rsidRDefault="00000000">
            <w:proofErr w:type="gramStart"/>
            <w:r>
              <w:rPr>
                <w:sz w:val="16"/>
              </w:rPr>
              <w:t>Temporal ponderada</w:t>
            </w:r>
            <w:proofErr w:type="gramEnd"/>
          </w:p>
        </w:tc>
      </w:tr>
      <w:tr w:rsidR="00FC0FE2" w14:paraId="6534F1AD" w14:textId="77777777">
        <w:trPr>
          <w:jc w:val="center"/>
        </w:trPr>
        <w:tc>
          <w:tcPr>
            <w:tcW w:w="2493" w:type="dxa"/>
            <w:vAlign w:val="center"/>
          </w:tcPr>
          <w:p w14:paraId="200A159F" w14:textId="77777777" w:rsidR="00FC0FE2" w:rsidRDefault="00000000">
            <w:r>
              <w:rPr>
                <w:sz w:val="16"/>
              </w:rPr>
              <w:t>4</w:t>
            </w:r>
          </w:p>
        </w:tc>
        <w:tc>
          <w:tcPr>
            <w:tcW w:w="2493" w:type="dxa"/>
            <w:vAlign w:val="center"/>
          </w:tcPr>
          <w:p w14:paraId="3DEC2FF5" w14:textId="77777777" w:rsidR="00FC0FE2" w:rsidRDefault="00000000">
            <w:r>
              <w:rPr>
                <w:sz w:val="16"/>
              </w:rPr>
              <w:t>11.80</w:t>
            </w:r>
          </w:p>
        </w:tc>
        <w:tc>
          <w:tcPr>
            <w:tcW w:w="2493" w:type="dxa"/>
            <w:vAlign w:val="center"/>
          </w:tcPr>
          <w:p w14:paraId="28F89083" w14:textId="77777777" w:rsidR="00FC0FE2" w:rsidRDefault="00000000">
            <w:r>
              <w:rPr>
                <w:sz w:val="16"/>
              </w:rPr>
              <w:t>12.23</w:t>
            </w:r>
          </w:p>
        </w:tc>
        <w:tc>
          <w:tcPr>
            <w:tcW w:w="2493" w:type="dxa"/>
            <w:vAlign w:val="center"/>
          </w:tcPr>
          <w:p w14:paraId="62CCC881" w14:textId="77777777" w:rsidR="00FC0FE2" w:rsidRDefault="00000000">
            <w:r>
              <w:rPr>
                <w:sz w:val="16"/>
              </w:rPr>
              <w:t>Histórica</w:t>
            </w:r>
          </w:p>
        </w:tc>
      </w:tr>
    </w:tbl>
    <w:p w14:paraId="3B285A81" w14:textId="77777777" w:rsidR="00FC0FE2" w:rsidRDefault="00000000">
      <w:pPr>
        <w:jc w:val="center"/>
      </w:pPr>
      <w:r>
        <w:rPr>
          <w:noProof/>
        </w:rPr>
        <w:drawing>
          <wp:inline distT="0" distB="0" distL="0" distR="0" wp14:anchorId="13AD00DD" wp14:editId="6F06DC66">
            <wp:extent cx="5669280" cy="3322824"/>
            <wp:effectExtent l="0" t="0" r="0" b="0"/>
            <wp:docPr id="1678057672" name="Picture 1678057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25"/>
                    <a:stretch>
                      <a:fillRect/>
                    </a:stretch>
                  </pic:blipFill>
                  <pic:spPr>
                    <a:xfrm>
                      <a:off x="0" y="0"/>
                      <a:ext cx="5669280" cy="3322824"/>
                    </a:xfrm>
                    <a:prstGeom prst="rect">
                      <a:avLst/>
                    </a:prstGeom>
                  </pic:spPr>
                </pic:pic>
              </a:graphicData>
            </a:graphic>
          </wp:inline>
        </w:drawing>
      </w:r>
    </w:p>
    <w:p w14:paraId="1624ECD8" w14:textId="3AC943F4" w:rsidR="00FC0FE2" w:rsidRDefault="00000000">
      <w:pPr>
        <w:pStyle w:val="Descripcin"/>
      </w:pPr>
      <w:r>
        <w:t xml:space="preserve">Figura 47. Error absoluto medio de participación por insumo, comparación de métodos y horizonte. Fuente: salida del </w:t>
      </w:r>
      <w:r w:rsidR="00006179" w:rsidRPr="00006179">
        <w:t>pipeline</w:t>
      </w:r>
      <w:r>
        <w:t>, corrida run_20260924T195600Z_86a6f5.</w:t>
      </w:r>
    </w:p>
    <w:p w14:paraId="219ED61D" w14:textId="77777777" w:rsidR="00FC0FE2" w:rsidRDefault="00000000">
      <w:r>
        <w:t>En el pronóstico emitido desde el origen guardado del 4 de agosto de 2025, el total para las cuatro semanas fue de $1,855.61 MXN nominales. Las mayores asignaciones fueron HARINA (25.24%; $468.33), BASES (19.12%; $354.84), RESTO_ELEGIBLE (13.46%; $249.75) y EMPAQUE (11.43%; $212.07). La suma de importes y participaciones se reconcilió con el total. Este pronóstico es una emisión histórica reproducible de esa corrida, no una estimación vigente para el mes actual ni una orden de compra.</w:t>
      </w:r>
    </w:p>
    <w:p w14:paraId="6588E07D" w14:textId="77777777" w:rsidR="00FC0FE2" w:rsidRDefault="00000000">
      <w:pPr>
        <w:jc w:val="center"/>
      </w:pPr>
      <w:r>
        <w:rPr>
          <w:noProof/>
        </w:rPr>
        <w:lastRenderedPageBreak/>
        <w:drawing>
          <wp:inline distT="0" distB="0" distL="0" distR="0" wp14:anchorId="75422525" wp14:editId="0597F275">
            <wp:extent cx="5669280" cy="3627577"/>
            <wp:effectExtent l="0" t="0" r="0" b="0"/>
            <wp:docPr id="1678057673" name="Picture 16780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26"/>
                    <a:stretch>
                      <a:fillRect/>
                    </a:stretch>
                  </pic:blipFill>
                  <pic:spPr>
                    <a:xfrm>
                      <a:off x="0" y="0"/>
                      <a:ext cx="5669280" cy="3627577"/>
                    </a:xfrm>
                    <a:prstGeom prst="rect">
                      <a:avLst/>
                    </a:prstGeom>
                  </pic:spPr>
                </pic:pic>
              </a:graphicData>
            </a:graphic>
          </wp:inline>
        </w:drawing>
      </w:r>
    </w:p>
    <w:p w14:paraId="4F18FFF7" w14:textId="0A741E14" w:rsidR="00FC0FE2" w:rsidRDefault="00000000">
      <w:pPr>
        <w:pStyle w:val="Descripcin"/>
      </w:pPr>
      <w:r>
        <w:t xml:space="preserve">Figura 48. Composición observada y estimada en la evaluación temporal. Fuente: salida del </w:t>
      </w:r>
      <w:r w:rsidR="00006179" w:rsidRPr="00006179">
        <w:t>pipeline</w:t>
      </w:r>
      <w:r>
        <w:t>, corrida run_20260924T195600Z_86a6f5.</w:t>
      </w:r>
    </w:p>
    <w:p w14:paraId="0D20776F" w14:textId="77777777" w:rsidR="00FC0FE2" w:rsidRDefault="00000000">
      <w:pPr>
        <w:pStyle w:val="Ttulo2"/>
      </w:pPr>
      <w:r>
        <w:t>Contraste de hipótesis</w:t>
      </w:r>
    </w:p>
    <w:p w14:paraId="3192827D" w14:textId="77777777" w:rsidR="00FC0FE2" w:rsidRDefault="00000000">
      <w:r>
        <w:t>La evaluación de H1 fue clasificada como retrospectiva exploratoria. Para el importe del horizonte principal (h=1) se obtuvieron seis pares; la diferencia media reportada fue 161,798.64 MXN², calculada como el error cuadrático del último valor menos el del híbrido (un valor positivo favorece al híbrido). El procedimiento no generó intervalo por muestra insuficiente frente al mínimo inferencial configurado. Para la composición se contó con tres pares válidos; la diferencia media fue −1.39 puntos porcentuales en la pérdida (error absoluto de participación del método histórico menos el del promedio temporal ponderado, por lo que un valor negativo favorece a este último), también sin intervalo. El criterio de evidencia favorable en ambos componentes no se cumplió y el resultado se marcó como no confirmatorio. En consecuencia, con esta corrida no se aprueba H1 ni se demuestra que el híbrido mejore conjuntamente el pronóstico monetario y la distribución porcentual; tampoco se concluye equivalencia o rechazo definitivo.</w:t>
      </w:r>
    </w:p>
    <w:p w14:paraId="5CA4D2D8" w14:textId="77777777" w:rsidR="00FC0FE2" w:rsidRDefault="00000000">
      <w:r>
        <w:lastRenderedPageBreak/>
        <w:t>La Figura 49 muestra las diferencias de pérdidas para el contraste principal. La escasez de pares y la ausencia de intervalos válidos obligan a interpretar sus puntos como descriptivos, no como inferencia estadística concluyente.</w:t>
      </w:r>
    </w:p>
    <w:p w14:paraId="3A3995B7" w14:textId="77777777" w:rsidR="00FC0FE2" w:rsidRDefault="00000000">
      <w:pPr>
        <w:jc w:val="center"/>
      </w:pPr>
      <w:r>
        <w:rPr>
          <w:noProof/>
        </w:rPr>
        <w:drawing>
          <wp:inline distT="0" distB="0" distL="0" distR="0" wp14:anchorId="313D2947" wp14:editId="12655A2B">
            <wp:extent cx="5669280" cy="3440088"/>
            <wp:effectExtent l="0" t="0" r="0" b="0"/>
            <wp:docPr id="1678057674" name="Picture 167805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27"/>
                    <a:stretch>
                      <a:fillRect/>
                    </a:stretch>
                  </pic:blipFill>
                  <pic:spPr>
                    <a:xfrm>
                      <a:off x="0" y="0"/>
                      <a:ext cx="5669280" cy="3440088"/>
                    </a:xfrm>
                    <a:prstGeom prst="rect">
                      <a:avLst/>
                    </a:prstGeom>
                  </pic:spPr>
                </pic:pic>
              </a:graphicData>
            </a:graphic>
          </wp:inline>
        </w:drawing>
      </w:r>
    </w:p>
    <w:p w14:paraId="4E3160E0" w14:textId="168ED7B5" w:rsidR="00FC0FE2" w:rsidRDefault="00000000">
      <w:pPr>
        <w:pStyle w:val="Descripcin"/>
      </w:pPr>
      <w:r>
        <w:t xml:space="preserve">Figura 49. Diferencias de pérdidas pareadas para H1 en el horizonte principal. Fuente: salida del </w:t>
      </w:r>
      <w:r w:rsidR="00006179" w:rsidRPr="00006179">
        <w:t>pipeline</w:t>
      </w:r>
      <w:r>
        <w:t>, corrida run_20260924T195600Z_86a6f5.</w:t>
      </w:r>
    </w:p>
    <w:p w14:paraId="575E5195" w14:textId="77777777" w:rsidR="00FC0FE2" w:rsidRDefault="00000000">
      <w:pPr>
        <w:pStyle w:val="Ttulo2"/>
      </w:pPr>
      <w:r>
        <w:t>Alcance de los resultados</w:t>
      </w:r>
    </w:p>
    <w:p w14:paraId="586CA3A9" w14:textId="77777777" w:rsidR="00FC0FE2" w:rsidRDefault="00000000">
      <w:r>
        <w:t>La corrida demuestra que el flujo integra la limpieza y trazabilidad disponibles, produce comparaciones temporales a cuatro horizontes y genera una distribución que reconcilia con el total. En precisión, el desempeño favorable del híbrido dependió del horizonte y no dominó consistentemente a los métodos de referencia. La limitada cantidad de orígenes y de observaciones composicionales, las semanas sin captura, la imputación promedio en el tramo señalado y la falta de certificación de exhaustividad impiden generalizar el ranking o afirmar utilidad predictiva confirmatoria. La salida actual tampoco incorpora intervalos predictivos futuros.</w:t>
      </w:r>
    </w:p>
    <w:p w14:paraId="5ACF5EC3" w14:textId="77777777" w:rsidR="002D3753" w:rsidRDefault="002D3753" w:rsidP="002D3753">
      <w:pPr>
        <w:pStyle w:val="Ttulo1"/>
        <w:pageBreakBefore/>
        <w:numPr>
          <w:ilvl w:val="0"/>
          <w:numId w:val="19"/>
        </w:numPr>
      </w:pPr>
      <w:bookmarkStart w:id="136" w:name="_Toc240207801"/>
      <w:r>
        <w:lastRenderedPageBreak/>
        <w:t>DISCUSION</w:t>
      </w:r>
      <w:bookmarkEnd w:id="136"/>
    </w:p>
    <w:p w14:paraId="60734CE8" w14:textId="77777777" w:rsidR="00801477" w:rsidRDefault="00542948">
      <w:pPr>
        <w:pStyle w:val="Ttulo2"/>
        <w:spacing w:after="120" w:line="276" w:lineRule="auto"/>
      </w:pPr>
      <w:r>
        <w:t>Interpretación de los hallazgos y contraste con antecedentes</w:t>
      </w:r>
    </w:p>
    <w:p w14:paraId="425A59F7" w14:textId="77777777" w:rsidR="00801477" w:rsidRDefault="00542948" w:rsidP="008F0910">
      <w:pPr>
        <w:spacing w:after="120"/>
      </w:pPr>
      <w:r>
        <w:t>La corrida aporta evidencia empírica para comparar el híbrido con referencias, pero no muestra una ventaja uniforme del híbrido en todos los horizontes ni en los dos componentes del objetivo. El hallazgo más defendible es la dependencia del desempeño respecto del horizonte, la métrica y la disponibilidad de observaciones; por tanto, no procede describir al híbrido como superior en términos generales.</w:t>
      </w:r>
    </w:p>
    <w:p w14:paraId="1F3A31F9" w14:textId="6A25C9B4" w:rsidR="00FC0FE2" w:rsidRDefault="00000000">
      <w:r>
        <w:t>Este patrón es compatible con la evidencia amplia de M4: las combinaciones pueden lograr resultados competitivos, pero ese resultado agregado no garantiza que una combinación determinada mejore en cada serie o contexto (Makridakis et al., 2018, 2020). La M4 cubre numerosas series de dominios y frecuencias diversos, mientras que este estudio aborda importes semanales de una microempresa con huecos de captura. La comparación local debe interpretarse con sus propias condiciones y no como confirmación ni refutación directa de aquella competencia.</w:t>
      </w:r>
    </w:p>
    <w:p w14:paraId="169BDDC0" w14:textId="77777777" w:rsidR="00FC0FE2" w:rsidRDefault="00000000">
      <w:r>
        <w:t>La variación entre horizontes también concuerda con el fundamento de combinar pronósticos: la ganancia potencial depende de que los componentes aporten información complementaria y de la relación entre sus errores (Bates &amp; Granger, 1969). En esta corrida, el híbrido fue competitivo en el horizonte de tres semanas, pero no lideró el RMSE en los otros tres. La red neuronal residual tuvo menor MAE en ese mismo horizonte, aunque no menor RMSE. La divergencia entre métricas indica que la elección del criterio de precisión importa; con seis orígenes, sin embargo, no hay base suficiente para elegir un ganador robusto.</w:t>
      </w:r>
    </w:p>
    <w:p w14:paraId="7496BC61" w14:textId="77777777" w:rsidR="00FC0FE2" w:rsidRDefault="00000000">
      <w:r>
        <w:t>El resultado no contradice la motivación de Zhang (2003), quien planteó que ARIMA y una red neuronal pueden representar componentes lineales y no lineales complementarios. Sí precisa el alcance de esa motivación: la arquitectura es una hipótesis de modelado que debe validarse en los datos y horizontes concretos. En la presente evaluación no se observó una mejora consistente que permita atribuir al componente neuronal un beneficio general.</w:t>
      </w:r>
    </w:p>
    <w:p w14:paraId="55C5C6D4" w14:textId="77777777" w:rsidR="00FC0FE2" w:rsidRDefault="00000000">
      <w:r>
        <w:lastRenderedPageBreak/>
        <w:t>Las ventas se incorporaron como información histórica disponible mediante rezagos, pero esta corrida no incluyó un experimento de ablación controlado que compare el mismo procedimiento con y sin ventas. Por ello, no se puede atribuir a las ventas una reducción específica del error ni afirmar que expliquen por sí solas las compras. Su aporte sigue siendo una pregunta empírica para una comparación dedicada.</w:t>
      </w:r>
    </w:p>
    <w:p w14:paraId="1F699AF2" w14:textId="77777777" w:rsidR="00FC0FE2" w:rsidRDefault="00000000">
      <w:r>
        <w:t>En relación con los objetivos, se construyó y caracterizó el panel semanal con las fuentes disponibles; se implementaron los componentes estadísticos, de aprendizaje automático y sus integraciones; se estimó la distribución porcentual y se contrastaron ambos procedimientos con referencias mediante evaluación temporal. El cumplimiento es, no obstante, exploratorio: la precisión observada no demuestra que el procedimiento responda con fiabilidad confirmatoria a la pregunta de investigación.</w:t>
      </w:r>
    </w:p>
    <w:p w14:paraId="3169E6EB" w14:textId="77777777" w:rsidR="00801477" w:rsidRDefault="00542948" w:rsidP="008F0910">
      <w:pPr>
        <w:spacing w:after="120"/>
      </w:pPr>
      <w:r>
        <w:t>La selección interna produjo una combinación distinta para cada horizonte, lo que refleja que la utilidad de cada componente depende del plazo evaluado. Como la selección se hizo con cinco orígenes, esas configuraciones son candidatos empíricos del procedimiento, no arquitecturas universalmente óptimas ni evidencia independiente de que la complejidad adicional mejore el pronóstico.</w:t>
      </w:r>
    </w:p>
    <w:p w14:paraId="46CC9745" w14:textId="77777777" w:rsidR="00801477" w:rsidRDefault="00542948">
      <w:pPr>
        <w:pStyle w:val="Ttulo2"/>
        <w:spacing w:after="120" w:line="276" w:lineRule="auto"/>
      </w:pPr>
      <w:bookmarkStart w:id="137" w:name="_Toc240207803"/>
      <w:r>
        <w:rPr>
          <w:b w:val="0"/>
        </w:rPr>
        <w:t>Demanda intermitente y selección de métricas</w:t>
      </w:r>
      <w:bookmarkEnd w:id="137"/>
    </w:p>
    <w:p w14:paraId="31D3FA00" w14:textId="77777777" w:rsidR="00801477" w:rsidRDefault="00542948" w:rsidP="008F0910">
      <w:pPr>
        <w:spacing w:after="120"/>
      </w:pPr>
      <w:r>
        <w:t>La métrica monetaria incluyó los importes cero registrados como valores del objetivo. En cambio, las participaciones no se definieron cuando el total elegible fue cero o faltó observación válida; esos casos no aportan un porcentaje interpretable y su exclusión se refleja en el reducido número de pares composicionales.</w:t>
      </w:r>
    </w:p>
    <w:p w14:paraId="2C2A93DD" w14:textId="77777777" w:rsidR="00801477" w:rsidRDefault="00542948">
      <w:pPr>
        <w:pStyle w:val="Ttulo2"/>
        <w:spacing w:after="120" w:line="276" w:lineRule="auto"/>
      </w:pPr>
      <w:bookmarkStart w:id="138" w:name="_Toc240207804"/>
      <w:r>
        <w:rPr>
          <w:b w:val="0"/>
        </w:rPr>
        <w:t>Implicaciones operativas y financieras</w:t>
      </w:r>
      <w:bookmarkEnd w:id="138"/>
    </w:p>
    <w:p w14:paraId="78775229" w14:textId="77777777" w:rsidR="00801477" w:rsidRDefault="00542948" w:rsidP="008F0910">
      <w:pPr>
        <w:spacing w:after="120"/>
      </w:pPr>
      <w:r>
        <w:t xml:space="preserve">Para la planeación presupuestaria, el procedimiento ofrece una estructura reproducible que distribuye un total pronosticado entre insumos y conserva la conciliación aritmética. Esta coherencia es una condición útil para presentar escenarios, pero no equivale a precisión ni garantiza que el monto cubra las compras reales. La magnitud de los errores monetarios frente </w:t>
      </w:r>
      <w:r>
        <w:lastRenderedPageBreak/>
        <w:t>a los importes semanales observados aconseja utilizar la salida como referencia revisable, no como presupuesto autorizado automáticamente.</w:t>
      </w:r>
    </w:p>
    <w:p w14:paraId="1497D6AC" w14:textId="77777777" w:rsidR="00FC0FE2" w:rsidRDefault="00000000">
      <w:r>
        <w:t>Además, el pronóstico de cuatro semanas presentado en Resultados corresponde a un origen histórico de agosto de 2025. Su valor ilustra el formato de asignación producido por la corrida, pero no debe usarse para decidir compras en 2026. Una aplicación operativa requiere actualizar datos, cobertura y fecha de emisión, y volver a ejecutar el flujo; actualmente no se reportan intervalos predictivos futuros que cuantifiquen la incertidumbre de cada asignación.</w:t>
      </w:r>
    </w:p>
    <w:p w14:paraId="20134DFE" w14:textId="77777777" w:rsidR="00801477" w:rsidRDefault="00542948">
      <w:pPr>
        <w:pStyle w:val="Ttulo2"/>
        <w:spacing w:after="120" w:line="276" w:lineRule="auto"/>
      </w:pPr>
      <w:bookmarkStart w:id="139" w:name="_Toc240207805"/>
      <w:r>
        <w:rPr>
          <w:b w:val="0"/>
        </w:rPr>
        <w:t>Validez y limitaciones</w:t>
      </w:r>
      <w:bookmarkEnd w:id="139"/>
    </w:p>
    <w:p w14:paraId="1FA3C405" w14:textId="77777777" w:rsidR="00801477" w:rsidRDefault="00542948" w:rsidP="008F0910">
      <w:pPr>
        <w:spacing w:after="120"/>
      </w:pPr>
      <w:r>
        <w:t>La interpretación está condicionada por el tamaño efectivo de la evaluación: seis orígenes por horizonte y entre tres y cinco observaciones válidas por horizonte para la composición. La prueba estacional anual tuvo menos casos por falta de rezagos observados; su rendimiento no es directamente comparable con el de los modelos evaluados en todos los orígenes. Asimismo, la escala de MASE se calculó con diferencias de semanas consecutivas observadas, por lo que los huecos del calendario afectan su lectura.</w:t>
      </w:r>
    </w:p>
    <w:p w14:paraId="68A3B6E0" w14:textId="77777777" w:rsidR="00FC0FE2" w:rsidRDefault="00000000">
      <w:r>
        <w:t>La imputación por promedio simple de 29 semanas de compras en el periodo especificado amplía la serie disponible, pero introduce valores estimados que suavizan la variabilidad y no reemplazan comprobantes faltantes. Aunque se mantuvieron separados de las observaciones originales, esta decisión forma parte del contexto de los resultados. La falta de certificación de captura exhaustiva impide asegurar que el objetivo represente la totalidad de las compras de cada semana; las conclusiones corresponden a importes registrados utilizables y a las categorías incluidas.</w:t>
      </w:r>
    </w:p>
    <w:p w14:paraId="6BAB9F04" w14:textId="77777777" w:rsidR="00FC0FE2" w:rsidRDefault="00000000">
      <w:r>
        <w:t xml:space="preserve">El diseño temporal reduce el riesgo de usar información futura para ajustar los modelos, pero la selección interna con cinco orígenes y la evaluación externa con pocos casos dejan incertidumbre sobre la estabilidad de las diferencias. El </w:t>
      </w:r>
      <w:r w:rsidRPr="00006179">
        <w:rPr>
          <w:i/>
          <w:iCs/>
        </w:rPr>
        <w:t>bootstrap</w:t>
      </w:r>
      <w:r>
        <w:t xml:space="preserve"> configurado no produjo intervalos para H1 porque la muestra no alcanzó el mínimo fijado. Por ello, el resultado es no confirmatorio: no respalda la superioridad conjunta del híbrido, pero tampoco demuestra equivalencia ni permite un rechazo definitivo de la hipótesis.</w:t>
      </w:r>
    </w:p>
    <w:p w14:paraId="32004F05" w14:textId="77777777" w:rsidR="00FC0FE2" w:rsidRDefault="00000000">
      <w:r>
        <w:lastRenderedPageBreak/>
        <w:t>Finalmente, la evidencia se limita a este caso, al periodo y a las fuentes examinadas. Una evaluación posterior deberá conservar un bloque final independiente, ampliar la captura de compras, comparar explícitamente la contribución incremental de ventas y otros predictores disponibles, y estimar intervalos predictivos antes de proponer un uso presupuestario más exigente.</w:t>
      </w:r>
    </w:p>
    <w:p w14:paraId="50E44251" w14:textId="77777777" w:rsidR="002D3753" w:rsidRDefault="002D3753" w:rsidP="002D3753">
      <w:pPr>
        <w:pStyle w:val="Ttulo1"/>
        <w:pageBreakBefore/>
        <w:numPr>
          <w:ilvl w:val="0"/>
          <w:numId w:val="19"/>
        </w:numPr>
      </w:pPr>
      <w:bookmarkStart w:id="140" w:name="_Toc240207806"/>
      <w:r>
        <w:lastRenderedPageBreak/>
        <w:t>CONCLUSIONES</w:t>
      </w:r>
      <w:bookmarkEnd w:id="140"/>
    </w:p>
    <w:p w14:paraId="5FD0EC8C" w14:textId="74EF488B" w:rsidR="00801477" w:rsidRDefault="00542948" w:rsidP="008F0910">
      <w:pPr>
        <w:spacing w:after="120"/>
      </w:pPr>
      <w:r>
        <w:t xml:space="preserve">La corrida evaluada muestra que el </w:t>
      </w:r>
      <w:r w:rsidR="00006179" w:rsidRPr="00006179">
        <w:rPr>
          <w:i/>
        </w:rPr>
        <w:t>pipeline</w:t>
      </w:r>
      <w:r>
        <w:t xml:space="preserve"> puede integrar compras, ventas y variables de calendario, generar pronósticos semanales de uno a cuatro pasos y distribuir el importe entre insumos con conciliación aritmética. Sin embargo, el híbrido no obtuvo el menor error en todos los horizontes: entre los comparadores principales, alcanzó el menor RMSE únicamente a tres semanas. Por tanto, la investigación no demuestra una ventaja general del modelo híbrido; la respuesta depende del horizonte y de la métrica.</w:t>
      </w:r>
    </w:p>
    <w:p w14:paraId="6D0FAFDE" w14:textId="77777777" w:rsidR="00801477" w:rsidRDefault="00542948" w:rsidP="008F0910">
      <w:pPr>
        <w:spacing w:after="120"/>
      </w:pPr>
      <w:r>
        <w:t>El objetivo general se cumplió en cuanto al desarrollo y a la evaluación exploratoria del procedimiento, pero no en el sentido de demostrar una mejora confirmatoria de precisión para la planeación. La validación efectiva tuvo seis orígenes monetarios por horizonte y entre tres y cinco observaciones válidas para la composición. El análisis de H1 no alcanzó el tamaño mínimo requerido para estimar intervalos; en consecuencia, no hay evidencia suficiente para afirmar que el híbrido mejore conjuntamente el importe total y su distribución porcentual. Este resultado no equivale a probar que los métodos sean iguales ni a un rechazo definitivo de H1.</w:t>
      </w:r>
    </w:p>
    <w:p w14:paraId="0DDABEE7" w14:textId="77777777" w:rsidR="00801477" w:rsidRDefault="00542948" w:rsidP="008F0910">
      <w:pPr>
        <w:spacing w:after="120"/>
      </w:pPr>
      <w:r>
        <w:t>Respecto de los objetivos específicos, se depuraron y agregaron semanalmente las fuentes disponibles y se caracterizó el panel, manteniendo identificadas 29 semanas de compras estimadas por promedio simple en el tramo establecido y conservando los huecos restantes como ausencia de captura. Se implementaron combinaciones estadísticas y de aprendizaje automático, con información histórica de ventas y calendario disponible al origen; no se aisló mediante una prueba de ablación cuánto aporta cada predictor. También se estimaron y evaluaron participaciones históricas y ponderadas en el tiempo: su desempeño alternó entre horizontes, sin un método dominante en todos ellos. Finalmente, el contraste temporal frente a referencias se completó en carácter exploratorio, condicionado por la muestra reducida y la cobertura no certificada.</w:t>
      </w:r>
    </w:p>
    <w:p w14:paraId="1BDA6316" w14:textId="77777777" w:rsidR="00FC0FE2" w:rsidRDefault="00000000">
      <w:r>
        <w:t xml:space="preserve">En términos de aplicación, la salida constituye un insumo de consulta y no una orden de compra. El pronóstico de cuatro semanas incluido en los resultados se emitió desde un origen histórico de agosto de 2025, por lo que no representa un presupuesto vigente. Para su uso </w:t>
      </w:r>
      <w:r>
        <w:lastRenderedPageBreak/>
        <w:t>operativo se requiere actualizar la ingesta, verificar la cobertura y volver a emitir el pronóstico para la fecha de decisión correspondiente.</w:t>
      </w:r>
    </w:p>
    <w:p w14:paraId="2417FB31" w14:textId="77777777" w:rsidR="00801477" w:rsidRDefault="00542948">
      <w:pPr>
        <w:pStyle w:val="Ttulo2"/>
        <w:spacing w:after="120" w:line="276" w:lineRule="auto"/>
      </w:pPr>
      <w:bookmarkStart w:id="141" w:name="_Toc240207807"/>
      <w:r>
        <w:rPr>
          <w:b w:val="0"/>
        </w:rPr>
        <w:t>Recomendaciones</w:t>
      </w:r>
      <w:bookmarkEnd w:id="141"/>
    </w:p>
    <w:p w14:paraId="470C431E" w14:textId="77777777" w:rsidR="00801477" w:rsidRDefault="00542948" w:rsidP="008F0910">
      <w:pPr>
        <w:spacing w:after="120"/>
      </w:pPr>
      <w:r>
        <w:t>Antes de emplear el procedimiento para planear compras, se recomienda completar y documentar la auditoría de cobertura, resolver discrepancias de captura y revisar las semanas completadas por promedio simple con los registros primarios disponibles. Deben mantenerse trazables las categorías excluidas y la categoría RESTO_ELEGIBLE, que concilia insumos elegibles menores y no representa OTROS. Cada emisión debe indicar fecha de corte, periodo objetivo, horizonte, supuestos y carácter nominal de los importes.</w:t>
      </w:r>
    </w:p>
    <w:p w14:paraId="3C77B834" w14:textId="77777777" w:rsidR="00FC0FE2" w:rsidRDefault="00000000">
      <w:r>
        <w:t>La comparación futura debe conservar modelos de referencia y evaluación temporal, ampliar el número de orígenes válidos y fijar de antemano un bloque independiente para la evaluación final. Se recomienda contrastar el mismo modelo con y sin rezagos de ventas y con las variables exógenas que realmente estén disponibles en cada origen; así podrá estimarse su contribución incremental sin atribuirla por inferencia. La decisión de adopción debe permanecer bajo revisión humana hasta que el desempeño y la utilidad del tablero sean comprobados con la persona responsable del abastecimiento.</w:t>
      </w:r>
    </w:p>
    <w:p w14:paraId="57E288B8" w14:textId="77777777" w:rsidR="00801477" w:rsidRDefault="00542948">
      <w:pPr>
        <w:pStyle w:val="Ttulo2"/>
        <w:spacing w:after="120" w:line="276" w:lineRule="auto"/>
      </w:pPr>
      <w:bookmarkStart w:id="142" w:name="_Toc240207808"/>
      <w:r>
        <w:rPr>
          <w:b w:val="0"/>
        </w:rPr>
        <w:t>Trabajo futuro</w:t>
      </w:r>
      <w:bookmarkEnd w:id="142"/>
    </w:p>
    <w:p w14:paraId="28A3CEEA" w14:textId="77777777" w:rsidR="00801477" w:rsidRDefault="00542948" w:rsidP="008F0910">
      <w:pPr>
        <w:spacing w:after="120"/>
      </w:pPr>
      <w:r>
        <w:t>El trabajo posterior deberá priorizar la ampliación de registros primarios de compras y ventas para reducir la proporción imputada y aumentar los periodos evaluables. Con una base más completa, será posible realizar una evaluación confirmatoria con suficientes orígenes y estimar intervalos predictivos para el importe total y las asignaciones por insumo. También será pertinente evaluar por separado el aporte de ventas, calendario y otras variables exógenas mediante experimentos de ablación temporal.</w:t>
      </w:r>
    </w:p>
    <w:p w14:paraId="2F45B935" w14:textId="77777777" w:rsidR="00FC0FE2" w:rsidRDefault="00000000">
      <w:r>
        <w:t xml:space="preserve">Una vez actualizada la fecha de corte, podrá revisarse la estabilidad de la selección por horizonte y validarse el tablero como herramienta de apoyo mediante pruebas de uso con la microempresa. Estas etapas permitirán determinar si la precisión observada es </w:t>
      </w:r>
      <w:r>
        <w:lastRenderedPageBreak/>
        <w:t>suficientemente estable y útil para complementar la planeación presupuestaria, sin presuponer un beneficio financiero antes de medirlo.</w:t>
      </w:r>
    </w:p>
    <w:p w14:paraId="20DEE3B3" w14:textId="77777777" w:rsidR="00CF0519" w:rsidRDefault="009C5AC6" w:rsidP="009C5AC6">
      <w:pPr>
        <w:pStyle w:val="Ttulo1"/>
        <w:pageBreakBefore/>
        <w:ind w:left="0" w:firstLine="0"/>
      </w:pPr>
      <w:bookmarkStart w:id="143" w:name="_Toc240207809"/>
      <w:r>
        <w:lastRenderedPageBreak/>
        <w:t>GLOSARIO</w:t>
      </w:r>
      <w:bookmarkEnd w:id="143"/>
    </w:p>
    <w:p w14:paraId="21D1FB68"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0FA69329" w14:textId="77777777" w:rsidR="00CF0519" w:rsidRDefault="00691DC4">
      <w:r>
        <w:t>Cadena de suministro: Conjunto de procesos involucrados en la producción, distribución y entrega de un producto desde su origen hasta el cliente final.</w:t>
      </w:r>
    </w:p>
    <w:p w14:paraId="04683F39" w14:textId="77777777" w:rsidR="00CF0519" w:rsidRDefault="00691DC4">
      <w:r>
        <w:t>PYMES: Pequeñas y Medianas Empresas, generalmente caracterizadas por tener un número limitado de empleados y recursos, pero con alto potencial de innovación.</w:t>
      </w:r>
    </w:p>
    <w:p w14:paraId="2E4E317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08CB9DB0"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066D100E" w14:textId="77777777" w:rsidR="00CF0519" w:rsidRDefault="009C5AC6" w:rsidP="009C5AC6">
      <w:pPr>
        <w:pStyle w:val="Ttulo1"/>
        <w:pageBreakBefore/>
      </w:pPr>
      <w:bookmarkStart w:id="144" w:name="_heading=h.rnuzw3thqt5a" w:colFirst="0" w:colLast="0"/>
      <w:bookmarkStart w:id="145" w:name="_Toc240207810"/>
      <w:bookmarkEnd w:id="144"/>
      <w:r>
        <w:lastRenderedPageBreak/>
        <w:t>REFERENCIAS</w:t>
      </w:r>
      <w:bookmarkEnd w:id="145"/>
    </w:p>
    <w:p w14:paraId="210D9585"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212DDE25" w14:textId="77777777" w:rsidR="00CF0519" w:rsidRPr="00005ADA" w:rsidRDefault="00691DC4" w:rsidP="00005ADA">
      <w:pPr>
        <w:spacing w:before="0"/>
        <w:ind w:left="851" w:hanging="851"/>
        <w:rPr>
          <w:lang w:val="en-US"/>
        </w:rPr>
      </w:pPr>
      <w:r w:rsidRPr="00954E69">
        <w:t xml:space="preserve">Abrar, M., Shahriar, M. A., &amp; Amin, A. (2024). </w:t>
      </w:r>
      <w:r w:rsidRPr="00005ADA">
        <w:rPr>
          <w:lang w:val="en-US"/>
        </w:rPr>
        <w:t xml:space="preserve">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7AFE8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326C575B"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15FFBBB" w14:textId="77777777" w:rsidR="00CF0519" w:rsidRDefault="00691DC4" w:rsidP="00005ADA">
      <w:pPr>
        <w:spacing w:before="0"/>
        <w:ind w:left="851" w:hanging="851"/>
      </w:pPr>
      <w:proofErr w:type="spellStart"/>
      <w:r w:rsidRPr="003717FD">
        <w:rPr>
          <w:lang w:val="en-US"/>
        </w:rPr>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371A9793"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1235A25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2EA0D4F2" w14:textId="77777777" w:rsidR="00CF0519" w:rsidRPr="00005ADA" w:rsidRDefault="00691DC4" w:rsidP="00005ADA">
      <w:pPr>
        <w:spacing w:before="0"/>
        <w:ind w:left="851" w:hanging="851"/>
        <w:rPr>
          <w:lang w:val="en-US"/>
        </w:rPr>
      </w:pPr>
      <w:proofErr w:type="spellStart"/>
      <w:r w:rsidRPr="00005ADA">
        <w:rPr>
          <w:lang w:val="en-US"/>
        </w:rPr>
        <w:lastRenderedPageBreak/>
        <w:t>Bergmeir</w:t>
      </w:r>
      <w:proofErr w:type="spellEnd"/>
      <w:r w:rsidRPr="00005ADA">
        <w:rPr>
          <w:lang w:val="en-US"/>
        </w:rPr>
        <w:t>, C., &amp; Benítez, J. M. (2012). On the use of cross-validation for time series predictor evaluation. Information Sciences, 191, 192-213. https://doi.org/10.1016/j.ins.2011.12.028</w:t>
      </w:r>
    </w:p>
    <w:p w14:paraId="6B160162"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E4CD9CB"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54C1485"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52BBE8A3" w14:textId="77777777" w:rsidR="00CF0519" w:rsidRPr="00005ADA" w:rsidRDefault="00691DC4" w:rsidP="00005ADA">
      <w:pPr>
        <w:spacing w:before="0"/>
        <w:ind w:left="851" w:hanging="851"/>
        <w:rPr>
          <w:lang w:val="en-US"/>
        </w:rPr>
      </w:pPr>
      <w:r w:rsidRPr="00005ADA">
        <w:rPr>
          <w:lang w:val="en-US"/>
        </w:rPr>
        <w:t xml:space="preserve">Box, G. E. P. (1976). Science and </w:t>
      </w:r>
      <w:proofErr w:type="gramStart"/>
      <w:r w:rsidRPr="00005ADA">
        <w:rPr>
          <w:lang w:val="en-US"/>
        </w:rPr>
        <w:t>statistics</w:t>
      </w:r>
      <w:proofErr w:type="gramEnd"/>
      <w:r w:rsidRPr="00005ADA">
        <w:rPr>
          <w:lang w:val="en-US"/>
        </w:rPr>
        <w:t>. Journal of the American Statistical Association, 71(356), 791–799. https://doi.org/10.1080/01621459.1976.10480949</w:t>
      </w:r>
    </w:p>
    <w:p w14:paraId="0DD8A982"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4BEB90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27043846"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67EF8E73"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w:t>
      </w:r>
      <w:proofErr w:type="gramStart"/>
      <w:r w:rsidRPr="00005ADA">
        <w:rPr>
          <w:lang w:val="en-US"/>
        </w:rPr>
        <w:t>decision making</w:t>
      </w:r>
      <w:proofErr w:type="gramEnd"/>
      <w:r w:rsidRPr="00005ADA">
        <w:rPr>
          <w:lang w:val="en-US"/>
        </w:rPr>
        <w:t xml:space="preserve"> affect firm performance? </w:t>
      </w:r>
      <w:r w:rsidRPr="003717FD">
        <w:rPr>
          <w:lang w:val="en-US"/>
        </w:rPr>
        <w:t>SSRN Electronic Journal. https://doi.org/10.2139/ssrn.1819486</w:t>
      </w:r>
    </w:p>
    <w:p w14:paraId="6C38B461" w14:textId="77777777" w:rsidR="00CF0519" w:rsidRPr="00005ADA" w:rsidRDefault="00691DC4" w:rsidP="00005ADA">
      <w:pPr>
        <w:spacing w:before="0"/>
        <w:ind w:left="851" w:hanging="851"/>
        <w:rPr>
          <w:lang w:val="en-US"/>
        </w:rPr>
      </w:pPr>
      <w:r>
        <w:lastRenderedPageBreak/>
        <w:t xml:space="preserve">Cuevas-Vargas, H., Estrada, S., &amp; Larios-Gómez, E. (2016). </w:t>
      </w:r>
      <w:r w:rsidRPr="00005ADA">
        <w:rPr>
          <w:lang w:val="en-US"/>
        </w:rPr>
        <w:t xml:space="preserve">The effects of ICTs as innovation facilitators for </w:t>
      </w:r>
      <w:proofErr w:type="gramStart"/>
      <w:r w:rsidRPr="00005ADA">
        <w:rPr>
          <w:lang w:val="en-US"/>
        </w:rPr>
        <w:t>a greater</w:t>
      </w:r>
      <w:proofErr w:type="gramEnd"/>
      <w:r w:rsidRPr="00005ADA">
        <w:rPr>
          <w:lang w:val="en-US"/>
        </w:rPr>
        <w:t xml:space="preserve"> business performance. Evidence from Mexico. Procedia Computer Science, 91, 47–56. https://doi.org/10.1016/j.procs.2016.07.040</w:t>
      </w:r>
    </w:p>
    <w:p w14:paraId="566CEEF0"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2C175736"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16798D49"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502DD4C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0947C28A"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20FED41E"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37F3C94B" w14:textId="77777777" w:rsidR="008D055D" w:rsidRPr="00146E07" w:rsidRDefault="00000000">
      <w:pPr>
        <w:spacing w:before="0" w:line="278" w:lineRule="auto"/>
        <w:ind w:left="720" w:hanging="720"/>
        <w:rPr>
          <w:lang w:val="en-US"/>
        </w:rPr>
      </w:pPr>
      <w:r>
        <w:lastRenderedPageBreak/>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pPr>
        <w:spacing w:before="0" w:line="278" w:lineRule="auto"/>
        <w:ind w:left="851" w:hanging="851"/>
      </w:pPr>
      <w:r>
        <w:t>Global Entrepreneurship Monitor. (2024). Global Entrepreneurship Monitor 2023/2024 global report: 25 years and growing. https://www.gemconsortium.org/report/51377</w:t>
      </w:r>
    </w:p>
    <w:p w14:paraId="1E7E1173"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65701C07"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18F01BAD"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w:t>
      </w:r>
      <w:proofErr w:type="gramStart"/>
      <w:r w:rsidRPr="00146E07">
        <w:rPr>
          <w:lang w:val="en-US"/>
        </w:rPr>
        <w:t>Current status</w:t>
      </w:r>
      <w:proofErr w:type="gramEnd"/>
      <w:r w:rsidRPr="00146E07">
        <w:rPr>
          <w:lang w:val="en-US"/>
        </w:rPr>
        <w:t xml:space="preserve"> and future directions. </w:t>
      </w:r>
      <w:r w:rsidRPr="00663269">
        <w:rPr>
          <w:i/>
          <w:lang w:val="en-US"/>
        </w:rPr>
        <w:t>International Journal of Forecasting, 37</w:t>
      </w:r>
      <w:r w:rsidRPr="00663269">
        <w:rPr>
          <w:lang w:val="en-US"/>
        </w:rPr>
        <w:t>(1), 388–427. https://doi.org/10.1016/j.ijforecast.2020.06.008</w:t>
      </w:r>
    </w:p>
    <w:p w14:paraId="4E627B3D" w14:textId="77777777" w:rsidR="00CF0519" w:rsidRPr="00005ADA" w:rsidRDefault="00691DC4" w:rsidP="00005ADA">
      <w:pPr>
        <w:spacing w:before="0" w:line="278" w:lineRule="auto"/>
        <w:ind w:left="851" w:hanging="851"/>
        <w:rPr>
          <w:lang w:val="en-US"/>
        </w:rPr>
      </w:pPr>
      <w:r>
        <w:rPr>
          <w:lang w:val="en-US"/>
        </w:rPr>
        <w:t>Huber, J., &amp; Stuckenschmidt, H. (2020). Daily retail demand forecasting using machine learning with emphasis on calendric special days. International Journal of Forecasting, 36(4), 1420–1438. https://doi.org/10.1016/j.ijforecast.2020.02.005</w:t>
      </w:r>
    </w:p>
    <w:p w14:paraId="331EA043"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38F700A8" w14:textId="77777777" w:rsidR="00CF0519" w:rsidRPr="00005ADA" w:rsidRDefault="00691DC4" w:rsidP="00005ADA">
      <w:pPr>
        <w:spacing w:before="0" w:line="278" w:lineRule="auto"/>
        <w:ind w:left="851" w:hanging="851"/>
        <w:rPr>
          <w:lang w:val="en-US"/>
        </w:rPr>
      </w:pPr>
      <w:r w:rsidRPr="00005ADA">
        <w:rPr>
          <w:lang w:val="en-US"/>
        </w:rPr>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76E1107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3415A2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6D2B871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182726EC"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pPr>
        <w:spacing w:before="0" w:line="278" w:lineRule="auto"/>
        <w:ind w:left="851" w:hanging="851"/>
      </w:pPr>
      <w:r>
        <w:t>Instituto Nacional de Estadística y Geografía (INEGI). (2025, 25 de junio). Estadísticas a propósito del Día de las Micro, Pequeñas y Medianas Empresas (mipymes) [Comunicado de prensa 71/25]. https://www.inegi.org.mx/contenidos/saladeprensa/aproposito/2025/EAP_MIPYMES_25.pdf</w:t>
      </w:r>
    </w:p>
    <w:p w14:paraId="310CE9A0"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576B7A50"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51402B13" w14:textId="77777777" w:rsidR="00CF0519" w:rsidRDefault="00CF0519" w:rsidP="00005ADA">
      <w:pPr>
        <w:spacing w:before="0"/>
        <w:ind w:left="851" w:hanging="851"/>
      </w:pPr>
      <w:r w:rsidRPr="00005ADA">
        <w:rPr>
          <w:lang w:val="en-US"/>
        </w:rPr>
        <w:t xml:space="preserve">Kahneman, D., &amp; Tversky, A. (1979). Prospect theory: An analysis of </w:t>
      </w:r>
      <w:proofErr w:type="gramStart"/>
      <w:r w:rsidRPr="00005ADA">
        <w:rPr>
          <w:lang w:val="en-US"/>
        </w:rPr>
        <w:t>decision</w:t>
      </w:r>
      <w:proofErr w:type="gramEnd"/>
      <w:r w:rsidRPr="00005ADA">
        <w:rPr>
          <w:lang w:val="en-US"/>
        </w:rPr>
        <w:t xml:space="preserve"> under risk. </w:t>
      </w:r>
      <w:proofErr w:type="spellStart"/>
      <w:r>
        <w:t>Econometrica</w:t>
      </w:r>
      <w:proofErr w:type="spellEnd"/>
      <w:r>
        <w:t>, 47(2), 263–291. https://doi.org/10.2307/1914185</w:t>
      </w:r>
    </w:p>
    <w:p w14:paraId="25C153D7"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4BA3414"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Kuhn, M., &amp; Johnson, K. (2013). </w:t>
      </w:r>
      <w:r w:rsidRPr="00052EAB">
        <w:rPr>
          <w:i/>
          <w:color w:val="000000"/>
          <w:lang w:val="en-US"/>
        </w:rPr>
        <w:t>Applied predictive modeling</w:t>
      </w:r>
      <w:r w:rsidRPr="00052EAB">
        <w:rPr>
          <w:color w:val="000000"/>
          <w:lang w:val="en-US"/>
        </w:rPr>
        <w:t>. Springer. https://doi.org/10.1007/978-1-4614-6849-3</w:t>
      </w:r>
    </w:p>
    <w:p w14:paraId="766C95FD" w14:textId="77777777" w:rsidR="00CF0519" w:rsidRPr="00005ADA" w:rsidRDefault="00691DC4" w:rsidP="00005ADA">
      <w:pPr>
        <w:spacing w:before="0"/>
        <w:ind w:left="851" w:hanging="851"/>
        <w:rPr>
          <w:lang w:val="en-US"/>
        </w:rPr>
      </w:pPr>
      <w:proofErr w:type="spellStart"/>
      <w:r w:rsidRPr="00562B79">
        <w:rPr>
          <w:lang w:val="en-US"/>
        </w:rPr>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(2018b). Statistical and machine learning forecasting methods: Concerns and ways forward. PLOS ONE, 13(3), e0194889. https://doi.org/10.1371/journal.pone.0194889</w:t>
      </w:r>
    </w:p>
    <w:p w14:paraId="3EC309FD" w14:textId="77777777" w:rsidR="00CF0519" w:rsidRPr="00005ADA" w:rsidRDefault="00691DC4" w:rsidP="00005ADA">
      <w:pPr>
        <w:spacing w:before="0"/>
        <w:ind w:left="851" w:hanging="851"/>
        <w:rPr>
          <w:lang w:val="en-US"/>
        </w:rPr>
      </w:pPr>
      <w:proofErr w:type="spellStart"/>
      <w:r w:rsidRPr="00562B79">
        <w:rPr>
          <w:lang w:val="en-US"/>
        </w:rPr>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(2018a). The M4 competition: Results, findings, conclusion and way forward. International Journal of Forecasting, 34(4), 802–808. https://doi.org/10.1016/j.ijforecast.2018.06.001</w:t>
      </w:r>
    </w:p>
    <w:p w14:paraId="5B630B25" w14:textId="77777777" w:rsidR="00FC0FE2" w:rsidRPr="00562B79" w:rsidRDefault="00000000">
      <w:pPr>
        <w:rPr>
          <w:lang w:val="en-US"/>
        </w:rPr>
      </w:pPr>
      <w:proofErr w:type="spellStart"/>
      <w:r w:rsidRPr="00562B79">
        <w:rPr>
          <w:lang w:val="en-US"/>
        </w:rPr>
        <w:lastRenderedPageBreak/>
        <w:t>Makridakis</w:t>
      </w:r>
      <w:proofErr w:type="spellEnd"/>
      <w:r w:rsidRPr="00562B79">
        <w:rPr>
          <w:lang w:val="en-US"/>
        </w:rPr>
        <w:t xml:space="preserve">, S., Spiliotis, E., &amp; </w:t>
      </w:r>
      <w:proofErr w:type="spellStart"/>
      <w:r w:rsidRPr="00562B79">
        <w:rPr>
          <w:lang w:val="en-US"/>
        </w:rPr>
        <w:t>Assimakopoulos</w:t>
      </w:r>
      <w:proofErr w:type="spellEnd"/>
      <w:r w:rsidRPr="00562B79">
        <w:rPr>
          <w:lang w:val="en-US"/>
        </w:rPr>
        <w:t>, V. (2020). The M4 competition: 100,000 time series and 61 forecasting methods. International Journal of Forecasting, 36(1), 54–74. https://doi.org/10.1016/j.ijforecast.2019.04.014</w:t>
      </w:r>
    </w:p>
    <w:p w14:paraId="01AF7B4A"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4196820" w14:textId="77777777" w:rsidR="00377BD8" w:rsidRPr="00954E69" w:rsidRDefault="00000000">
      <w:pPr>
        <w:spacing w:before="0"/>
        <w:ind w:left="851" w:hanging="851"/>
        <w:rPr>
          <w:lang w:val="en-US"/>
        </w:rPr>
      </w:pPr>
      <w:r w:rsidRPr="00954E69">
        <w:rPr>
          <w:lang w:val="en-US"/>
        </w:rPr>
        <w:t xml:space="preserve">Maldonado-Guzmán, G., &amp; Garza-Reyes, J. A. (2020). Eco-innovation </w:t>
      </w:r>
      <w:proofErr w:type="gramStart"/>
      <w:r w:rsidRPr="00954E69">
        <w:rPr>
          <w:lang w:val="en-US"/>
        </w:rPr>
        <w:t>practices’</w:t>
      </w:r>
      <w:proofErr w:type="gramEnd"/>
      <w:r w:rsidRPr="00954E69">
        <w:rPr>
          <w:lang w:val="en-US"/>
        </w:rPr>
        <w:t xml:space="preserve"> adoption in the automotive industry. International Journal of Innovation Science, 12(1), 80–98. https://doi.org/10.1108/IJIS-10-2019-0094</w:t>
      </w:r>
    </w:p>
    <w:p w14:paraId="1DBC6DD8"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60CEB642"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7532E40E" w14:textId="77777777" w:rsidR="00CF0519" w:rsidRPr="00005ADA" w:rsidRDefault="00691DC4" w:rsidP="00005ADA">
      <w:pPr>
        <w:spacing w:before="0"/>
        <w:ind w:left="851" w:hanging="851"/>
        <w:rPr>
          <w:lang w:val="en-US"/>
        </w:rPr>
      </w:pPr>
      <w:r>
        <w:rPr>
          <w:lang w:val="en-US"/>
        </w:rPr>
        <w:t>Mikalef, P., Krogstie, J., Pappas, I. O., &amp; Pavlou, P. A. (2020). Investigating the effects of big data analytics capabilities on firm performance: The mediating role of dynamic capabilities. Information &amp; Management, 57(2), 103169. https://doi.org/10.1016/j.im.2019.103169</w:t>
      </w:r>
    </w:p>
    <w:p w14:paraId="3C63E45F" w14:textId="77777777" w:rsidR="00CF0519" w:rsidRPr="00005ADA" w:rsidRDefault="00691DC4" w:rsidP="00005ADA">
      <w:pPr>
        <w:spacing w:before="0"/>
        <w:ind w:left="851" w:hanging="851"/>
        <w:rPr>
          <w:lang w:val="en-US"/>
        </w:rPr>
      </w:pPr>
      <w:r>
        <w:rPr>
          <w:lang w:val="en-US"/>
        </w:rPr>
        <w:t>Minniti, M., &amp; Bygrave, W. (2001). A dynamic model of entrepreneurial learning. Entrepreneurship Theory and Practice, 25(3), 5–16. https://doi.org/10.1177/104225870102500301</w:t>
      </w:r>
    </w:p>
    <w:p w14:paraId="5F3CF0F1"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FF444FD"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OECD. (2021). </w:t>
      </w:r>
      <w:r w:rsidRPr="00052EAB">
        <w:rPr>
          <w:i/>
          <w:color w:val="000000"/>
          <w:lang w:val="en-US"/>
        </w:rPr>
        <w:t>The digital transformation of SMEs</w:t>
      </w:r>
      <w:r w:rsidRPr="00052EAB">
        <w:rPr>
          <w:color w:val="000000"/>
          <w:lang w:val="en-US"/>
        </w:rPr>
        <w:t>. OECD Publishing. https://doi.org/10.1787/bdb9256a-en</w:t>
      </w:r>
    </w:p>
    <w:p w14:paraId="190765EB" w14:textId="77777777" w:rsidR="00CF0519" w:rsidRPr="00954E69" w:rsidRDefault="00691DC4" w:rsidP="00005ADA">
      <w:pPr>
        <w:spacing w:before="0"/>
        <w:ind w:left="851" w:hanging="851"/>
        <w:rPr>
          <w:lang w:val="en-US"/>
        </w:rPr>
      </w:pPr>
      <w:r w:rsidRPr="00005ADA">
        <w:rPr>
          <w:lang w:val="en-US"/>
        </w:rPr>
        <w:t xml:space="preserve">OECD. (2022). Financing growth and turning data into business: Helping SMEs scale up. </w:t>
      </w:r>
      <w:r w:rsidRPr="00954E69">
        <w:rPr>
          <w:lang w:val="en-US"/>
        </w:rPr>
        <w:t>OECD Publishing. https://doi.org/10.1787/81c738f0-en</w:t>
      </w:r>
    </w:p>
    <w:p w14:paraId="4BDDB133"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12E3E0A6"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4B2E0217"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3F1318A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784F153B"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34297071" w14:textId="77777777" w:rsidR="00CF0519" w:rsidRPr="00005ADA" w:rsidRDefault="001E7801" w:rsidP="00005ADA">
      <w:pPr>
        <w:spacing w:before="0"/>
        <w:ind w:left="851" w:hanging="851"/>
      </w:pPr>
      <w:r w:rsidRPr="001E7801">
        <w:t xml:space="preserve">Ries, E. (2017). </w:t>
      </w:r>
      <w:r w:rsidRPr="001E7801">
        <w:rPr>
          <w:i/>
          <w:iCs/>
        </w:rPr>
        <w:t xml:space="preserve">El método Lean </w:t>
      </w:r>
      <w:proofErr w:type="gramStart"/>
      <w:r w:rsidRPr="001E7801">
        <w:rPr>
          <w:i/>
          <w:iCs/>
        </w:rPr>
        <w:t>Startup</w:t>
      </w:r>
      <w:proofErr w:type="gramEnd"/>
      <w:r w:rsidRPr="001E7801">
        <w:rPr>
          <w:i/>
          <w:iCs/>
        </w:rPr>
        <w:t>: Cómo crear empresas de éxito utilizando la innovación continua</w:t>
      </w:r>
      <w:r w:rsidRPr="001E7801">
        <w:t>. Deusto.</w:t>
      </w:r>
    </w:p>
    <w:p w14:paraId="34CB7405" w14:textId="77777777" w:rsidR="00CF0519" w:rsidRPr="00005ADA" w:rsidRDefault="00691DC4" w:rsidP="00005ADA">
      <w:pPr>
        <w:spacing w:before="0"/>
        <w:ind w:left="851" w:hanging="851"/>
        <w:rPr>
          <w:lang w:val="en-US"/>
        </w:rPr>
      </w:pPr>
      <w:r>
        <w:lastRenderedPageBreak/>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7C2EBCE7"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2811E90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2245ADF"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7BF0DD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5783532A"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641A4C78"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5FF48C1B"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43AFD2F5"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xml:space="preserve">, V. (2022). Comparison of statistical and machine learning methods for daily SKU demand forecasting. </w:t>
      </w:r>
      <w:r>
        <w:rPr>
          <w:lang w:val="en-US"/>
        </w:rPr>
        <w:lastRenderedPageBreak/>
        <w:t>Operational Research, 22(3), 3037–3061. https://doi.org/10.1007/s12351-020-00605-2</w:t>
      </w:r>
    </w:p>
    <w:p>
      <w:pPr/>
      <w:r>
        <w:t>Syntetos, A. A., Boylan, J. E., &amp; Croston, J. D. (2005). On the categorization of demand patterns. Journal of the Operational Research Society, 56(5), 495–503. https://doi.org/10.1057/palgrave.jors.2601841</w:t>
      </w:r>
    </w:p>
    <w:p w14:paraId="4B3CD11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772EB2F3"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pPr>
        <w:spacing w:before="0" w:after="120" w:line="480" w:lineRule="auto"/>
        <w:ind w:left="720" w:hanging="720"/>
      </w:pPr>
      <w:r>
        <w:t>Teunter, R. H., Syntetos, A. A., &amp; Babai, M. Z. (2011). Intermittent demand: Linking forecasting to inventory obsolescence. European Journal of Operational Research, 214(3), 606–615. https://doi.org/10.1016/j.ejor.2011.05.018</w:t>
      </w:r>
    </w:p>
    <w:p w14:paraId="559412AE"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2C9D8789" w14:textId="77777777" w:rsidR="00377BD8" w:rsidRPr="00954E69" w:rsidRDefault="00000000">
      <w:pPr>
        <w:spacing w:before="0"/>
        <w:ind w:left="851" w:hanging="851"/>
        <w:rPr>
          <w:lang w:val="en-US"/>
        </w:rPr>
      </w:pPr>
      <w:r>
        <w:t xml:space="preserve">Valdez-Juárez, L. E., García-Pérez-de-Lema, D., &amp; Maldonado-Guzmán, G. (2018). </w:t>
      </w:r>
      <w:r w:rsidRPr="00954E69">
        <w:rPr>
          <w:lang w:val="en-US"/>
        </w:rPr>
        <w:t>ICT and KM, drivers of innovation and profitability in SMEs. Journal of Information &amp; Knowledge Management, 17(1), 1850007. https://doi.org/10.1142/S0219649218500077</w:t>
      </w:r>
    </w:p>
    <w:p w14:paraId="326562F2"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76919F06"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4B8EA376" w14:textId="77777777" w:rsidR="00962FA0" w:rsidRDefault="00000000">
      <w:pPr>
        <w:spacing w:before="0" w:after="120" w:line="480" w:lineRule="auto"/>
        <w:ind w:left="720" w:hanging="720"/>
        <w:jc w:val="left"/>
      </w:pPr>
      <w:r>
        <w:rPr>
          <w:color w:val="000000"/>
        </w:rPr>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3A21D07E" w14:textId="77777777" w:rsidR="00CF0519" w:rsidRDefault="00954E40" w:rsidP="00005ADA">
      <w:pPr>
        <w:spacing w:before="0"/>
        <w:ind w:left="851" w:hanging="851"/>
      </w:pPr>
      <w:r w:rsidRPr="00954E40">
        <w:lastRenderedPageBreak/>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E483775" w14:textId="77777777" w:rsidR="008A3654" w:rsidRDefault="00000000">
      <w:pPr>
        <w:pStyle w:val="Ttulo1"/>
        <w:pageBreakBefore/>
        <w:ind w:left="0" w:firstLine="0"/>
      </w:pPr>
      <w:bookmarkStart w:id="146" w:name="Anexo_Diccionario_Datos"/>
      <w:bookmarkStart w:id="147" w:name="_Toc240207811"/>
      <w:r>
        <w:lastRenderedPageBreak/>
        <w:t>Anexo A</w:t>
      </w:r>
      <w:bookmarkEnd w:id="146"/>
      <w:r>
        <w:t xml:space="preserve"> Diccionario de datos</w:t>
      </w:r>
      <w:bookmarkEnd w:id="147"/>
    </w:p>
    <w:p w14:paraId="73845A7E" w14:textId="778F6AD6" w:rsidR="008A3654" w:rsidRDefault="00000000">
      <w:r>
        <w:t xml:space="preserve">Este diccionario describe los campos de Ventas.xlsx y Compras.xlsx, hoja Hoja1, y las variables principales de entrada y preparación del </w:t>
      </w:r>
      <w:r w:rsidR="00006179" w:rsidRPr="00006179">
        <w:rPr>
          <w:i/>
        </w:rPr>
        <w:t>pipeline</w:t>
      </w:r>
      <w:r>
        <w:t xml:space="preserv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37908F8E" w14:textId="77777777" w:rsidR="008A3654" w:rsidRDefault="00000000">
      <w:pPr>
        <w:pStyle w:val="Ttulo4"/>
        <w:numPr>
          <w:ilvl w:val="3"/>
          <w:numId w:val="19"/>
        </w:numPr>
      </w:pPr>
      <w:r>
        <w:t>Reglas comunes de interpretación</w:t>
      </w:r>
    </w:p>
    <w:p w14:paraId="3FE0171F"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12E3E69E"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4C12F385"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753CE93" w14:textId="77777777">
        <w:trPr>
          <w:cantSplit/>
          <w:tblHeader/>
        </w:trPr>
        <w:tc>
          <w:tcPr>
            <w:tcW w:w="1757" w:type="dxa"/>
            <w:shd w:val="clear" w:color="auto" w:fill="D9E2F3"/>
            <w:tcMar>
              <w:top w:w="90" w:type="dxa"/>
              <w:left w:w="90" w:type="dxa"/>
              <w:bottom w:w="90" w:type="dxa"/>
              <w:right w:w="90" w:type="dxa"/>
            </w:tcMar>
            <w:vAlign w:val="center"/>
          </w:tcPr>
          <w:p w14:paraId="0E151108"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593B1FF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4C46528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0D99C73" w14:textId="77777777" w:rsidR="008A3654" w:rsidRDefault="00000000">
            <w:pPr>
              <w:spacing w:before="60" w:after="60" w:line="240" w:lineRule="auto"/>
            </w:pPr>
            <w:r>
              <w:rPr>
                <w:rFonts w:ascii="Times New Roman" w:hAnsi="Times New Roman"/>
                <w:b/>
                <w:color w:val="000000"/>
                <w:sz w:val="22"/>
              </w:rPr>
              <w:t>Uso y validación</w:t>
            </w:r>
          </w:p>
        </w:tc>
      </w:tr>
      <w:tr w:rsidR="008A3654" w14:paraId="7FE78308" w14:textId="77777777">
        <w:trPr>
          <w:cantSplit/>
        </w:trPr>
        <w:tc>
          <w:tcPr>
            <w:tcW w:w="1757" w:type="dxa"/>
            <w:tcMar>
              <w:top w:w="90" w:type="dxa"/>
              <w:left w:w="90" w:type="dxa"/>
              <w:bottom w:w="90" w:type="dxa"/>
              <w:right w:w="90" w:type="dxa"/>
            </w:tcMar>
            <w:vAlign w:val="center"/>
          </w:tcPr>
          <w:p w14:paraId="6528E5B2"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6D00C71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E286A2"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7A53E790"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41A4A3CB" w14:textId="77777777">
        <w:trPr>
          <w:cantSplit/>
        </w:trPr>
        <w:tc>
          <w:tcPr>
            <w:tcW w:w="1757" w:type="dxa"/>
            <w:tcMar>
              <w:top w:w="90" w:type="dxa"/>
              <w:left w:w="90" w:type="dxa"/>
              <w:bottom w:w="90" w:type="dxa"/>
              <w:right w:w="90" w:type="dxa"/>
            </w:tcMar>
            <w:vAlign w:val="center"/>
          </w:tcPr>
          <w:p w14:paraId="6F9AD6B2" w14:textId="77777777" w:rsidR="008A3654" w:rsidRDefault="00000000">
            <w:pPr>
              <w:spacing w:before="60" w:after="60" w:line="240" w:lineRule="auto"/>
            </w:pPr>
            <w:proofErr w:type="gramStart"/>
            <w:r>
              <w:rPr>
                <w:rFonts w:ascii="Times New Roman" w:hAnsi="Times New Roman"/>
                <w:color w:val="000000"/>
                <w:sz w:val="22"/>
              </w:rPr>
              <w:t>Status</w:t>
            </w:r>
            <w:proofErr w:type="gramEnd"/>
          </w:p>
        </w:tc>
        <w:tc>
          <w:tcPr>
            <w:tcW w:w="1417" w:type="dxa"/>
            <w:tcMar>
              <w:top w:w="90" w:type="dxa"/>
              <w:left w:w="90" w:type="dxa"/>
              <w:bottom w:w="90" w:type="dxa"/>
              <w:right w:w="90" w:type="dxa"/>
            </w:tcMar>
            <w:vAlign w:val="center"/>
          </w:tcPr>
          <w:p w14:paraId="222B5032"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2B0466F"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F8AF9F8"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17FFC41F" w14:textId="77777777">
        <w:trPr>
          <w:cantSplit/>
        </w:trPr>
        <w:tc>
          <w:tcPr>
            <w:tcW w:w="1757" w:type="dxa"/>
            <w:tcMar>
              <w:top w:w="90" w:type="dxa"/>
              <w:left w:w="90" w:type="dxa"/>
              <w:bottom w:w="90" w:type="dxa"/>
              <w:right w:w="90" w:type="dxa"/>
            </w:tcMar>
            <w:vAlign w:val="center"/>
          </w:tcPr>
          <w:p w14:paraId="642C7098"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17E86CDC"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4AA4EE24"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3450BA17"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49626DDA" w14:textId="77777777">
        <w:trPr>
          <w:cantSplit/>
        </w:trPr>
        <w:tc>
          <w:tcPr>
            <w:tcW w:w="1757" w:type="dxa"/>
            <w:tcMar>
              <w:top w:w="90" w:type="dxa"/>
              <w:left w:w="90" w:type="dxa"/>
              <w:bottom w:w="90" w:type="dxa"/>
              <w:right w:w="90" w:type="dxa"/>
            </w:tcMar>
            <w:vAlign w:val="center"/>
          </w:tcPr>
          <w:p w14:paraId="4A13A2D7"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6E5AFA2E"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33C9C04"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373A0F1C"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7661E534" w14:textId="77777777">
        <w:trPr>
          <w:cantSplit/>
        </w:trPr>
        <w:tc>
          <w:tcPr>
            <w:tcW w:w="1757" w:type="dxa"/>
            <w:tcMar>
              <w:top w:w="90" w:type="dxa"/>
              <w:left w:w="90" w:type="dxa"/>
              <w:bottom w:w="90" w:type="dxa"/>
              <w:right w:w="90" w:type="dxa"/>
            </w:tcMar>
            <w:vAlign w:val="center"/>
          </w:tcPr>
          <w:p w14:paraId="601D2560"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w:t>
            </w:r>
          </w:p>
        </w:tc>
        <w:tc>
          <w:tcPr>
            <w:tcW w:w="1417" w:type="dxa"/>
            <w:tcMar>
              <w:top w:w="90" w:type="dxa"/>
              <w:left w:w="90" w:type="dxa"/>
              <w:bottom w:w="90" w:type="dxa"/>
              <w:right w:w="90" w:type="dxa"/>
            </w:tcMar>
            <w:vAlign w:val="center"/>
          </w:tcPr>
          <w:p w14:paraId="592FC444"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1889503A" w14:textId="77777777" w:rsidR="008A3654" w:rsidRDefault="00000000">
            <w:pPr>
              <w:spacing w:before="60" w:after="60" w:line="240" w:lineRule="auto"/>
            </w:pPr>
            <w:proofErr w:type="gramStart"/>
            <w:r>
              <w:rPr>
                <w:rFonts w:ascii="Times New Roman" w:hAnsi="Times New Roman"/>
                <w:color w:val="000000"/>
                <w:sz w:val="22"/>
              </w:rPr>
              <w:t>Total</w:t>
            </w:r>
            <w:proofErr w:type="gramEnd"/>
            <w:r>
              <w:rPr>
                <w:rFonts w:ascii="Times New Roman" w:hAnsi="Times New Roman"/>
                <w:color w:val="000000"/>
                <w:sz w:val="22"/>
              </w:rPr>
              <w:t xml:space="preserve"> de ítems consignado.</w:t>
            </w:r>
          </w:p>
        </w:tc>
        <w:tc>
          <w:tcPr>
            <w:tcW w:w="3969" w:type="dxa"/>
            <w:tcMar>
              <w:top w:w="90" w:type="dxa"/>
              <w:left w:w="90" w:type="dxa"/>
              <w:bottom w:w="90" w:type="dxa"/>
              <w:right w:w="90" w:type="dxa"/>
            </w:tcMar>
            <w:vAlign w:val="center"/>
          </w:tcPr>
          <w:p w14:paraId="66D78DA5"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72729DA8" w14:textId="77777777">
        <w:trPr>
          <w:cantSplit/>
        </w:trPr>
        <w:tc>
          <w:tcPr>
            <w:tcW w:w="1757" w:type="dxa"/>
            <w:tcMar>
              <w:top w:w="90" w:type="dxa"/>
              <w:left w:w="90" w:type="dxa"/>
              <w:bottom w:w="90" w:type="dxa"/>
              <w:right w:w="90" w:type="dxa"/>
            </w:tcMar>
            <w:vAlign w:val="center"/>
          </w:tcPr>
          <w:p w14:paraId="24A2FC2B"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1BB0D64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6A189D9B"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4D633845"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3D91C913" w14:textId="77777777">
        <w:trPr>
          <w:cantSplit/>
        </w:trPr>
        <w:tc>
          <w:tcPr>
            <w:tcW w:w="1757" w:type="dxa"/>
            <w:tcMar>
              <w:top w:w="90" w:type="dxa"/>
              <w:left w:w="90" w:type="dxa"/>
              <w:bottom w:w="90" w:type="dxa"/>
              <w:right w:w="90" w:type="dxa"/>
            </w:tcMar>
            <w:vAlign w:val="center"/>
          </w:tcPr>
          <w:p w14:paraId="32173A22"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01DE6D2"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62CD02B"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103ADF36"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2A3DDE7E" w14:textId="77777777">
        <w:trPr>
          <w:cantSplit/>
        </w:trPr>
        <w:tc>
          <w:tcPr>
            <w:tcW w:w="1757" w:type="dxa"/>
            <w:tcMar>
              <w:top w:w="90" w:type="dxa"/>
              <w:left w:w="90" w:type="dxa"/>
              <w:bottom w:w="90" w:type="dxa"/>
              <w:right w:w="90" w:type="dxa"/>
            </w:tcMar>
            <w:vAlign w:val="center"/>
          </w:tcPr>
          <w:p w14:paraId="1CDBA90F"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31F15F0B"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13D8047D"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6130DA91"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47E14F45" w14:textId="77777777">
        <w:trPr>
          <w:cantSplit/>
        </w:trPr>
        <w:tc>
          <w:tcPr>
            <w:tcW w:w="1757" w:type="dxa"/>
            <w:tcMar>
              <w:top w:w="90" w:type="dxa"/>
              <w:left w:w="90" w:type="dxa"/>
              <w:bottom w:w="90" w:type="dxa"/>
              <w:right w:w="90" w:type="dxa"/>
            </w:tcMar>
            <w:vAlign w:val="center"/>
          </w:tcPr>
          <w:p w14:paraId="228D5E3E"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24653B8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5AA97D10"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332FB28B"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F844F2" w14:textId="77777777">
        <w:trPr>
          <w:cantSplit/>
        </w:trPr>
        <w:tc>
          <w:tcPr>
            <w:tcW w:w="1757" w:type="dxa"/>
            <w:tcMar>
              <w:top w:w="90" w:type="dxa"/>
              <w:left w:w="90" w:type="dxa"/>
              <w:bottom w:w="90" w:type="dxa"/>
              <w:right w:w="90" w:type="dxa"/>
            </w:tcMar>
            <w:vAlign w:val="center"/>
          </w:tcPr>
          <w:p w14:paraId="29AADC90"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1ADC59A1"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2673CC0"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1D923B4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24B5165E" w14:textId="77777777">
        <w:trPr>
          <w:cantSplit/>
        </w:trPr>
        <w:tc>
          <w:tcPr>
            <w:tcW w:w="1757" w:type="dxa"/>
            <w:tcMar>
              <w:top w:w="90" w:type="dxa"/>
              <w:left w:w="90" w:type="dxa"/>
              <w:bottom w:w="90" w:type="dxa"/>
              <w:right w:w="90" w:type="dxa"/>
            </w:tcMar>
            <w:vAlign w:val="center"/>
          </w:tcPr>
          <w:p w14:paraId="0879B5F5"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0463AC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614944F9"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52E7E124"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7BA60389" w14:textId="77777777">
        <w:trPr>
          <w:cantSplit/>
        </w:trPr>
        <w:tc>
          <w:tcPr>
            <w:tcW w:w="1757" w:type="dxa"/>
            <w:tcMar>
              <w:top w:w="90" w:type="dxa"/>
              <w:left w:w="90" w:type="dxa"/>
              <w:bottom w:w="90" w:type="dxa"/>
              <w:right w:w="90" w:type="dxa"/>
            </w:tcMar>
            <w:vAlign w:val="center"/>
          </w:tcPr>
          <w:p w14:paraId="5227EA64"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6057DACA"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257156C5"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081A7FD0"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5AED0ACC" w14:textId="77777777">
        <w:trPr>
          <w:cantSplit/>
        </w:trPr>
        <w:tc>
          <w:tcPr>
            <w:tcW w:w="1757" w:type="dxa"/>
            <w:tcMar>
              <w:top w:w="90" w:type="dxa"/>
              <w:left w:w="90" w:type="dxa"/>
              <w:bottom w:w="90" w:type="dxa"/>
              <w:right w:w="90" w:type="dxa"/>
            </w:tcMar>
            <w:vAlign w:val="center"/>
          </w:tcPr>
          <w:p w14:paraId="2AE288B8"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4FA3CEB0"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3D1997"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750BA605"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44565EA8" w14:textId="77777777">
        <w:trPr>
          <w:cantSplit/>
        </w:trPr>
        <w:tc>
          <w:tcPr>
            <w:tcW w:w="1757" w:type="dxa"/>
            <w:tcMar>
              <w:top w:w="90" w:type="dxa"/>
              <w:left w:w="90" w:type="dxa"/>
              <w:bottom w:w="90" w:type="dxa"/>
              <w:right w:w="90" w:type="dxa"/>
            </w:tcMar>
            <w:vAlign w:val="center"/>
          </w:tcPr>
          <w:p w14:paraId="52C40D0C"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46357680"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0C0FF0FB"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5A9C96E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7C84D69F" w14:textId="77777777">
        <w:trPr>
          <w:cantSplit/>
        </w:trPr>
        <w:tc>
          <w:tcPr>
            <w:tcW w:w="1757" w:type="dxa"/>
            <w:tcMar>
              <w:top w:w="90" w:type="dxa"/>
              <w:left w:w="90" w:type="dxa"/>
              <w:bottom w:w="90" w:type="dxa"/>
              <w:right w:w="90" w:type="dxa"/>
            </w:tcMar>
            <w:vAlign w:val="center"/>
          </w:tcPr>
          <w:p w14:paraId="407A3018"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2A93D320"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4173444"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093CCCAE"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79774E34" w14:textId="77777777">
        <w:trPr>
          <w:cantSplit/>
        </w:trPr>
        <w:tc>
          <w:tcPr>
            <w:tcW w:w="1757" w:type="dxa"/>
            <w:tcMar>
              <w:top w:w="90" w:type="dxa"/>
              <w:left w:w="90" w:type="dxa"/>
              <w:bottom w:w="90" w:type="dxa"/>
              <w:right w:w="90" w:type="dxa"/>
            </w:tcMar>
            <w:vAlign w:val="center"/>
          </w:tcPr>
          <w:p w14:paraId="0F2A806F"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6C8DE0BD"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19F39844"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312527DE"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5D75FAED" w14:textId="77777777">
        <w:trPr>
          <w:cantSplit/>
        </w:trPr>
        <w:tc>
          <w:tcPr>
            <w:tcW w:w="1757" w:type="dxa"/>
            <w:tcMar>
              <w:top w:w="90" w:type="dxa"/>
              <w:left w:w="90" w:type="dxa"/>
              <w:bottom w:w="90" w:type="dxa"/>
              <w:right w:w="90" w:type="dxa"/>
            </w:tcMar>
            <w:vAlign w:val="center"/>
          </w:tcPr>
          <w:p w14:paraId="710029EF"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E559835"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24BCEFC3"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7F46E2C1"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763A6794" w14:textId="77777777">
        <w:trPr>
          <w:cantSplit/>
        </w:trPr>
        <w:tc>
          <w:tcPr>
            <w:tcW w:w="1757" w:type="dxa"/>
            <w:tcMar>
              <w:top w:w="90" w:type="dxa"/>
              <w:left w:w="90" w:type="dxa"/>
              <w:bottom w:w="90" w:type="dxa"/>
              <w:right w:w="90" w:type="dxa"/>
            </w:tcMar>
            <w:vAlign w:val="center"/>
          </w:tcPr>
          <w:p w14:paraId="122836D5"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2BCC4FF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58246E4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8A67DF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018BF" w14:textId="77777777">
        <w:trPr>
          <w:cantSplit/>
        </w:trPr>
        <w:tc>
          <w:tcPr>
            <w:tcW w:w="1757" w:type="dxa"/>
            <w:tcMar>
              <w:top w:w="90" w:type="dxa"/>
              <w:left w:w="90" w:type="dxa"/>
              <w:bottom w:w="90" w:type="dxa"/>
              <w:right w:w="90" w:type="dxa"/>
            </w:tcMar>
            <w:vAlign w:val="center"/>
          </w:tcPr>
          <w:p w14:paraId="39A4A196"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BD7C50A"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1FAF10C3"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1A22D3B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55986C58" w14:textId="77777777">
        <w:trPr>
          <w:cantSplit/>
        </w:trPr>
        <w:tc>
          <w:tcPr>
            <w:tcW w:w="1757" w:type="dxa"/>
            <w:tcMar>
              <w:top w:w="90" w:type="dxa"/>
              <w:left w:w="90" w:type="dxa"/>
              <w:bottom w:w="90" w:type="dxa"/>
              <w:right w:w="90" w:type="dxa"/>
            </w:tcMar>
            <w:vAlign w:val="center"/>
          </w:tcPr>
          <w:p w14:paraId="7B62435B"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03BEF07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F1B1EF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5E7F52CD"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1310190C" w14:textId="77777777">
        <w:trPr>
          <w:cantSplit/>
        </w:trPr>
        <w:tc>
          <w:tcPr>
            <w:tcW w:w="1757" w:type="dxa"/>
            <w:tcMar>
              <w:top w:w="90" w:type="dxa"/>
              <w:left w:w="90" w:type="dxa"/>
              <w:bottom w:w="90" w:type="dxa"/>
              <w:right w:w="90" w:type="dxa"/>
            </w:tcMar>
            <w:vAlign w:val="center"/>
          </w:tcPr>
          <w:p w14:paraId="53815F0F"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25289C4A"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2200948F"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B4FE4FB"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38BA52E5" w14:textId="77777777">
        <w:trPr>
          <w:cantSplit/>
        </w:trPr>
        <w:tc>
          <w:tcPr>
            <w:tcW w:w="1757" w:type="dxa"/>
            <w:tcMar>
              <w:top w:w="90" w:type="dxa"/>
              <w:left w:w="90" w:type="dxa"/>
              <w:bottom w:w="90" w:type="dxa"/>
              <w:right w:w="90" w:type="dxa"/>
            </w:tcMar>
            <w:vAlign w:val="center"/>
          </w:tcPr>
          <w:p w14:paraId="6B9DAD1C"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1B06FD84"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76386B9E"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6D859537"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5DC923C" w14:textId="77777777">
        <w:trPr>
          <w:cantSplit/>
        </w:trPr>
        <w:tc>
          <w:tcPr>
            <w:tcW w:w="1757" w:type="dxa"/>
            <w:tcMar>
              <w:top w:w="90" w:type="dxa"/>
              <w:left w:w="90" w:type="dxa"/>
              <w:bottom w:w="90" w:type="dxa"/>
              <w:right w:w="90" w:type="dxa"/>
            </w:tcMar>
            <w:vAlign w:val="center"/>
          </w:tcPr>
          <w:p w14:paraId="5F0AF507"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42670594"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54DD829"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166A44C2"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1B93237A" w14:textId="77777777">
        <w:trPr>
          <w:cantSplit/>
        </w:trPr>
        <w:tc>
          <w:tcPr>
            <w:tcW w:w="1757" w:type="dxa"/>
            <w:tcMar>
              <w:top w:w="90" w:type="dxa"/>
              <w:left w:w="90" w:type="dxa"/>
              <w:bottom w:w="90" w:type="dxa"/>
              <w:right w:w="90" w:type="dxa"/>
            </w:tcMar>
            <w:vAlign w:val="center"/>
          </w:tcPr>
          <w:p w14:paraId="79E2AD68"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08237608"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373BF23"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A787E54"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37098897" w14:textId="77777777">
        <w:trPr>
          <w:cantSplit/>
        </w:trPr>
        <w:tc>
          <w:tcPr>
            <w:tcW w:w="1757" w:type="dxa"/>
            <w:tcMar>
              <w:top w:w="90" w:type="dxa"/>
              <w:left w:w="90" w:type="dxa"/>
              <w:bottom w:w="90" w:type="dxa"/>
              <w:right w:w="90" w:type="dxa"/>
            </w:tcMar>
            <w:vAlign w:val="center"/>
          </w:tcPr>
          <w:p w14:paraId="76C4B351"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73202CE0"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466705B"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58F12AF3"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03C9DA4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A42B02A" w14:textId="77777777">
        <w:trPr>
          <w:cantSplit/>
          <w:tblHeader/>
        </w:trPr>
        <w:tc>
          <w:tcPr>
            <w:tcW w:w="1757" w:type="dxa"/>
            <w:shd w:val="clear" w:color="auto" w:fill="D9E2F3"/>
            <w:tcMar>
              <w:top w:w="90" w:type="dxa"/>
              <w:left w:w="90" w:type="dxa"/>
              <w:bottom w:w="90" w:type="dxa"/>
              <w:right w:w="90" w:type="dxa"/>
            </w:tcMar>
            <w:vAlign w:val="center"/>
          </w:tcPr>
          <w:p w14:paraId="71C8A6D1"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9B4A0E1"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618CA271"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6B40A68F" w14:textId="77777777" w:rsidR="008A3654" w:rsidRDefault="00000000">
            <w:pPr>
              <w:spacing w:before="60" w:after="60" w:line="240" w:lineRule="auto"/>
            </w:pPr>
            <w:r>
              <w:rPr>
                <w:rFonts w:ascii="Times New Roman" w:hAnsi="Times New Roman"/>
                <w:b/>
                <w:color w:val="000000"/>
                <w:sz w:val="22"/>
              </w:rPr>
              <w:t>Uso y validación</w:t>
            </w:r>
          </w:p>
        </w:tc>
      </w:tr>
      <w:tr w:rsidR="008A3654" w14:paraId="0F89DAF4" w14:textId="77777777">
        <w:trPr>
          <w:cantSplit/>
        </w:trPr>
        <w:tc>
          <w:tcPr>
            <w:tcW w:w="1757" w:type="dxa"/>
            <w:tcMar>
              <w:top w:w="90" w:type="dxa"/>
              <w:left w:w="90" w:type="dxa"/>
              <w:bottom w:w="90" w:type="dxa"/>
              <w:right w:w="90" w:type="dxa"/>
            </w:tcMar>
            <w:vAlign w:val="center"/>
          </w:tcPr>
          <w:p w14:paraId="5B6D0A9B"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013CC3DD"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1332A9D0"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19A950B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66FBFA68" w14:textId="77777777">
        <w:trPr>
          <w:cantSplit/>
        </w:trPr>
        <w:tc>
          <w:tcPr>
            <w:tcW w:w="1757" w:type="dxa"/>
            <w:tcMar>
              <w:top w:w="90" w:type="dxa"/>
              <w:left w:w="90" w:type="dxa"/>
              <w:bottom w:w="90" w:type="dxa"/>
              <w:right w:w="90" w:type="dxa"/>
            </w:tcMar>
            <w:vAlign w:val="center"/>
          </w:tcPr>
          <w:p w14:paraId="36A17E6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6C7AD047"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3E952562"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7AC80886"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1A96ECD7" w14:textId="77777777">
        <w:trPr>
          <w:cantSplit/>
        </w:trPr>
        <w:tc>
          <w:tcPr>
            <w:tcW w:w="1757" w:type="dxa"/>
            <w:tcMar>
              <w:top w:w="90" w:type="dxa"/>
              <w:left w:w="90" w:type="dxa"/>
              <w:bottom w:w="90" w:type="dxa"/>
              <w:right w:w="90" w:type="dxa"/>
            </w:tcMar>
            <w:vAlign w:val="center"/>
          </w:tcPr>
          <w:p w14:paraId="6BC26030"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1AF10D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2CA63941"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7FEF4E2C" w14:textId="77777777" w:rsidR="008A3654" w:rsidRDefault="00000000">
            <w:pPr>
              <w:spacing w:before="60" w:after="60" w:line="240" w:lineRule="auto"/>
            </w:pPr>
            <w:r>
              <w:rPr>
                <w:rFonts w:ascii="Times New Roman" w:hAnsi="Times New Roman"/>
                <w:color w:val="000000"/>
                <w:sz w:val="22"/>
              </w:rPr>
              <w:t xml:space="preserve">Significado y </w:t>
            </w:r>
            <w:proofErr w:type="gramStart"/>
            <w:r>
              <w:rPr>
                <w:rFonts w:ascii="Times New Roman" w:hAnsi="Times New Roman"/>
                <w:color w:val="000000"/>
                <w:sz w:val="22"/>
              </w:rPr>
              <w:t>unicidad pendientes</w:t>
            </w:r>
            <w:proofErr w:type="gramEnd"/>
            <w:r>
              <w:rPr>
                <w:rFonts w:ascii="Times New Roman" w:hAnsi="Times New Roman"/>
                <w:color w:val="000000"/>
                <w:sz w:val="22"/>
              </w:rPr>
              <w:t>; no se presume clave única.</w:t>
            </w:r>
          </w:p>
        </w:tc>
      </w:tr>
      <w:tr w:rsidR="008A3654" w14:paraId="5611DA7F" w14:textId="77777777">
        <w:trPr>
          <w:cantSplit/>
        </w:trPr>
        <w:tc>
          <w:tcPr>
            <w:tcW w:w="1757" w:type="dxa"/>
            <w:tcMar>
              <w:top w:w="90" w:type="dxa"/>
              <w:left w:w="90" w:type="dxa"/>
              <w:bottom w:w="90" w:type="dxa"/>
              <w:right w:w="90" w:type="dxa"/>
            </w:tcMar>
            <w:vAlign w:val="center"/>
          </w:tcPr>
          <w:p w14:paraId="2B08BB84"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090E6E6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9AE28C8"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795F3F71"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E02EE42" w14:textId="77777777">
        <w:trPr>
          <w:cantSplit/>
        </w:trPr>
        <w:tc>
          <w:tcPr>
            <w:tcW w:w="1757" w:type="dxa"/>
            <w:tcMar>
              <w:top w:w="90" w:type="dxa"/>
              <w:left w:w="90" w:type="dxa"/>
              <w:bottom w:w="90" w:type="dxa"/>
              <w:right w:w="90" w:type="dxa"/>
            </w:tcMar>
            <w:vAlign w:val="center"/>
          </w:tcPr>
          <w:p w14:paraId="05F80B23"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17CFFEC1"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216CFF11"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D81F78E"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64AB1D04" w14:textId="77777777">
        <w:trPr>
          <w:cantSplit/>
        </w:trPr>
        <w:tc>
          <w:tcPr>
            <w:tcW w:w="1757" w:type="dxa"/>
            <w:tcMar>
              <w:top w:w="90" w:type="dxa"/>
              <w:left w:w="90" w:type="dxa"/>
              <w:bottom w:w="90" w:type="dxa"/>
              <w:right w:w="90" w:type="dxa"/>
            </w:tcMar>
            <w:vAlign w:val="center"/>
          </w:tcPr>
          <w:p w14:paraId="417B349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2E9C694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180ABE1"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4EA8B7"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4D9D9D27" w14:textId="77777777">
        <w:trPr>
          <w:cantSplit/>
        </w:trPr>
        <w:tc>
          <w:tcPr>
            <w:tcW w:w="1757" w:type="dxa"/>
            <w:tcMar>
              <w:top w:w="90" w:type="dxa"/>
              <w:left w:w="90" w:type="dxa"/>
              <w:bottom w:w="90" w:type="dxa"/>
              <w:right w:w="90" w:type="dxa"/>
            </w:tcMar>
            <w:vAlign w:val="center"/>
          </w:tcPr>
          <w:p w14:paraId="13850690"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71597795"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04D94F4"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0B581801"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5AC953EB" w14:textId="77777777">
        <w:trPr>
          <w:cantSplit/>
        </w:trPr>
        <w:tc>
          <w:tcPr>
            <w:tcW w:w="1757" w:type="dxa"/>
            <w:tcMar>
              <w:top w:w="90" w:type="dxa"/>
              <w:left w:w="90" w:type="dxa"/>
              <w:bottom w:w="90" w:type="dxa"/>
              <w:right w:w="90" w:type="dxa"/>
            </w:tcMar>
            <w:vAlign w:val="center"/>
          </w:tcPr>
          <w:p w14:paraId="32A2C340"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29293F2D"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E695B6B"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1AE4E8F2"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19EDFAB6" w14:textId="77777777">
        <w:trPr>
          <w:cantSplit/>
        </w:trPr>
        <w:tc>
          <w:tcPr>
            <w:tcW w:w="1757" w:type="dxa"/>
            <w:tcMar>
              <w:top w:w="90" w:type="dxa"/>
              <w:left w:w="90" w:type="dxa"/>
              <w:bottom w:w="90" w:type="dxa"/>
              <w:right w:w="90" w:type="dxa"/>
            </w:tcMar>
            <w:vAlign w:val="center"/>
          </w:tcPr>
          <w:p w14:paraId="78A54D9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789D7C6E"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4CBB7030"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4DCBAE63"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7AD6C77B" w14:textId="77777777">
        <w:trPr>
          <w:cantSplit/>
        </w:trPr>
        <w:tc>
          <w:tcPr>
            <w:tcW w:w="1757" w:type="dxa"/>
            <w:tcMar>
              <w:top w:w="90" w:type="dxa"/>
              <w:left w:w="90" w:type="dxa"/>
              <w:bottom w:w="90" w:type="dxa"/>
              <w:right w:w="90" w:type="dxa"/>
            </w:tcMar>
            <w:vAlign w:val="center"/>
          </w:tcPr>
          <w:p w14:paraId="59B7DD6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7DB6791C"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5C511132"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2D0D85E7"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1CAFAE59" w14:textId="0193A102" w:rsidR="008A3654" w:rsidRDefault="00000000">
      <w:pPr>
        <w:pStyle w:val="Ttulo4"/>
        <w:numPr>
          <w:ilvl w:val="3"/>
          <w:numId w:val="19"/>
        </w:numPr>
      </w:pPr>
      <w:r>
        <w:t xml:space="preserve">Variables analíticas y controles del </w:t>
      </w:r>
      <w:r w:rsidR="00006179" w:rsidRPr="00006179">
        <w:t>pipeline</w:t>
      </w:r>
    </w:p>
    <w:p w14:paraId="1AC05F21"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74E40A46" w14:textId="77777777">
        <w:trPr>
          <w:cantSplit/>
          <w:tblHeader/>
        </w:trPr>
        <w:tc>
          <w:tcPr>
            <w:tcW w:w="2154" w:type="dxa"/>
            <w:shd w:val="clear" w:color="auto" w:fill="D9E2F3"/>
            <w:tcMar>
              <w:top w:w="90" w:type="dxa"/>
              <w:left w:w="90" w:type="dxa"/>
              <w:bottom w:w="90" w:type="dxa"/>
              <w:right w:w="90" w:type="dxa"/>
            </w:tcMar>
            <w:vAlign w:val="center"/>
          </w:tcPr>
          <w:p w14:paraId="610E43D0"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7B4C5FB2"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3C002766"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6CF45815"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24CC3173" w14:textId="77777777">
        <w:trPr>
          <w:cantSplit/>
        </w:trPr>
        <w:tc>
          <w:tcPr>
            <w:tcW w:w="2154" w:type="dxa"/>
            <w:tcMar>
              <w:top w:w="90" w:type="dxa"/>
              <w:left w:w="90" w:type="dxa"/>
              <w:bottom w:w="90" w:type="dxa"/>
              <w:right w:w="90" w:type="dxa"/>
            </w:tcMar>
            <w:vAlign w:val="center"/>
          </w:tcPr>
          <w:p w14:paraId="6B6B07F4"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041D0478"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68412790"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2697B374"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03C72346" w14:textId="77777777">
        <w:trPr>
          <w:cantSplit/>
        </w:trPr>
        <w:tc>
          <w:tcPr>
            <w:tcW w:w="2154" w:type="dxa"/>
            <w:tcMar>
              <w:top w:w="90" w:type="dxa"/>
              <w:left w:w="90" w:type="dxa"/>
              <w:bottom w:w="90" w:type="dxa"/>
              <w:right w:w="90" w:type="dxa"/>
            </w:tcMar>
            <w:vAlign w:val="center"/>
          </w:tcPr>
          <w:p w14:paraId="4891C71E"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1B90A889"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79E530F"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2FE51E46"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51A8938" w14:textId="77777777">
        <w:trPr>
          <w:cantSplit/>
        </w:trPr>
        <w:tc>
          <w:tcPr>
            <w:tcW w:w="2154" w:type="dxa"/>
            <w:tcMar>
              <w:top w:w="90" w:type="dxa"/>
              <w:left w:w="90" w:type="dxa"/>
              <w:bottom w:w="90" w:type="dxa"/>
              <w:right w:w="90" w:type="dxa"/>
            </w:tcMar>
            <w:vAlign w:val="center"/>
          </w:tcPr>
          <w:p w14:paraId="09A0DE9E"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B8910F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45D9F96"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26C02A11"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14F7062A" w14:textId="77777777">
        <w:trPr>
          <w:cantSplit/>
        </w:trPr>
        <w:tc>
          <w:tcPr>
            <w:tcW w:w="2154" w:type="dxa"/>
            <w:tcMar>
              <w:top w:w="90" w:type="dxa"/>
              <w:left w:w="90" w:type="dxa"/>
              <w:bottom w:w="90" w:type="dxa"/>
              <w:right w:w="90" w:type="dxa"/>
            </w:tcMar>
            <w:vAlign w:val="center"/>
          </w:tcPr>
          <w:p w14:paraId="560F084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19BD6AF4"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12BCE058"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72F7514E"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279EF253" w14:textId="77777777">
        <w:trPr>
          <w:cantSplit/>
        </w:trPr>
        <w:tc>
          <w:tcPr>
            <w:tcW w:w="2154" w:type="dxa"/>
            <w:tcMar>
              <w:top w:w="90" w:type="dxa"/>
              <w:left w:w="90" w:type="dxa"/>
              <w:bottom w:w="90" w:type="dxa"/>
              <w:right w:w="90" w:type="dxa"/>
            </w:tcMar>
            <w:vAlign w:val="center"/>
          </w:tcPr>
          <w:p w14:paraId="63B4313A"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2D1723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081749E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007BC771"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4E81D01F" w14:textId="77777777">
        <w:trPr>
          <w:cantSplit/>
        </w:trPr>
        <w:tc>
          <w:tcPr>
            <w:tcW w:w="2154" w:type="dxa"/>
            <w:tcMar>
              <w:top w:w="90" w:type="dxa"/>
              <w:left w:w="90" w:type="dxa"/>
              <w:bottom w:w="90" w:type="dxa"/>
              <w:right w:w="90" w:type="dxa"/>
            </w:tcMar>
            <w:vAlign w:val="center"/>
          </w:tcPr>
          <w:p w14:paraId="17C31D71"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334D3B6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4EBA05D"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4E73E0BF"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66AB7AE2" w14:textId="77777777">
        <w:trPr>
          <w:cantSplit/>
        </w:trPr>
        <w:tc>
          <w:tcPr>
            <w:tcW w:w="2154" w:type="dxa"/>
            <w:tcMar>
              <w:top w:w="90" w:type="dxa"/>
              <w:left w:w="90" w:type="dxa"/>
              <w:bottom w:w="90" w:type="dxa"/>
              <w:right w:w="90" w:type="dxa"/>
            </w:tcMar>
            <w:vAlign w:val="center"/>
          </w:tcPr>
          <w:p w14:paraId="651A176A"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35013BC3"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0B5E8428"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44009D9D"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54BACD4A" w14:textId="77777777">
        <w:trPr>
          <w:cantSplit/>
        </w:trPr>
        <w:tc>
          <w:tcPr>
            <w:tcW w:w="2154" w:type="dxa"/>
            <w:tcMar>
              <w:top w:w="90" w:type="dxa"/>
              <w:left w:w="90" w:type="dxa"/>
              <w:bottom w:w="90" w:type="dxa"/>
              <w:right w:w="90" w:type="dxa"/>
            </w:tcMar>
            <w:vAlign w:val="center"/>
          </w:tcPr>
          <w:p w14:paraId="5B960AB0"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2624F2EE"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2886B00"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67DD755"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0566A14B" w14:textId="77777777">
        <w:trPr>
          <w:cantSplit/>
        </w:trPr>
        <w:tc>
          <w:tcPr>
            <w:tcW w:w="2154" w:type="dxa"/>
            <w:tcMar>
              <w:top w:w="90" w:type="dxa"/>
              <w:left w:w="90" w:type="dxa"/>
              <w:bottom w:w="90" w:type="dxa"/>
              <w:right w:w="90" w:type="dxa"/>
            </w:tcMar>
            <w:vAlign w:val="center"/>
          </w:tcPr>
          <w:p w14:paraId="1D628200"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672205FA"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F4C28B4"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47C255E9"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5ED3960A" w14:textId="77777777">
        <w:trPr>
          <w:cantSplit/>
        </w:trPr>
        <w:tc>
          <w:tcPr>
            <w:tcW w:w="2154" w:type="dxa"/>
            <w:tcMar>
              <w:top w:w="90" w:type="dxa"/>
              <w:left w:w="90" w:type="dxa"/>
              <w:bottom w:w="90" w:type="dxa"/>
              <w:right w:w="90" w:type="dxa"/>
            </w:tcMar>
            <w:vAlign w:val="center"/>
          </w:tcPr>
          <w:p w14:paraId="4D465EF6"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1FB5DD5C"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1EF9CBAB"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70073044"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3F04E8DF" w14:textId="77777777">
        <w:trPr>
          <w:cantSplit/>
        </w:trPr>
        <w:tc>
          <w:tcPr>
            <w:tcW w:w="2154" w:type="dxa"/>
            <w:tcMar>
              <w:top w:w="90" w:type="dxa"/>
              <w:left w:w="90" w:type="dxa"/>
              <w:bottom w:w="90" w:type="dxa"/>
              <w:right w:w="90" w:type="dxa"/>
            </w:tcMar>
            <w:vAlign w:val="center"/>
          </w:tcPr>
          <w:p w14:paraId="762FE8DA"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2704F0A1"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039006AA"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475C67BF"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EAE0AE7" w14:textId="77777777">
        <w:trPr>
          <w:cantSplit/>
        </w:trPr>
        <w:tc>
          <w:tcPr>
            <w:tcW w:w="2154" w:type="dxa"/>
            <w:tcMar>
              <w:top w:w="90" w:type="dxa"/>
              <w:left w:w="90" w:type="dxa"/>
              <w:bottom w:w="90" w:type="dxa"/>
              <w:right w:w="90" w:type="dxa"/>
            </w:tcMar>
            <w:vAlign w:val="center"/>
          </w:tcPr>
          <w:p w14:paraId="3A668EBA"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0B7E35A3"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03DC6D4F"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A5A20E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51278301" w14:textId="77777777">
        <w:trPr>
          <w:cantSplit/>
        </w:trPr>
        <w:tc>
          <w:tcPr>
            <w:tcW w:w="2154" w:type="dxa"/>
            <w:tcMar>
              <w:top w:w="90" w:type="dxa"/>
              <w:left w:w="90" w:type="dxa"/>
              <w:bottom w:w="90" w:type="dxa"/>
              <w:right w:w="90" w:type="dxa"/>
            </w:tcMar>
            <w:vAlign w:val="center"/>
          </w:tcPr>
          <w:p w14:paraId="65E4FB7C"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1C90AD6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7558E45D"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6E3DBA7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16C1EF3" w14:textId="77777777">
        <w:trPr>
          <w:cantSplit/>
        </w:trPr>
        <w:tc>
          <w:tcPr>
            <w:tcW w:w="2154" w:type="dxa"/>
            <w:tcMar>
              <w:top w:w="90" w:type="dxa"/>
              <w:left w:w="90" w:type="dxa"/>
              <w:bottom w:w="90" w:type="dxa"/>
              <w:right w:w="90" w:type="dxa"/>
            </w:tcMar>
            <w:vAlign w:val="center"/>
          </w:tcPr>
          <w:p w14:paraId="73D9AF7A"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012DCDA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537AD6D"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5405110E"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28CC352C" w14:textId="77777777">
        <w:trPr>
          <w:cantSplit/>
        </w:trPr>
        <w:tc>
          <w:tcPr>
            <w:tcW w:w="2154" w:type="dxa"/>
            <w:tcMar>
              <w:top w:w="90" w:type="dxa"/>
              <w:left w:w="90" w:type="dxa"/>
              <w:bottom w:w="90" w:type="dxa"/>
              <w:right w:w="90" w:type="dxa"/>
            </w:tcMar>
            <w:vAlign w:val="center"/>
          </w:tcPr>
          <w:p w14:paraId="0BEC3A7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008B3662"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7B1F097"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0067CA65"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5D273B8F" w14:textId="77777777">
        <w:trPr>
          <w:cantSplit/>
        </w:trPr>
        <w:tc>
          <w:tcPr>
            <w:tcW w:w="2154" w:type="dxa"/>
            <w:tcMar>
              <w:top w:w="90" w:type="dxa"/>
              <w:left w:w="90" w:type="dxa"/>
              <w:bottom w:w="90" w:type="dxa"/>
              <w:right w:w="90" w:type="dxa"/>
            </w:tcMar>
            <w:vAlign w:val="center"/>
          </w:tcPr>
          <w:p w14:paraId="3D20A078"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27B8E866"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7BB84B7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68353B0C"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764BD950" w14:textId="77777777">
        <w:trPr>
          <w:cantSplit/>
        </w:trPr>
        <w:tc>
          <w:tcPr>
            <w:tcW w:w="2154" w:type="dxa"/>
            <w:tcMar>
              <w:top w:w="90" w:type="dxa"/>
              <w:left w:w="90" w:type="dxa"/>
              <w:bottom w:w="90" w:type="dxa"/>
              <w:right w:w="90" w:type="dxa"/>
            </w:tcMar>
            <w:vAlign w:val="center"/>
          </w:tcPr>
          <w:p w14:paraId="4524D4FC"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310BA0F0"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2629E56A"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3052DF43"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10B91B" w14:textId="77777777">
        <w:trPr>
          <w:cantSplit/>
        </w:trPr>
        <w:tc>
          <w:tcPr>
            <w:tcW w:w="2154" w:type="dxa"/>
            <w:tcMar>
              <w:top w:w="90" w:type="dxa"/>
              <w:left w:w="90" w:type="dxa"/>
              <w:bottom w:w="90" w:type="dxa"/>
              <w:right w:w="90" w:type="dxa"/>
            </w:tcMar>
            <w:vAlign w:val="center"/>
          </w:tcPr>
          <w:p w14:paraId="56DCD94F"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7189804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430B99DC"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2F1A53E1" w14:textId="77777777" w:rsidR="008A3654" w:rsidRDefault="00000000">
            <w:pPr>
              <w:spacing w:before="60" w:after="60" w:line="240" w:lineRule="auto"/>
            </w:pPr>
            <w:r>
              <w:rPr>
                <w:rFonts w:ascii="Times New Roman" w:hAnsi="Times New Roman"/>
                <w:color w:val="000000"/>
                <w:sz w:val="22"/>
              </w:rPr>
              <w:t xml:space="preserve">Predictores; sufijo indica distancia semanal. No usar valores </w:t>
            </w:r>
            <w:proofErr w:type="gramStart"/>
            <w:r>
              <w:rPr>
                <w:rFonts w:ascii="Times New Roman" w:hAnsi="Times New Roman"/>
                <w:color w:val="000000"/>
                <w:sz w:val="22"/>
              </w:rPr>
              <w:t>objetivo futuros</w:t>
            </w:r>
            <w:proofErr w:type="gramEnd"/>
            <w:r>
              <w:rPr>
                <w:rFonts w:ascii="Times New Roman" w:hAnsi="Times New Roman"/>
                <w:color w:val="000000"/>
                <w:sz w:val="22"/>
              </w:rPr>
              <w:t>.</w:t>
            </w:r>
          </w:p>
        </w:tc>
      </w:tr>
      <w:tr w:rsidR="008A3654" w14:paraId="57CA3A3C" w14:textId="77777777">
        <w:trPr>
          <w:cantSplit/>
        </w:trPr>
        <w:tc>
          <w:tcPr>
            <w:tcW w:w="2154" w:type="dxa"/>
            <w:tcMar>
              <w:top w:w="90" w:type="dxa"/>
              <w:left w:w="90" w:type="dxa"/>
              <w:bottom w:w="90" w:type="dxa"/>
              <w:right w:w="90" w:type="dxa"/>
            </w:tcMar>
            <w:vAlign w:val="center"/>
          </w:tcPr>
          <w:p w14:paraId="3C99F688"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7993A24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FC6A7E9"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73246F2E"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61515979" w14:textId="77777777">
        <w:trPr>
          <w:cantSplit/>
        </w:trPr>
        <w:tc>
          <w:tcPr>
            <w:tcW w:w="2154" w:type="dxa"/>
            <w:tcMar>
              <w:top w:w="90" w:type="dxa"/>
              <w:left w:w="90" w:type="dxa"/>
              <w:bottom w:w="90" w:type="dxa"/>
              <w:right w:w="90" w:type="dxa"/>
            </w:tcMar>
            <w:vAlign w:val="center"/>
          </w:tcPr>
          <w:p w14:paraId="0428F9D3"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3304C7F4"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977AD3C"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5F3DCF94"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5186B7F4" w14:textId="77777777">
        <w:trPr>
          <w:cantSplit/>
        </w:trPr>
        <w:tc>
          <w:tcPr>
            <w:tcW w:w="2154" w:type="dxa"/>
            <w:tcMar>
              <w:top w:w="90" w:type="dxa"/>
              <w:left w:w="90" w:type="dxa"/>
              <w:bottom w:w="90" w:type="dxa"/>
              <w:right w:w="90" w:type="dxa"/>
            </w:tcMar>
            <w:vAlign w:val="center"/>
          </w:tcPr>
          <w:p w14:paraId="08E268B4"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70D76A86"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131E8C2C"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15F42045"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1140B3F2" w14:textId="77777777">
        <w:trPr>
          <w:cantSplit/>
        </w:trPr>
        <w:tc>
          <w:tcPr>
            <w:tcW w:w="2154" w:type="dxa"/>
            <w:tcMar>
              <w:top w:w="90" w:type="dxa"/>
              <w:left w:w="90" w:type="dxa"/>
              <w:bottom w:w="90" w:type="dxa"/>
              <w:right w:w="90" w:type="dxa"/>
            </w:tcMar>
            <w:vAlign w:val="center"/>
          </w:tcPr>
          <w:p w14:paraId="384BF105"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46A1D70"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05F83C9D"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1F3A0E3B"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1776D4FE" w14:textId="77777777">
        <w:trPr>
          <w:cantSplit/>
        </w:trPr>
        <w:tc>
          <w:tcPr>
            <w:tcW w:w="2154" w:type="dxa"/>
            <w:tcMar>
              <w:top w:w="90" w:type="dxa"/>
              <w:left w:w="90" w:type="dxa"/>
              <w:bottom w:w="90" w:type="dxa"/>
              <w:right w:w="90" w:type="dxa"/>
            </w:tcMar>
            <w:vAlign w:val="center"/>
          </w:tcPr>
          <w:p w14:paraId="7A43FB77"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1D12F90C"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7BE8FBBA"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340DFB84"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2308F7C7" w14:textId="77777777">
        <w:trPr>
          <w:cantSplit/>
        </w:trPr>
        <w:tc>
          <w:tcPr>
            <w:tcW w:w="2154" w:type="dxa"/>
            <w:tcMar>
              <w:top w:w="90" w:type="dxa"/>
              <w:left w:w="90" w:type="dxa"/>
              <w:bottom w:w="90" w:type="dxa"/>
              <w:right w:w="90" w:type="dxa"/>
            </w:tcMar>
            <w:vAlign w:val="center"/>
          </w:tcPr>
          <w:p w14:paraId="44D5C62D"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5820852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2A072EB"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10658E18"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5B95A6D" w14:textId="77777777">
        <w:trPr>
          <w:cantSplit/>
        </w:trPr>
        <w:tc>
          <w:tcPr>
            <w:tcW w:w="2154" w:type="dxa"/>
            <w:tcMar>
              <w:top w:w="90" w:type="dxa"/>
              <w:left w:w="90" w:type="dxa"/>
              <w:bottom w:w="90" w:type="dxa"/>
              <w:right w:w="90" w:type="dxa"/>
            </w:tcMar>
            <w:vAlign w:val="center"/>
          </w:tcPr>
          <w:p w14:paraId="2A164497"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335230A5"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320F0F8"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51C961CA"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17D7EC06" w14:textId="77777777">
        <w:trPr>
          <w:cantSplit/>
        </w:trPr>
        <w:tc>
          <w:tcPr>
            <w:tcW w:w="2154" w:type="dxa"/>
            <w:tcMar>
              <w:top w:w="90" w:type="dxa"/>
              <w:left w:w="90" w:type="dxa"/>
              <w:bottom w:w="90" w:type="dxa"/>
              <w:right w:w="90" w:type="dxa"/>
            </w:tcMar>
            <w:vAlign w:val="center"/>
          </w:tcPr>
          <w:p w14:paraId="22CECB7C"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2611D40"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2AC0BDA"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6D4F5760"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397D8FCF" w14:textId="77777777">
        <w:trPr>
          <w:cantSplit/>
        </w:trPr>
        <w:tc>
          <w:tcPr>
            <w:tcW w:w="2154" w:type="dxa"/>
            <w:tcMar>
              <w:top w:w="90" w:type="dxa"/>
              <w:left w:w="90" w:type="dxa"/>
              <w:bottom w:w="90" w:type="dxa"/>
              <w:right w:w="90" w:type="dxa"/>
            </w:tcMar>
            <w:vAlign w:val="center"/>
          </w:tcPr>
          <w:p w14:paraId="51865641"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29A7DEA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81624E8"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7492A980"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9492E61" w14:textId="77777777">
        <w:trPr>
          <w:cantSplit/>
        </w:trPr>
        <w:tc>
          <w:tcPr>
            <w:tcW w:w="2154" w:type="dxa"/>
            <w:tcMar>
              <w:top w:w="90" w:type="dxa"/>
              <w:left w:w="90" w:type="dxa"/>
              <w:bottom w:w="90" w:type="dxa"/>
              <w:right w:w="90" w:type="dxa"/>
            </w:tcMar>
            <w:vAlign w:val="center"/>
          </w:tcPr>
          <w:p w14:paraId="2102B8DD"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007AC6C3"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127DD77"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7167E1AA"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2A65B75D" w14:textId="77777777">
        <w:trPr>
          <w:cantSplit/>
        </w:trPr>
        <w:tc>
          <w:tcPr>
            <w:tcW w:w="2154" w:type="dxa"/>
            <w:tcMar>
              <w:top w:w="90" w:type="dxa"/>
              <w:left w:w="90" w:type="dxa"/>
              <w:bottom w:w="90" w:type="dxa"/>
              <w:right w:w="90" w:type="dxa"/>
            </w:tcMar>
            <w:vAlign w:val="center"/>
          </w:tcPr>
          <w:p w14:paraId="478514E2"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577EED2E"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3B5DD7B3"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1A28CDA3"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1FC6B8D2" w14:textId="77777777">
        <w:trPr>
          <w:cantSplit/>
        </w:trPr>
        <w:tc>
          <w:tcPr>
            <w:tcW w:w="2154" w:type="dxa"/>
            <w:tcMar>
              <w:top w:w="90" w:type="dxa"/>
              <w:left w:w="90" w:type="dxa"/>
              <w:bottom w:w="90" w:type="dxa"/>
              <w:right w:w="90" w:type="dxa"/>
            </w:tcMar>
            <w:vAlign w:val="center"/>
          </w:tcPr>
          <w:p w14:paraId="1B3839C3"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570CB28C"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D2A945B"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58A2554"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1CBAE5BD" w14:textId="77777777">
        <w:trPr>
          <w:cantSplit/>
        </w:trPr>
        <w:tc>
          <w:tcPr>
            <w:tcW w:w="2154" w:type="dxa"/>
            <w:tcMar>
              <w:top w:w="90" w:type="dxa"/>
              <w:left w:w="90" w:type="dxa"/>
              <w:bottom w:w="90" w:type="dxa"/>
              <w:right w:w="90" w:type="dxa"/>
            </w:tcMar>
            <w:vAlign w:val="center"/>
          </w:tcPr>
          <w:p w14:paraId="25AD17B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7C72E57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5EDA3CAE"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7556C470"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90C509C"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787D5F6A" w14:textId="35FBAC6B"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w:t>
      </w:r>
      <w:r w:rsidR="00006179" w:rsidRPr="00006179">
        <w:rPr>
          <w:i/>
        </w:rPr>
        <w:t>pipeline</w:t>
      </w:r>
      <w:r>
        <w:t xml:space="preserve"> y de la información histórica proporcionada sobre </w:t>
      </w:r>
      <w:proofErr w:type="spellStart"/>
      <w:r w:rsidR="00253ED1" w:rsidRPr="00253ED1">
        <w:rPr>
          <w:i/>
        </w:rP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DDBD1" w14:textId="77777777" w:rsidR="00096793" w:rsidRDefault="00096793">
      <w:pPr>
        <w:spacing w:before="0" w:after="0" w:line="240" w:lineRule="auto"/>
      </w:pPr>
      <w:r>
        <w:separator/>
      </w:r>
    </w:p>
  </w:endnote>
  <w:endnote w:type="continuationSeparator" w:id="0">
    <w:p w14:paraId="6EC213AF" w14:textId="77777777" w:rsidR="00096793" w:rsidRDefault="000967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9CFBBAD9-EABA-454B-8F7A-9511A8561F1E}"/>
  </w:font>
  <w:font w:name="Cambria">
    <w:panose1 w:val="02040503050406030204"/>
    <w:charset w:val="00"/>
    <w:family w:val="roman"/>
    <w:pitch w:val="variable"/>
    <w:sig w:usb0="E00006FF" w:usb1="420024FF" w:usb2="02000000" w:usb3="00000000" w:csb0="0000019F" w:csb1="00000000"/>
    <w:embedRegular r:id="rId2" w:fontKey="{9B90FF3C-AC64-4976-956C-CBD4925B2ED9}"/>
  </w:font>
  <w:font w:name="Cambria Math">
    <w:panose1 w:val="02040503050406030204"/>
    <w:charset w:val="00"/>
    <w:family w:val="roman"/>
    <w:pitch w:val="variable"/>
    <w:sig w:usb0="E00006FF" w:usb1="420024FF" w:usb2="02000000" w:usb3="00000000" w:csb0="0000019F" w:csb1="00000000"/>
    <w:embedRegular r:id="rId3" w:fontKey="{1A84C9FA-66F6-4870-BFCB-1B1D3E25E4FD}"/>
    <w:embedItalic r:id="rId4" w:fontKey="{9D443B54-F647-4F25-92DE-3DF07733E5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6A59"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7F43D1DD"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3DB8A4F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6F9E4FE1"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FDA4E" w14:textId="77777777" w:rsidR="00096793" w:rsidRDefault="00096793">
      <w:pPr>
        <w:spacing w:before="0" w:after="0" w:line="240" w:lineRule="auto"/>
      </w:pPr>
      <w:r>
        <w:separator/>
      </w:r>
    </w:p>
  </w:footnote>
  <w:footnote w:type="continuationSeparator" w:id="0">
    <w:p w14:paraId="2EBBBEFF" w14:textId="77777777" w:rsidR="00096793" w:rsidRDefault="0009679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BC70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TrueTypeFonts/>
  <w:proofState w:spelling="clean" w:grammar="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06179"/>
    <w:rsid w:val="0001667F"/>
    <w:rsid w:val="000238A5"/>
    <w:rsid w:val="00023ADC"/>
    <w:rsid w:val="00047522"/>
    <w:rsid w:val="00052EAB"/>
    <w:rsid w:val="000559FB"/>
    <w:rsid w:val="000645ED"/>
    <w:rsid w:val="00085A9D"/>
    <w:rsid w:val="00096793"/>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44C1C"/>
    <w:rsid w:val="00252087"/>
    <w:rsid w:val="00253ED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77BD8"/>
    <w:rsid w:val="00381C30"/>
    <w:rsid w:val="003936C7"/>
    <w:rsid w:val="003A37F6"/>
    <w:rsid w:val="003B01F2"/>
    <w:rsid w:val="003B198D"/>
    <w:rsid w:val="003C6F81"/>
    <w:rsid w:val="003E68DE"/>
    <w:rsid w:val="003E740D"/>
    <w:rsid w:val="003F2FD5"/>
    <w:rsid w:val="004026CC"/>
    <w:rsid w:val="00406888"/>
    <w:rsid w:val="004113EE"/>
    <w:rsid w:val="0041658B"/>
    <w:rsid w:val="00426562"/>
    <w:rsid w:val="00461856"/>
    <w:rsid w:val="00465A2D"/>
    <w:rsid w:val="00475E7F"/>
    <w:rsid w:val="004917BC"/>
    <w:rsid w:val="00496F77"/>
    <w:rsid w:val="004A7173"/>
    <w:rsid w:val="004B5313"/>
    <w:rsid w:val="004D68BA"/>
    <w:rsid w:val="004D7380"/>
    <w:rsid w:val="004D7F62"/>
    <w:rsid w:val="004D7F96"/>
    <w:rsid w:val="004E1148"/>
    <w:rsid w:val="004F06E2"/>
    <w:rsid w:val="004F3271"/>
    <w:rsid w:val="00503DDF"/>
    <w:rsid w:val="005142A2"/>
    <w:rsid w:val="00536D15"/>
    <w:rsid w:val="00542948"/>
    <w:rsid w:val="005542B3"/>
    <w:rsid w:val="005576C8"/>
    <w:rsid w:val="00562B79"/>
    <w:rsid w:val="0056449B"/>
    <w:rsid w:val="00577F46"/>
    <w:rsid w:val="005B3188"/>
    <w:rsid w:val="005B7CE9"/>
    <w:rsid w:val="005F285A"/>
    <w:rsid w:val="005F720F"/>
    <w:rsid w:val="00620DDC"/>
    <w:rsid w:val="0062332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C2681"/>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7F3952"/>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54E69"/>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94FDF"/>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5B8B"/>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44DD"/>
    <w:rsid w:val="00DD6BF1"/>
    <w:rsid w:val="00DF0D90"/>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 w:val="00FC0FE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3A125"/>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107</Pages>
  <Words>28120</Words>
  <Characters>154664</Characters>
  <Application>Microsoft Office Word</Application>
  <DocSecurity>0</DocSecurity>
  <Lines>1288</Lines>
  <Paragraphs>364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Cup&amp;Cake Revisión 57</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4</cp:revision>
  <cp:lastPrinted>2026-08-23T00:43:00Z</cp:lastPrinted>
  <dcterms:created xsi:type="dcterms:W3CDTF">2026-09-11T21:14:00Z</dcterms:created>
  <dcterms:modified xsi:type="dcterms:W3CDTF">2026-09-26T23:59:00Z</dcterms:modified>
</cp:coreProperties>
</file>