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3F" w:rsidRDefault="00764FD3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Pr="00764FD3">
        <w:rPr>
          <w:sz w:val="32"/>
          <w:szCs w:val="32"/>
        </w:rPr>
        <w:t>List the top 3 and bottom 3 makers for the fiscal years 2023 and 2024 in terms of the number of 2-wheelers sold.</w:t>
      </w:r>
    </w:p>
    <w:tbl>
      <w:tblPr>
        <w:tblStyle w:val="LightShading-Accent6"/>
        <w:tblW w:w="5670" w:type="dxa"/>
        <w:tblInd w:w="1384" w:type="dxa"/>
        <w:tblLook w:val="04A0"/>
      </w:tblPr>
      <w:tblGrid>
        <w:gridCol w:w="1396"/>
        <w:gridCol w:w="960"/>
        <w:gridCol w:w="2120"/>
        <w:gridCol w:w="1194"/>
      </w:tblGrid>
      <w:tr w:rsidR="00764FD3" w:rsidRPr="00764FD3" w:rsidTr="00764FD3">
        <w:trPr>
          <w:cnfStyle w:val="100000000000"/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Top3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Bottom 3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4FD3" w:rsidRPr="00764FD3" w:rsidTr="00764FD3">
        <w:trPr>
          <w:cnfStyle w:val="000000100000"/>
          <w:trHeight w:val="1440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ATHER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184473</w:t>
            </w: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BATTRE ELECTRIC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4841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OLA ELECTRIC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475072</w:t>
            </w: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JITENDRA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8563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TVS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262836</w:t>
            </w: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KINETIC GREEN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9585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64FD3" w:rsidRDefault="00764FD3">
      <w:pPr>
        <w:rPr>
          <w:sz w:val="32"/>
          <w:szCs w:val="32"/>
        </w:rPr>
      </w:pPr>
    </w:p>
    <w:p w:rsidR="00764FD3" w:rsidRDefault="00764FD3">
      <w:pPr>
        <w:rPr>
          <w:sz w:val="32"/>
          <w:szCs w:val="32"/>
        </w:rPr>
      </w:pPr>
      <w:r>
        <w:rPr>
          <w:sz w:val="32"/>
          <w:szCs w:val="32"/>
        </w:rPr>
        <w:t>Q2)</w:t>
      </w:r>
      <w:r>
        <w:t xml:space="preserve"> </w:t>
      </w:r>
      <w:r w:rsidRPr="00764FD3">
        <w:rPr>
          <w:sz w:val="32"/>
          <w:szCs w:val="32"/>
        </w:rPr>
        <w:t>Identify the top 5 states with the highest penetration rate in 2-wheeler and 4-wheeler EV sales in FY 2024.</w:t>
      </w:r>
    </w:p>
    <w:tbl>
      <w:tblPr>
        <w:tblStyle w:val="LightShading-Accent11"/>
        <w:tblW w:w="6739" w:type="dxa"/>
        <w:tblInd w:w="1101" w:type="dxa"/>
        <w:tblLook w:val="04A0"/>
      </w:tblPr>
      <w:tblGrid>
        <w:gridCol w:w="1579"/>
        <w:gridCol w:w="2300"/>
        <w:gridCol w:w="2860"/>
      </w:tblGrid>
      <w:tr w:rsidR="00764FD3" w:rsidRPr="00764FD3" w:rsidTr="00764FD3">
        <w:trPr>
          <w:cnfStyle w:val="1000000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States (Top 5)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 xml:space="preserve">Sum of </w:t>
            </w:r>
            <w:proofErr w:type="spellStart"/>
            <w:r w:rsidRPr="00764FD3">
              <w:rPr>
                <w:rFonts w:ascii="Calibri" w:eastAsia="Times New Roman" w:hAnsi="Calibri" w:cs="Calibri"/>
                <w:color w:val="000000"/>
              </w:rPr>
              <w:t>electric_vehicles_sold</w:t>
            </w:r>
            <w:proofErr w:type="spellEnd"/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Average of Penetration Rate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84359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4.272664453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160989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7.894095232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73938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27.95975517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197169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6.580636568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94314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4.356254978</w:t>
            </w:r>
          </w:p>
        </w:tc>
      </w:tr>
    </w:tbl>
    <w:p w:rsidR="00764FD3" w:rsidRDefault="00764FD3">
      <w:pPr>
        <w:rPr>
          <w:sz w:val="32"/>
          <w:szCs w:val="32"/>
        </w:rPr>
      </w:pPr>
    </w:p>
    <w:p w:rsidR="00764FD3" w:rsidRDefault="00764FD3">
      <w:pPr>
        <w:rPr>
          <w:sz w:val="32"/>
          <w:szCs w:val="32"/>
        </w:rPr>
      </w:pPr>
      <w:r>
        <w:rPr>
          <w:sz w:val="32"/>
          <w:szCs w:val="32"/>
        </w:rPr>
        <w:t>Q3)</w:t>
      </w:r>
      <w:r w:rsidRPr="00764FD3">
        <w:t xml:space="preserve"> </w:t>
      </w:r>
      <w:r>
        <w:t xml:space="preserve"> </w:t>
      </w:r>
      <w:r w:rsidRPr="00764FD3">
        <w:rPr>
          <w:sz w:val="32"/>
          <w:szCs w:val="32"/>
        </w:rPr>
        <w:t>List the states with negative penetration (decline) in EV sales from 2022 to 2024?</w:t>
      </w:r>
    </w:p>
    <w:tbl>
      <w:tblPr>
        <w:tblStyle w:val="LightShading-Accent2"/>
        <w:tblW w:w="0" w:type="auto"/>
        <w:tblLook w:val="04A0"/>
      </w:tblPr>
      <w:tblGrid>
        <w:gridCol w:w="4788"/>
        <w:gridCol w:w="4788"/>
      </w:tblGrid>
      <w:tr w:rsidR="009671F5" w:rsidTr="009671F5">
        <w:trPr>
          <w:cnfStyle w:val="100000000000"/>
        </w:trPr>
        <w:tc>
          <w:tcPr>
            <w:cnfStyle w:val="001000000000"/>
            <w:tcW w:w="4788" w:type="dxa"/>
          </w:tcPr>
          <w:p w:rsidR="009671F5" w:rsidRPr="009671F5" w:rsidRDefault="009671F5" w:rsidP="009671F5">
            <w:pPr>
              <w:rPr>
                <w:rFonts w:ascii="Calibri" w:eastAsia="Times New Roman" w:hAnsi="Calibri" w:cs="Calibri"/>
                <w:color w:val="000000"/>
              </w:rPr>
            </w:pPr>
            <w:r w:rsidRPr="00574778">
              <w:rPr>
                <w:rFonts w:ascii="Calibri" w:eastAsia="Times New Roman" w:hAnsi="Calibri" w:cs="Calibri"/>
                <w:color w:val="000000"/>
              </w:rPr>
              <w:t>Andaman &amp; Nicobar Island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671F5" w:rsidRDefault="009671F5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9671F5" w:rsidRDefault="009671F5">
            <w:pPr>
              <w:cnfStyle w:val="100000000000"/>
              <w:rPr>
                <w:sz w:val="32"/>
                <w:szCs w:val="32"/>
              </w:rPr>
            </w:pPr>
            <w:proofErr w:type="spellStart"/>
            <w:r w:rsidRPr="00574778">
              <w:rPr>
                <w:rFonts w:ascii="Calibri" w:eastAsia="Times New Roman" w:hAnsi="Calibri" w:cs="Calibri"/>
                <w:color w:val="000000"/>
              </w:rPr>
              <w:t>Ladakh</w:t>
            </w:r>
            <w:proofErr w:type="spellEnd"/>
          </w:p>
        </w:tc>
      </w:tr>
      <w:tr w:rsidR="009671F5" w:rsidTr="009671F5">
        <w:trPr>
          <w:cnfStyle w:val="000000100000"/>
        </w:trPr>
        <w:tc>
          <w:tcPr>
            <w:cnfStyle w:val="001000000000"/>
            <w:tcW w:w="4788" w:type="dxa"/>
          </w:tcPr>
          <w:p w:rsidR="009671F5" w:rsidRDefault="009671F5">
            <w:pPr>
              <w:rPr>
                <w:sz w:val="32"/>
                <w:szCs w:val="32"/>
              </w:rPr>
            </w:pPr>
            <w:r w:rsidRPr="00574778">
              <w:rPr>
                <w:rFonts w:ascii="Calibri" w:eastAsia="Times New Roman" w:hAnsi="Calibri" w:cs="Calibri"/>
                <w:color w:val="000000"/>
              </w:rPr>
              <w:t>-0.055968381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</w:t>
            </w:r>
          </w:p>
        </w:tc>
        <w:tc>
          <w:tcPr>
            <w:tcW w:w="4788" w:type="dxa"/>
          </w:tcPr>
          <w:p w:rsidR="009671F5" w:rsidRDefault="009671F5">
            <w:pPr>
              <w:cnfStyle w:val="00000010000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574778">
              <w:rPr>
                <w:rFonts w:ascii="Calibri" w:eastAsia="Times New Roman" w:hAnsi="Calibri" w:cs="Calibri"/>
                <w:color w:val="000000"/>
              </w:rPr>
              <w:t>-0.624316834</w:t>
            </w:r>
          </w:p>
        </w:tc>
      </w:tr>
    </w:tbl>
    <w:p w:rsidR="009671F5" w:rsidRDefault="009671F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671F5" w:rsidRDefault="009671F5">
      <w:pPr>
        <w:rPr>
          <w:sz w:val="32"/>
          <w:szCs w:val="32"/>
        </w:rPr>
      </w:pPr>
      <w:r>
        <w:rPr>
          <w:sz w:val="32"/>
          <w:szCs w:val="32"/>
        </w:rPr>
        <w:t>Q4)</w:t>
      </w:r>
      <w:r w:rsidR="00185C58">
        <w:rPr>
          <w:sz w:val="32"/>
          <w:szCs w:val="32"/>
        </w:rPr>
        <w:t xml:space="preserve"> </w:t>
      </w:r>
      <w:proofErr w:type="gramStart"/>
      <w:r w:rsidR="00185C58" w:rsidRPr="00185C58">
        <w:rPr>
          <w:sz w:val="32"/>
          <w:szCs w:val="32"/>
        </w:rPr>
        <w:t>What</w:t>
      </w:r>
      <w:proofErr w:type="gramEnd"/>
      <w:r w:rsidR="00185C58" w:rsidRPr="00185C58">
        <w:rPr>
          <w:sz w:val="32"/>
          <w:szCs w:val="32"/>
        </w:rPr>
        <w:t xml:space="preserve"> are the quarterly trends based on sales volume for the top 5 EV makers (4-wheelers) from 2022 to 2024?</w:t>
      </w:r>
    </w:p>
    <w:p w:rsidR="00185C58" w:rsidRDefault="00185C58">
      <w:pPr>
        <w:rPr>
          <w:sz w:val="32"/>
          <w:szCs w:val="32"/>
        </w:rPr>
      </w:pPr>
    </w:p>
    <w:p w:rsidR="00FD64B0" w:rsidRDefault="00FD64B0" w:rsidP="00FD64B0">
      <w:pPr>
        <w:jc w:val="center"/>
        <w:rPr>
          <w:sz w:val="32"/>
          <w:szCs w:val="32"/>
        </w:rPr>
      </w:pPr>
      <w:r w:rsidRPr="00FD64B0">
        <w:rPr>
          <w:noProof/>
          <w:sz w:val="32"/>
          <w:szCs w:val="32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64B0" w:rsidRDefault="00FD64B0" w:rsidP="00FD64B0">
      <w:pPr>
        <w:jc w:val="center"/>
        <w:rPr>
          <w:sz w:val="32"/>
          <w:szCs w:val="32"/>
        </w:rPr>
      </w:pPr>
    </w:p>
    <w:p w:rsidR="00FD64B0" w:rsidRDefault="00FD64B0" w:rsidP="00FD64B0">
      <w:pPr>
        <w:rPr>
          <w:sz w:val="32"/>
          <w:szCs w:val="32"/>
        </w:rPr>
      </w:pPr>
      <w:r w:rsidRPr="00FD64B0">
        <w:rPr>
          <w:sz w:val="32"/>
          <w:szCs w:val="32"/>
        </w:rPr>
        <w:t>Q5)</w:t>
      </w:r>
      <w:r>
        <w:t xml:space="preserve"> </w:t>
      </w:r>
      <w:r w:rsidRPr="00FD64B0">
        <w:rPr>
          <w:sz w:val="32"/>
          <w:szCs w:val="32"/>
        </w:rPr>
        <w:t>How do the EV sales and penetration rates in Delhi compare to Karnataka for 2024?</w:t>
      </w:r>
    </w:p>
    <w:tbl>
      <w:tblPr>
        <w:tblStyle w:val="LightShading-Accent2"/>
        <w:tblW w:w="7840" w:type="dxa"/>
        <w:tblInd w:w="765" w:type="dxa"/>
        <w:tblLook w:val="04A0"/>
      </w:tblPr>
      <w:tblGrid>
        <w:gridCol w:w="2680"/>
        <w:gridCol w:w="2300"/>
        <w:gridCol w:w="2860"/>
      </w:tblGrid>
      <w:tr w:rsidR="00FD64B0" w:rsidRPr="00FD64B0" w:rsidTr="00FD64B0">
        <w:trPr>
          <w:cnfStyle w:val="100000000000"/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States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 xml:space="preserve">Sum of </w:t>
            </w:r>
            <w:proofErr w:type="spellStart"/>
            <w:r w:rsidRPr="00FD64B0">
              <w:rPr>
                <w:rFonts w:ascii="Calibri" w:eastAsia="Times New Roman" w:hAnsi="Calibri" w:cs="Calibri"/>
                <w:color w:val="000000"/>
              </w:rPr>
              <w:t>electric_vehicles_sold</w:t>
            </w:r>
            <w:proofErr w:type="spellEnd"/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Average of Penetration Rate</w:t>
            </w:r>
          </w:p>
        </w:tc>
      </w:tr>
      <w:tr w:rsidR="00FD64B0" w:rsidRPr="00FD64B0" w:rsidTr="00FD64B0">
        <w:trPr>
          <w:cnfStyle w:val="000000100000"/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46724</w:t>
            </w:r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6.98180921</w:t>
            </w:r>
          </w:p>
        </w:tc>
      </w:tr>
      <w:tr w:rsidR="00FD64B0" w:rsidRPr="00FD64B0" w:rsidTr="00FD64B0">
        <w:trPr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160989</w:t>
            </w:r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7.894095232</w:t>
            </w:r>
          </w:p>
        </w:tc>
      </w:tr>
      <w:tr w:rsidR="00FD64B0" w:rsidRPr="00FD64B0" w:rsidTr="00FD64B0">
        <w:trPr>
          <w:cnfStyle w:val="000000100000"/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64B0">
              <w:rPr>
                <w:rFonts w:ascii="Calibri" w:eastAsia="Times New Roman" w:hAnsi="Calibri" w:cs="Calibri"/>
                <w:b/>
                <w:bCs/>
                <w:color w:val="000000"/>
              </w:rPr>
              <w:t>207713</w:t>
            </w:r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64B0">
              <w:rPr>
                <w:rFonts w:ascii="Calibri" w:eastAsia="Times New Roman" w:hAnsi="Calibri" w:cs="Calibri"/>
                <w:b/>
                <w:bCs/>
                <w:color w:val="000000"/>
              </w:rPr>
              <w:t>7.437952221</w:t>
            </w:r>
          </w:p>
        </w:tc>
      </w:tr>
    </w:tbl>
    <w:p w:rsidR="00FD64B0" w:rsidRDefault="00FD64B0" w:rsidP="00FD64B0">
      <w:pPr>
        <w:rPr>
          <w:sz w:val="32"/>
          <w:szCs w:val="32"/>
        </w:rPr>
      </w:pPr>
    </w:p>
    <w:p w:rsidR="00FD64B0" w:rsidRDefault="00FD64B0" w:rsidP="00FD64B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Q6) </w:t>
      </w:r>
      <w:r w:rsidRPr="00FD64B0">
        <w:rPr>
          <w:sz w:val="32"/>
          <w:szCs w:val="32"/>
        </w:rPr>
        <w:t>List down the compounded annual growth rate (CAGR) in 4-wheeler units for the top 5 makers from 2022 to 2024.</w:t>
      </w:r>
      <w:proofErr w:type="gramEnd"/>
    </w:p>
    <w:tbl>
      <w:tblPr>
        <w:tblStyle w:val="LightList-Accent3"/>
        <w:tblW w:w="5386" w:type="dxa"/>
        <w:tblInd w:w="2093" w:type="dxa"/>
        <w:tblLook w:val="04A0"/>
      </w:tblPr>
      <w:tblGrid>
        <w:gridCol w:w="1568"/>
        <w:gridCol w:w="976"/>
        <w:gridCol w:w="976"/>
        <w:gridCol w:w="1866"/>
      </w:tblGrid>
      <w:tr w:rsidR="00DC3F4F" w:rsidRPr="00DC3F4F" w:rsidTr="00DC3F4F">
        <w:trPr>
          <w:cnfStyle w:val="1000000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CAGR</w:t>
            </w:r>
          </w:p>
        </w:tc>
      </w:tr>
      <w:tr w:rsidR="00DC3F4F" w:rsidRPr="00DC3F4F" w:rsidTr="00DC3F4F">
        <w:trPr>
          <w:cnfStyle w:val="0000001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5.818462</w:t>
            </w:r>
          </w:p>
        </w:tc>
      </w:tr>
      <w:tr w:rsidR="00DC3F4F" w:rsidRPr="00DC3F4F" w:rsidTr="00DC3F4F">
        <w:trPr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5.382504</w:t>
            </w:r>
          </w:p>
        </w:tc>
      </w:tr>
      <w:tr w:rsidR="00DC3F4F" w:rsidRPr="00DC3F4F" w:rsidTr="00DC3F4F">
        <w:trPr>
          <w:cnfStyle w:val="0000001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4042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13805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4264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5.055049</w:t>
            </w:r>
          </w:p>
        </w:tc>
      </w:tr>
      <w:tr w:rsidR="00DC3F4F" w:rsidRPr="00DC3F4F" w:rsidTr="00DC3F4F">
        <w:trPr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1647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3277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2190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7.158305</w:t>
            </w:r>
          </w:p>
        </w:tc>
      </w:tr>
      <w:tr w:rsidR="00DC3F4F" w:rsidRPr="00DC3F4F" w:rsidTr="00DC3F4F">
        <w:trPr>
          <w:cnfStyle w:val="0000001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12708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28046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13236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7.08248</w:t>
            </w:r>
          </w:p>
        </w:tc>
      </w:tr>
    </w:tbl>
    <w:p w:rsidR="00DC3F4F" w:rsidRDefault="00DC3F4F" w:rsidP="00FD64B0">
      <w:pPr>
        <w:rPr>
          <w:sz w:val="32"/>
          <w:szCs w:val="32"/>
        </w:rPr>
      </w:pPr>
    </w:p>
    <w:p w:rsidR="00DC3F4F" w:rsidRDefault="00DC3F4F" w:rsidP="00FD64B0">
      <w:pPr>
        <w:rPr>
          <w:sz w:val="32"/>
          <w:szCs w:val="32"/>
        </w:rPr>
      </w:pPr>
      <w:r>
        <w:rPr>
          <w:sz w:val="32"/>
          <w:szCs w:val="32"/>
        </w:rPr>
        <w:t xml:space="preserve">Q7) </w:t>
      </w:r>
      <w:r w:rsidRPr="00DC3F4F">
        <w:rPr>
          <w:sz w:val="32"/>
          <w:szCs w:val="32"/>
        </w:rPr>
        <w:t>List down the top 10 states that had the highest compounded annual growth rate (CAGR) from 2022 to 2024 in total vehicles sold.</w:t>
      </w:r>
    </w:p>
    <w:tbl>
      <w:tblPr>
        <w:tblStyle w:val="LightShading-Accent3"/>
        <w:tblW w:w="5529" w:type="dxa"/>
        <w:tblInd w:w="1809" w:type="dxa"/>
        <w:tblLook w:val="04A0"/>
      </w:tblPr>
      <w:tblGrid>
        <w:gridCol w:w="3131"/>
        <w:gridCol w:w="2398"/>
      </w:tblGrid>
      <w:tr w:rsidR="00C15716" w:rsidRPr="00C15716" w:rsidTr="00C15716">
        <w:trPr>
          <w:cnfStyle w:val="1000000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lastRenderedPageBreak/>
              <w:t>Andaman &amp; Nicobar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-0.164486123</w:t>
            </w:r>
          </w:p>
        </w:tc>
      </w:tr>
      <w:tr w:rsidR="00C15716" w:rsidRPr="00C15716" w:rsidTr="00C15716">
        <w:trPr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Assam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-0.160946654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-0.155817085</w:t>
            </w:r>
          </w:p>
        </w:tc>
      </w:tr>
      <w:tr w:rsidR="00C15716" w:rsidRPr="00C15716" w:rsidTr="00C15716">
        <w:trPr>
          <w:trHeight w:val="576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-0.147845855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-0.160164025</w:t>
            </w:r>
          </w:p>
        </w:tc>
      </w:tr>
      <w:tr w:rsidR="00C15716" w:rsidRPr="00C15716" w:rsidTr="00C15716">
        <w:trPr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-0.151521056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-0.146060832</w:t>
            </w:r>
          </w:p>
        </w:tc>
      </w:tr>
      <w:tr w:rsidR="00C15716" w:rsidRPr="00C15716" w:rsidTr="00C15716">
        <w:trPr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-0.163570789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Rajasthan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-0.158375642</w:t>
            </w:r>
          </w:p>
        </w:tc>
      </w:tr>
    </w:tbl>
    <w:p w:rsidR="00C15716" w:rsidRDefault="00C15716" w:rsidP="00FD64B0">
      <w:pPr>
        <w:rPr>
          <w:sz w:val="32"/>
          <w:szCs w:val="32"/>
        </w:rPr>
      </w:pPr>
    </w:p>
    <w:p w:rsidR="00F957CC" w:rsidRDefault="00F957CC" w:rsidP="00FD64B0">
      <w:pPr>
        <w:rPr>
          <w:sz w:val="32"/>
          <w:szCs w:val="32"/>
        </w:rPr>
      </w:pPr>
      <w:r>
        <w:rPr>
          <w:sz w:val="32"/>
          <w:szCs w:val="32"/>
        </w:rPr>
        <w:t xml:space="preserve">Q8) </w:t>
      </w:r>
      <w:proofErr w:type="gramStart"/>
      <w:r w:rsidRPr="00F957CC">
        <w:rPr>
          <w:sz w:val="32"/>
          <w:szCs w:val="32"/>
        </w:rPr>
        <w:t>What</w:t>
      </w:r>
      <w:proofErr w:type="gramEnd"/>
      <w:r w:rsidRPr="00F957CC">
        <w:rPr>
          <w:sz w:val="32"/>
          <w:szCs w:val="32"/>
        </w:rPr>
        <w:t xml:space="preserve"> are the peak and low season months for EV sales based on the data from 2022 to 2024?</w:t>
      </w:r>
    </w:p>
    <w:p w:rsidR="00C15716" w:rsidRDefault="00A57F01" w:rsidP="00FD64B0">
      <w:pPr>
        <w:rPr>
          <w:sz w:val="32"/>
          <w:szCs w:val="32"/>
        </w:rPr>
      </w:pPr>
      <w:r w:rsidRPr="00A57F01">
        <w:rPr>
          <w:noProof/>
          <w:sz w:val="32"/>
          <w:szCs w:val="32"/>
        </w:rPr>
        <w:drawing>
          <wp:inline distT="0" distB="0" distL="0" distR="0">
            <wp:extent cx="5859780" cy="2811780"/>
            <wp:effectExtent l="19050" t="0" r="2667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57CC" w:rsidRPr="00F957CC" w:rsidRDefault="00A57F01" w:rsidP="00FD64B0">
      <w:pPr>
        <w:rPr>
          <w:sz w:val="32"/>
          <w:szCs w:val="32"/>
        </w:rPr>
      </w:pPr>
      <w:r w:rsidRPr="00A57F01">
        <w:rPr>
          <w:noProof/>
          <w:sz w:val="32"/>
          <w:szCs w:val="32"/>
        </w:rPr>
        <w:lastRenderedPageBreak/>
        <w:drawing>
          <wp:inline distT="0" distB="0" distL="0" distR="0">
            <wp:extent cx="6092190" cy="2903220"/>
            <wp:effectExtent l="19050" t="0" r="2286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3F4F" w:rsidRDefault="00A57F01" w:rsidP="00FD64B0">
      <w:pPr>
        <w:rPr>
          <w:sz w:val="32"/>
          <w:szCs w:val="32"/>
        </w:rPr>
      </w:pPr>
      <w:r w:rsidRPr="00A57F01">
        <w:rPr>
          <w:noProof/>
          <w:sz w:val="32"/>
          <w:szCs w:val="32"/>
        </w:rPr>
        <w:drawing>
          <wp:inline distT="0" distB="0" distL="0" distR="0">
            <wp:extent cx="622935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25B83" w:rsidRDefault="00A25B83" w:rsidP="00212AF0">
      <w:pPr>
        <w:jc w:val="center"/>
        <w:rPr>
          <w:sz w:val="32"/>
          <w:szCs w:val="32"/>
        </w:rPr>
      </w:pPr>
      <w:r>
        <w:rPr>
          <w:sz w:val="32"/>
          <w:szCs w:val="32"/>
        </w:rPr>
        <w:t>COMMON PEAK MONTHS ARE NOVEMBER</w:t>
      </w:r>
      <w:proofErr w:type="gramStart"/>
      <w:r>
        <w:rPr>
          <w:sz w:val="32"/>
          <w:szCs w:val="32"/>
        </w:rPr>
        <w:t>,DECEMBER,FEBRUARY,MARCH</w:t>
      </w:r>
      <w:proofErr w:type="gramEnd"/>
    </w:p>
    <w:p w:rsidR="00A25B83" w:rsidRDefault="00A25B83" w:rsidP="00FD64B0">
      <w:pPr>
        <w:rPr>
          <w:sz w:val="32"/>
          <w:szCs w:val="32"/>
        </w:rPr>
      </w:pPr>
    </w:p>
    <w:p w:rsidR="00212AF0" w:rsidRDefault="00212AF0" w:rsidP="00FD64B0">
      <w:r>
        <w:rPr>
          <w:sz w:val="32"/>
          <w:szCs w:val="32"/>
        </w:rPr>
        <w:t>Q10)</w:t>
      </w:r>
      <w:r w:rsidRPr="00212AF0">
        <w:t xml:space="preserve"> </w:t>
      </w:r>
      <w:r w:rsidRPr="00FB2BC2">
        <w:rPr>
          <w:sz w:val="32"/>
          <w:szCs w:val="32"/>
        </w:rPr>
        <w:t xml:space="preserve">Estimate the revenue growth rate of 4-wheeler and 2-wheelers EVs in India for 2022 </w:t>
      </w:r>
      <w:proofErr w:type="spellStart"/>
      <w:r w:rsidRPr="00FB2BC2">
        <w:rPr>
          <w:sz w:val="32"/>
          <w:szCs w:val="32"/>
        </w:rPr>
        <w:t>vs</w:t>
      </w:r>
      <w:proofErr w:type="spellEnd"/>
      <w:r w:rsidRPr="00FB2BC2">
        <w:rPr>
          <w:sz w:val="32"/>
          <w:szCs w:val="32"/>
        </w:rPr>
        <w:t xml:space="preserve"> 2024 and 2023 </w:t>
      </w:r>
      <w:proofErr w:type="spellStart"/>
      <w:r w:rsidRPr="00FB2BC2">
        <w:rPr>
          <w:sz w:val="32"/>
          <w:szCs w:val="32"/>
        </w:rPr>
        <w:t>vs</w:t>
      </w:r>
      <w:proofErr w:type="spellEnd"/>
      <w:r w:rsidRPr="00FB2BC2">
        <w:rPr>
          <w:sz w:val="32"/>
          <w:szCs w:val="32"/>
        </w:rPr>
        <w:t xml:space="preserve"> 2024, assuming an average </w:t>
      </w:r>
      <w:r w:rsidR="00FB2BC2" w:rsidRPr="00FB2BC2">
        <w:rPr>
          <w:sz w:val="32"/>
          <w:szCs w:val="32"/>
        </w:rPr>
        <w:t>unit price.</w:t>
      </w:r>
      <w:r w:rsidR="00FB2BC2">
        <w:t xml:space="preserve"> </w:t>
      </w:r>
    </w:p>
    <w:tbl>
      <w:tblPr>
        <w:tblStyle w:val="LightShading-Accent5"/>
        <w:tblW w:w="5954" w:type="dxa"/>
        <w:tblInd w:w="1809" w:type="dxa"/>
        <w:tblLook w:val="04A0"/>
      </w:tblPr>
      <w:tblGrid>
        <w:gridCol w:w="2706"/>
        <w:gridCol w:w="3248"/>
      </w:tblGrid>
      <w:tr w:rsidR="00FB2BC2" w:rsidRPr="00FB2BC2" w:rsidTr="00FB2BC2">
        <w:trPr>
          <w:cnfStyle w:val="100000000000"/>
          <w:trHeight w:val="288"/>
        </w:trPr>
        <w:tc>
          <w:tcPr>
            <w:cnfStyle w:val="001000000000"/>
            <w:tcW w:w="2706" w:type="dxa"/>
            <w:noWrap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Revenue Growth Rate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 w:val="restart"/>
            <w:noWrap/>
            <w:hideMark/>
          </w:tcPr>
          <w:p w:rsidR="00FB2BC2" w:rsidRPr="00FB2BC2" w:rsidRDefault="00FB2BC2" w:rsidP="00FB2B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 xml:space="preserve">2024 </w:t>
            </w:r>
            <w:proofErr w:type="spellStart"/>
            <w:r w:rsidRPr="00FB2BC2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FB2BC2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2-Wheeler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72.91999931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4-Wheeler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78.62280066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noWrap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 w:val="restart"/>
            <w:noWrap/>
            <w:hideMark/>
          </w:tcPr>
          <w:p w:rsidR="00FB2BC2" w:rsidRPr="00FB2BC2" w:rsidRDefault="00FB2BC2" w:rsidP="00FB2B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 xml:space="preserve">2024 </w:t>
            </w:r>
            <w:proofErr w:type="spellStart"/>
            <w:r w:rsidRPr="00FB2BC2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FB2BC2">
              <w:rPr>
                <w:rFonts w:ascii="Calibri" w:eastAsia="Times New Roman" w:hAnsi="Calibri" w:cs="Calibri"/>
                <w:color w:val="000000"/>
              </w:rPr>
              <w:t xml:space="preserve"> 2023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2-Wheeler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21.95676601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4-Wheeler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45.38037537</w:t>
            </w:r>
          </w:p>
        </w:tc>
      </w:tr>
    </w:tbl>
    <w:p w:rsidR="00FB2BC2" w:rsidRDefault="00FB2BC2" w:rsidP="00FD64B0">
      <w:pPr>
        <w:rPr>
          <w:sz w:val="32"/>
          <w:szCs w:val="32"/>
        </w:rPr>
      </w:pPr>
    </w:p>
    <w:p w:rsidR="00FB2BC2" w:rsidRDefault="008A07A5" w:rsidP="00FD64B0">
      <w:pPr>
        <w:rPr>
          <w:sz w:val="32"/>
          <w:szCs w:val="32"/>
        </w:rPr>
      </w:pPr>
      <w:r w:rsidRPr="008A07A5">
        <w:rPr>
          <w:sz w:val="32"/>
          <w:szCs w:val="32"/>
        </w:rPr>
        <w:t>Q9)What is the projected number of EV sales (including 2-wheelers and 4- wheelers) for the top 10 states by penetration rate in 2030, based on the compounded annual growth rate (CAGR) from previous years?</w:t>
      </w:r>
    </w:p>
    <w:tbl>
      <w:tblPr>
        <w:tblStyle w:val="LightShading-Accent2"/>
        <w:tblW w:w="7480" w:type="dxa"/>
        <w:jc w:val="center"/>
        <w:tblLook w:val="04A0"/>
      </w:tblPr>
      <w:tblGrid>
        <w:gridCol w:w="1520"/>
        <w:gridCol w:w="1480"/>
        <w:gridCol w:w="1600"/>
        <w:gridCol w:w="960"/>
        <w:gridCol w:w="960"/>
        <w:gridCol w:w="1053"/>
      </w:tblGrid>
      <w:tr w:rsidR="008A07A5" w:rsidRPr="008A07A5" w:rsidTr="008A07A5">
        <w:trPr>
          <w:cnfStyle w:val="100000000000"/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CAGR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Year-2022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Year-2023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Year-2024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EV 2030</w:t>
            </w:r>
          </w:p>
        </w:tc>
      </w:tr>
      <w:tr w:rsidR="008A07A5" w:rsidRPr="008A07A5" w:rsidTr="008A07A5">
        <w:trPr>
          <w:cnfStyle w:val="000000100000"/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0.912931183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2877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3205.456</w:t>
            </w:r>
          </w:p>
        </w:tc>
      </w:tr>
      <w:tr w:rsidR="008A07A5" w:rsidRPr="008A07A5" w:rsidTr="008A07A5">
        <w:trPr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0.413769491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16535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44053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46724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49499.76</w:t>
            </w:r>
          </w:p>
        </w:tc>
      </w:tr>
      <w:tr w:rsidR="008A07A5" w:rsidRPr="008A07A5" w:rsidTr="008A07A5">
        <w:trPr>
          <w:cnfStyle w:val="000000100000"/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0.824528261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1778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7107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10799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11937.37</w:t>
            </w:r>
          </w:p>
        </w:tc>
      </w:tr>
      <w:tr w:rsidR="008A07A5" w:rsidRPr="008A07A5" w:rsidTr="008A07A5">
        <w:trPr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0.672671609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18026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79004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84359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91910.8</w:t>
            </w:r>
          </w:p>
        </w:tc>
      </w:tr>
      <w:tr w:rsidR="008A07A5" w:rsidRPr="008A07A5" w:rsidTr="008A07A5">
        <w:trPr>
          <w:cnfStyle w:val="000000100000"/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0.551443754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43111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108895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160989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173215</w:t>
            </w:r>
          </w:p>
        </w:tc>
      </w:tr>
      <w:tr w:rsidR="008A07A5" w:rsidRPr="008A07A5" w:rsidTr="008A07A5">
        <w:trPr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0.756689706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13639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49483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73938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81217.61</w:t>
            </w:r>
          </w:p>
        </w:tc>
      </w:tr>
      <w:tr w:rsidR="008A07A5" w:rsidRPr="008A07A5" w:rsidTr="008A07A5">
        <w:trPr>
          <w:cnfStyle w:val="000000100000"/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0.597382337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48374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150502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197169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213176.9</w:t>
            </w:r>
          </w:p>
        </w:tc>
      </w:tr>
      <w:tr w:rsidR="008A07A5" w:rsidRPr="008A07A5" w:rsidTr="008A07A5">
        <w:trPr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7A5">
              <w:rPr>
                <w:rFonts w:ascii="Calibri" w:eastAsia="Times New Roman" w:hAnsi="Calibri" w:cs="Calibri"/>
                <w:color w:val="000000"/>
              </w:rPr>
              <w:t>Odisha</w:t>
            </w:r>
            <w:proofErr w:type="spellEnd"/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0.602930991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9498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29651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39118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42318.39</w:t>
            </w:r>
          </w:p>
        </w:tc>
      </w:tr>
      <w:tr w:rsidR="008A07A5" w:rsidRPr="008A07A5" w:rsidTr="008A07A5">
        <w:trPr>
          <w:cnfStyle w:val="000000100000"/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Rajasthan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0.489979283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20087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63835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66444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71009.94</w:t>
            </w:r>
          </w:p>
        </w:tc>
      </w:tr>
      <w:tr w:rsidR="008A07A5" w:rsidRPr="008A07A5" w:rsidTr="008A07A5">
        <w:trPr>
          <w:trHeight w:val="288"/>
          <w:jc w:val="center"/>
        </w:trPr>
        <w:tc>
          <w:tcPr>
            <w:cnfStyle w:val="001000000000"/>
            <w:tcW w:w="1520" w:type="dxa"/>
            <w:noWrap/>
            <w:hideMark/>
          </w:tcPr>
          <w:p w:rsidR="008A07A5" w:rsidRPr="008A07A5" w:rsidRDefault="008A07A5" w:rsidP="008A07A5">
            <w:pPr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48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0.367713591</w:t>
            </w:r>
          </w:p>
        </w:tc>
        <w:tc>
          <w:tcPr>
            <w:tcW w:w="160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36863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68885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94314</w:t>
            </w:r>
          </w:p>
        </w:tc>
        <w:tc>
          <w:tcPr>
            <w:tcW w:w="960" w:type="dxa"/>
            <w:noWrap/>
            <w:hideMark/>
          </w:tcPr>
          <w:p w:rsidR="008A07A5" w:rsidRPr="008A07A5" w:rsidRDefault="008A07A5" w:rsidP="008A07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A07A5">
              <w:rPr>
                <w:rFonts w:ascii="Calibri" w:eastAsia="Times New Roman" w:hAnsi="Calibri" w:cs="Calibri"/>
                <w:color w:val="000000"/>
              </w:rPr>
              <w:t>99366.96</w:t>
            </w:r>
          </w:p>
        </w:tc>
      </w:tr>
    </w:tbl>
    <w:p w:rsidR="008A07A5" w:rsidRDefault="008A07A5" w:rsidP="00FD64B0">
      <w:pPr>
        <w:rPr>
          <w:sz w:val="32"/>
          <w:szCs w:val="32"/>
        </w:rPr>
      </w:pPr>
    </w:p>
    <w:p w:rsidR="008A07A5" w:rsidRDefault="008A07A5" w:rsidP="00FD64B0">
      <w:pPr>
        <w:rPr>
          <w:sz w:val="32"/>
          <w:szCs w:val="32"/>
        </w:rPr>
      </w:pPr>
      <w:r>
        <w:rPr>
          <w:sz w:val="32"/>
          <w:szCs w:val="32"/>
        </w:rPr>
        <w:t xml:space="preserve">Model= </w:t>
      </w:r>
      <w:hyperlink r:id="rId10" w:history="1">
        <w:r w:rsidRPr="008E113E">
          <w:rPr>
            <w:rStyle w:val="Hyperlink"/>
            <w:sz w:val="32"/>
            <w:szCs w:val="32"/>
          </w:rPr>
          <w:t>https://colab.research.google.com/drive/17nylKl-FxfeeKHc9dqayYitHbaGHawvN?usp=sharing</w:t>
        </w:r>
      </w:hyperlink>
    </w:p>
    <w:p w:rsidR="008A07A5" w:rsidRDefault="008A07A5" w:rsidP="00FD64B0">
      <w:pPr>
        <w:rPr>
          <w:sz w:val="32"/>
          <w:szCs w:val="32"/>
        </w:rPr>
      </w:pPr>
      <w:r>
        <w:rPr>
          <w:sz w:val="32"/>
          <w:szCs w:val="32"/>
        </w:rPr>
        <w:t>Q10)</w:t>
      </w:r>
      <w:r w:rsidRPr="008A07A5">
        <w:t xml:space="preserve"> </w:t>
      </w:r>
      <w:r w:rsidRPr="008A07A5">
        <w:rPr>
          <w:sz w:val="32"/>
          <w:szCs w:val="32"/>
        </w:rPr>
        <w:t xml:space="preserve">Estimate the revenue growth rate of 4-wheeler and 2-wheelers EVs in India for 2022 </w:t>
      </w:r>
      <w:proofErr w:type="spellStart"/>
      <w:r w:rsidRPr="008A07A5">
        <w:rPr>
          <w:sz w:val="32"/>
          <w:szCs w:val="32"/>
        </w:rPr>
        <w:t>vs</w:t>
      </w:r>
      <w:proofErr w:type="spellEnd"/>
      <w:r w:rsidRPr="008A07A5">
        <w:rPr>
          <w:sz w:val="32"/>
          <w:szCs w:val="32"/>
        </w:rPr>
        <w:t xml:space="preserve"> 2024 and 2023 </w:t>
      </w:r>
      <w:proofErr w:type="spellStart"/>
      <w:r w:rsidRPr="008A07A5">
        <w:rPr>
          <w:sz w:val="32"/>
          <w:szCs w:val="32"/>
        </w:rPr>
        <w:t>vs</w:t>
      </w:r>
      <w:proofErr w:type="spellEnd"/>
      <w:r w:rsidRPr="008A07A5">
        <w:rPr>
          <w:sz w:val="32"/>
          <w:szCs w:val="32"/>
        </w:rPr>
        <w:t xml:space="preserve"> 2024, assuming an average unit price. </w:t>
      </w:r>
    </w:p>
    <w:p w:rsidR="00E56F39" w:rsidRDefault="00E56F39" w:rsidP="00FD64B0">
      <w:pPr>
        <w:rPr>
          <w:sz w:val="32"/>
          <w:szCs w:val="32"/>
        </w:rPr>
      </w:pPr>
    </w:p>
    <w:p w:rsidR="00E56F39" w:rsidRDefault="00E56F39" w:rsidP="00FD64B0">
      <w:pPr>
        <w:rPr>
          <w:sz w:val="32"/>
          <w:szCs w:val="32"/>
        </w:rPr>
      </w:pPr>
    </w:p>
    <w:tbl>
      <w:tblPr>
        <w:tblStyle w:val="LightShading-Accent3"/>
        <w:tblpPr w:leftFromText="180" w:rightFromText="180" w:horzAnchor="margin" w:tblpXSpec="center" w:tblpY="500"/>
        <w:tblW w:w="5920" w:type="dxa"/>
        <w:tblLook w:val="04A0"/>
      </w:tblPr>
      <w:tblGrid>
        <w:gridCol w:w="1700"/>
        <w:gridCol w:w="4220"/>
      </w:tblGrid>
      <w:tr w:rsidR="00E56F39" w:rsidRPr="00E56F39" w:rsidTr="00643DA5">
        <w:trPr>
          <w:cnfStyle w:val="100000000000"/>
          <w:trHeight w:val="288"/>
        </w:trPr>
        <w:tc>
          <w:tcPr>
            <w:cnfStyle w:val="001000000000"/>
            <w:tcW w:w="1700" w:type="dxa"/>
            <w:noWrap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Revenue Growth Rate</w:t>
            </w:r>
          </w:p>
        </w:tc>
      </w:tr>
      <w:tr w:rsidR="00E56F39" w:rsidRPr="00E56F39" w:rsidTr="00643DA5">
        <w:trPr>
          <w:cnfStyle w:val="000000100000"/>
          <w:trHeight w:val="288"/>
        </w:trPr>
        <w:tc>
          <w:tcPr>
            <w:cnfStyle w:val="001000000000"/>
            <w:tcW w:w="1700" w:type="dxa"/>
            <w:vMerge w:val="restart"/>
            <w:noWrap/>
            <w:hideMark/>
          </w:tcPr>
          <w:p w:rsidR="00E56F39" w:rsidRPr="00E56F39" w:rsidRDefault="00E56F39" w:rsidP="00643D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 xml:space="preserve">2024 </w:t>
            </w:r>
            <w:proofErr w:type="spellStart"/>
            <w:r w:rsidRPr="00E56F39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E56F39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2-Wheeler</w:t>
            </w:r>
          </w:p>
        </w:tc>
      </w:tr>
      <w:tr w:rsidR="00E56F39" w:rsidRPr="00E56F39" w:rsidTr="00643DA5">
        <w:trPr>
          <w:trHeight w:val="288"/>
        </w:trPr>
        <w:tc>
          <w:tcPr>
            <w:cnfStyle w:val="001000000000"/>
            <w:tcW w:w="1700" w:type="dxa"/>
            <w:vMerge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72.91999931</w:t>
            </w:r>
          </w:p>
        </w:tc>
      </w:tr>
      <w:tr w:rsidR="00E56F39" w:rsidRPr="00E56F39" w:rsidTr="00643DA5">
        <w:trPr>
          <w:cnfStyle w:val="000000100000"/>
          <w:trHeight w:val="288"/>
        </w:trPr>
        <w:tc>
          <w:tcPr>
            <w:cnfStyle w:val="001000000000"/>
            <w:tcW w:w="1700" w:type="dxa"/>
            <w:vMerge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4-Wheeler</w:t>
            </w:r>
          </w:p>
        </w:tc>
      </w:tr>
      <w:tr w:rsidR="00E56F39" w:rsidRPr="00E56F39" w:rsidTr="00643DA5">
        <w:trPr>
          <w:trHeight w:val="288"/>
        </w:trPr>
        <w:tc>
          <w:tcPr>
            <w:cnfStyle w:val="001000000000"/>
            <w:tcW w:w="1700" w:type="dxa"/>
            <w:vMerge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78.62280066</w:t>
            </w:r>
          </w:p>
        </w:tc>
      </w:tr>
      <w:tr w:rsidR="00E56F39" w:rsidRPr="00E56F39" w:rsidTr="00643DA5">
        <w:trPr>
          <w:cnfStyle w:val="000000100000"/>
          <w:trHeight w:val="288"/>
        </w:trPr>
        <w:tc>
          <w:tcPr>
            <w:cnfStyle w:val="001000000000"/>
            <w:tcW w:w="1700" w:type="dxa"/>
            <w:noWrap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6F39" w:rsidRPr="00E56F39" w:rsidTr="00643DA5">
        <w:trPr>
          <w:trHeight w:val="288"/>
        </w:trPr>
        <w:tc>
          <w:tcPr>
            <w:cnfStyle w:val="001000000000"/>
            <w:tcW w:w="1700" w:type="dxa"/>
            <w:vMerge w:val="restart"/>
            <w:noWrap/>
            <w:hideMark/>
          </w:tcPr>
          <w:p w:rsidR="00E56F39" w:rsidRPr="00E56F39" w:rsidRDefault="00E56F39" w:rsidP="00643D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 xml:space="preserve">2024 </w:t>
            </w:r>
            <w:proofErr w:type="spellStart"/>
            <w:r w:rsidRPr="00E56F39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E56F39">
              <w:rPr>
                <w:rFonts w:ascii="Calibri" w:eastAsia="Times New Roman" w:hAnsi="Calibri" w:cs="Calibri"/>
                <w:color w:val="000000"/>
              </w:rPr>
              <w:t xml:space="preserve"> 2023</w:t>
            </w: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2-Wheeler</w:t>
            </w:r>
          </w:p>
        </w:tc>
      </w:tr>
      <w:tr w:rsidR="00E56F39" w:rsidRPr="00E56F39" w:rsidTr="00643DA5">
        <w:trPr>
          <w:cnfStyle w:val="000000100000"/>
          <w:trHeight w:val="288"/>
        </w:trPr>
        <w:tc>
          <w:tcPr>
            <w:cnfStyle w:val="001000000000"/>
            <w:tcW w:w="1700" w:type="dxa"/>
            <w:vMerge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21.95676601</w:t>
            </w:r>
          </w:p>
        </w:tc>
      </w:tr>
      <w:tr w:rsidR="00E56F39" w:rsidRPr="00E56F39" w:rsidTr="00643DA5">
        <w:trPr>
          <w:trHeight w:val="288"/>
        </w:trPr>
        <w:tc>
          <w:tcPr>
            <w:cnfStyle w:val="001000000000"/>
            <w:tcW w:w="1700" w:type="dxa"/>
            <w:vMerge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4-Wheeler</w:t>
            </w:r>
          </w:p>
        </w:tc>
      </w:tr>
      <w:tr w:rsidR="00E56F39" w:rsidRPr="00E56F39" w:rsidTr="00643DA5">
        <w:trPr>
          <w:cnfStyle w:val="000000100000"/>
          <w:trHeight w:val="288"/>
        </w:trPr>
        <w:tc>
          <w:tcPr>
            <w:cnfStyle w:val="001000000000"/>
            <w:tcW w:w="1700" w:type="dxa"/>
            <w:vMerge/>
            <w:hideMark/>
          </w:tcPr>
          <w:p w:rsidR="00E56F39" w:rsidRPr="00E56F39" w:rsidRDefault="00E56F39" w:rsidP="00643DA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0" w:type="dxa"/>
            <w:noWrap/>
            <w:hideMark/>
          </w:tcPr>
          <w:p w:rsidR="00E56F39" w:rsidRPr="00E56F39" w:rsidRDefault="00E56F39" w:rsidP="00643DA5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E56F39">
              <w:rPr>
                <w:rFonts w:ascii="Calibri" w:eastAsia="Times New Roman" w:hAnsi="Calibri" w:cs="Calibri"/>
                <w:color w:val="000000"/>
              </w:rPr>
              <w:t>45.38037537</w:t>
            </w:r>
          </w:p>
        </w:tc>
      </w:tr>
    </w:tbl>
    <w:p w:rsidR="008A07A5" w:rsidRDefault="008A07A5" w:rsidP="00FD64B0">
      <w:pPr>
        <w:rPr>
          <w:sz w:val="32"/>
          <w:szCs w:val="32"/>
        </w:rPr>
      </w:pPr>
    </w:p>
    <w:p w:rsidR="008A07A5" w:rsidRDefault="008A07A5" w:rsidP="00FD64B0">
      <w:pPr>
        <w:rPr>
          <w:sz w:val="32"/>
          <w:szCs w:val="32"/>
        </w:rPr>
      </w:pPr>
    </w:p>
    <w:p w:rsidR="00643DA5" w:rsidRDefault="00643DA5" w:rsidP="00FD64B0">
      <w:pPr>
        <w:rPr>
          <w:sz w:val="32"/>
          <w:szCs w:val="32"/>
        </w:rPr>
      </w:pPr>
    </w:p>
    <w:p w:rsidR="00643DA5" w:rsidRDefault="00643DA5" w:rsidP="00FD64B0">
      <w:pPr>
        <w:rPr>
          <w:sz w:val="32"/>
          <w:szCs w:val="32"/>
        </w:rPr>
      </w:pPr>
    </w:p>
    <w:p w:rsidR="00643DA5" w:rsidRDefault="00643DA5" w:rsidP="00FD64B0">
      <w:pPr>
        <w:rPr>
          <w:sz w:val="32"/>
          <w:szCs w:val="32"/>
        </w:rPr>
      </w:pPr>
    </w:p>
    <w:p w:rsidR="00643DA5" w:rsidRDefault="00643DA5" w:rsidP="00FD64B0">
      <w:pPr>
        <w:rPr>
          <w:sz w:val="32"/>
          <w:szCs w:val="32"/>
        </w:rPr>
      </w:pPr>
    </w:p>
    <w:p w:rsidR="00643DA5" w:rsidRPr="00643DA5" w:rsidRDefault="00643DA5" w:rsidP="00643DA5">
      <w:pPr>
        <w:rPr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Pr="00643DA5">
        <w:rPr>
          <w:b/>
          <w:sz w:val="32"/>
          <w:szCs w:val="32"/>
        </w:rPr>
        <w:t xml:space="preserve">What are the primary reasons for customers choosing 4-wheeler EVs in 2023 and 2024 (cost savings, environmental concerns, </w:t>
      </w:r>
      <w:proofErr w:type="gramStart"/>
      <w:r w:rsidRPr="00643DA5">
        <w:rPr>
          <w:b/>
          <w:sz w:val="32"/>
          <w:szCs w:val="32"/>
        </w:rPr>
        <w:t>government</w:t>
      </w:r>
      <w:proofErr w:type="gramEnd"/>
      <w:r w:rsidRPr="00643DA5">
        <w:rPr>
          <w:b/>
          <w:sz w:val="32"/>
          <w:szCs w:val="32"/>
        </w:rPr>
        <w:t xml:space="preserve"> incentives)?</w:t>
      </w:r>
    </w:p>
    <w:p w:rsidR="00643DA5" w:rsidRPr="00643DA5" w:rsidRDefault="00643DA5" w:rsidP="00643DA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Cost Savings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: Electric vehicles (EVs) offer lower operational costs compared to </w:t>
      </w:r>
      <w:proofErr w:type="gramStart"/>
      <w:r w:rsidRPr="00643DA5">
        <w:rPr>
          <w:rFonts w:ascii="Times New Roman" w:eastAsia="Times New Roman" w:hAnsi="Times New Roman" w:cs="Times New Roman"/>
          <w:sz w:val="32"/>
          <w:szCs w:val="32"/>
        </w:rPr>
        <w:t>traditional  vehicles</w:t>
      </w:r>
      <w:proofErr w:type="gramEnd"/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 due to savings on fuel and lower maintenance expenses.</w:t>
      </w:r>
    </w:p>
    <w:p w:rsidR="00643DA5" w:rsidRPr="00643DA5" w:rsidRDefault="00643DA5" w:rsidP="00643D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Environmental Concerns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>: Customers are increasingly motivated by the desire to reduce their carbon footprint, as EVs produce zero carbon emissions, aligning with global sustainability efforts.</w:t>
      </w:r>
    </w:p>
    <w:p w:rsidR="00643DA5" w:rsidRPr="00643DA5" w:rsidRDefault="00643DA5" w:rsidP="00643D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Government Incentives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>: Subsidies, tax breaks, and incentives such as the Faster Adoption and Manufacturing of Electric Vehicles (FAME) scheme in India reduce the upfront cost of EVs, making them more appealing.</w:t>
      </w:r>
    </w:p>
    <w:p w:rsidR="00643DA5" w:rsidRPr="00643DA5" w:rsidRDefault="00643DA5" w:rsidP="00643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2. Impact of Government Incentives on Adoption Rates</w:t>
      </w:r>
    </w:p>
    <w:p w:rsidR="00643DA5" w:rsidRPr="00643DA5" w:rsidRDefault="00643DA5" w:rsidP="00643D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sz w:val="32"/>
          <w:szCs w:val="32"/>
        </w:rPr>
        <w:t>Government subsidies play a crucial role in reducing the high initial costs of EVs, encouraging adoption. For instance, 2-wheeler adoption is particularly strong in states that provide incentives for battery costs and offer exemptions on registration fees.</w:t>
      </w:r>
    </w:p>
    <w:p w:rsidR="00643DA5" w:rsidRPr="00643DA5" w:rsidRDefault="00643DA5" w:rsidP="00643D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Top Subsidizing States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: States such as </w:t>
      </w: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Delhi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Gujarat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 offer significant subsidies and incentives to boost both 2-wheeler and 4-wheeler EV adoption.</w:t>
      </w:r>
    </w:p>
    <w:p w:rsidR="00643DA5" w:rsidRPr="00643DA5" w:rsidRDefault="00643DA5" w:rsidP="00643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 Correlation of Charging Stations with EV Sales in Top 5 States</w:t>
      </w:r>
    </w:p>
    <w:p w:rsidR="00643DA5" w:rsidRPr="00643DA5" w:rsidRDefault="00643DA5" w:rsidP="00643D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Availability of Charging Infrastructure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: States with a higher number of charging stations generally see higher EV sales and penetration rates. For example, states like </w:t>
      </w: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Gujarat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Karnataka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 have strong charging infrastructure development, correlating with high sales​</w:t>
      </w:r>
    </w:p>
    <w:p w:rsidR="00643DA5" w:rsidRPr="00643DA5" w:rsidRDefault="00643DA5" w:rsidP="00643D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sz w:val="32"/>
          <w:szCs w:val="32"/>
        </w:rPr>
        <w:t>The presence of easily accessible charging stations reduces range anxiety, a significant barrier for potential EV buyers.</w:t>
      </w:r>
    </w:p>
    <w:p w:rsidR="00643DA5" w:rsidRPr="00643DA5" w:rsidRDefault="00643DA5" w:rsidP="00643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 Potential Brand Ambassador for </w:t>
      </w:r>
      <w:proofErr w:type="spellStart"/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AtliQ</w:t>
      </w:r>
      <w:proofErr w:type="spellEnd"/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Motors</w:t>
      </w:r>
    </w:p>
    <w:p w:rsidR="00643DA5" w:rsidRPr="00643DA5" w:rsidRDefault="00643DA5" w:rsidP="00643D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Recommended Brand Ambassador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: A good option would be someone like </w:t>
      </w:r>
      <w:proofErr w:type="spellStart"/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Virat</w:t>
      </w:r>
      <w:proofErr w:type="spellEnd"/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Kohli</w:t>
      </w:r>
      <w:proofErr w:type="spellEnd"/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MS DHONI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>. Both are widely respected for their achievements and have global recognition, aligning with sustainability efforts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43DA5" w:rsidRPr="00643DA5" w:rsidRDefault="00643DA5" w:rsidP="00643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5. Ideal State to Start Manufacturing Unit</w:t>
      </w:r>
    </w:p>
    <w:p w:rsidR="00643DA5" w:rsidRPr="00643DA5" w:rsidRDefault="00643DA5" w:rsidP="00643D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 is ideal due to its strong industrial base, significant subsidies for EV production, and ease of doing business. Additionally, the state provides good infrastructure and a skilled workforce. </w:t>
      </w: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Gujarat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 xml:space="preserve"> is another viable option with favorable policies and excellent industrial </w:t>
      </w:r>
      <w:proofErr w:type="gramStart"/>
      <w:r w:rsidRPr="00643DA5">
        <w:rPr>
          <w:rFonts w:ascii="Times New Roman" w:eastAsia="Times New Roman" w:hAnsi="Times New Roman" w:cs="Times New Roman"/>
          <w:sz w:val="32"/>
          <w:szCs w:val="32"/>
        </w:rPr>
        <w:t>infrastructure​.</w:t>
      </w:r>
      <w:proofErr w:type="gramEnd"/>
    </w:p>
    <w:p w:rsidR="00643DA5" w:rsidRPr="00643DA5" w:rsidRDefault="00643DA5" w:rsidP="00643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Top 3 Recommendations for </w:t>
      </w:r>
      <w:proofErr w:type="spellStart"/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AtliQ</w:t>
      </w:r>
      <w:proofErr w:type="spellEnd"/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Motors</w:t>
      </w:r>
    </w:p>
    <w:p w:rsidR="00643DA5" w:rsidRPr="00643DA5" w:rsidRDefault="00643DA5" w:rsidP="00643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Expand Charging Infrastructure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>: Partner with governments and private companies to establish widespread charging stations, addressing the main barrier of range anxiety.</w:t>
      </w:r>
    </w:p>
    <w:p w:rsidR="00643DA5" w:rsidRPr="00643DA5" w:rsidRDefault="00643DA5" w:rsidP="00643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Focus on Tier-2 and Tier-3 Cities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>: These cities are ripe for EV adoption, where competition is lower and consumers are becoming more environmentally conscious.</w:t>
      </w:r>
    </w:p>
    <w:p w:rsidR="00643DA5" w:rsidRPr="00643DA5" w:rsidRDefault="00643DA5" w:rsidP="00643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3DA5">
        <w:rPr>
          <w:rFonts w:ascii="Times New Roman" w:eastAsia="Times New Roman" w:hAnsi="Times New Roman" w:cs="Times New Roman"/>
          <w:b/>
          <w:bCs/>
          <w:sz w:val="32"/>
          <w:szCs w:val="32"/>
        </w:rPr>
        <w:t>Leverage Government Policies</w:t>
      </w:r>
      <w:r w:rsidRPr="00643DA5">
        <w:rPr>
          <w:rFonts w:ascii="Times New Roman" w:eastAsia="Times New Roman" w:hAnsi="Times New Roman" w:cs="Times New Roman"/>
          <w:sz w:val="32"/>
          <w:szCs w:val="32"/>
        </w:rPr>
        <w:t>: Take full advantage of subsidies and tax incentives available at both central and state levels to reduce production costs and pass on savings to customers.</w:t>
      </w:r>
    </w:p>
    <w:sectPr w:rsidR="00643DA5" w:rsidRPr="00643DA5" w:rsidSect="00A25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72D2"/>
    <w:multiLevelType w:val="multilevel"/>
    <w:tmpl w:val="41F8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66C43"/>
    <w:multiLevelType w:val="multilevel"/>
    <w:tmpl w:val="0930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E316D"/>
    <w:multiLevelType w:val="multilevel"/>
    <w:tmpl w:val="DC18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C107A"/>
    <w:multiLevelType w:val="multilevel"/>
    <w:tmpl w:val="BAF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173ED"/>
    <w:multiLevelType w:val="hybridMultilevel"/>
    <w:tmpl w:val="2A06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27617"/>
    <w:multiLevelType w:val="multilevel"/>
    <w:tmpl w:val="5C9C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C3AD0"/>
    <w:multiLevelType w:val="hybridMultilevel"/>
    <w:tmpl w:val="7A72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F1895"/>
    <w:multiLevelType w:val="multilevel"/>
    <w:tmpl w:val="A94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4FD3"/>
    <w:rsid w:val="00130F11"/>
    <w:rsid w:val="00185C58"/>
    <w:rsid w:val="00212AF0"/>
    <w:rsid w:val="00286773"/>
    <w:rsid w:val="002C403E"/>
    <w:rsid w:val="00341252"/>
    <w:rsid w:val="003D390C"/>
    <w:rsid w:val="003E6F64"/>
    <w:rsid w:val="00500272"/>
    <w:rsid w:val="00574778"/>
    <w:rsid w:val="00643DA5"/>
    <w:rsid w:val="00764FD3"/>
    <w:rsid w:val="008A07A5"/>
    <w:rsid w:val="009671F5"/>
    <w:rsid w:val="00A250F3"/>
    <w:rsid w:val="00A25B83"/>
    <w:rsid w:val="00A57F01"/>
    <w:rsid w:val="00C15716"/>
    <w:rsid w:val="00C367AF"/>
    <w:rsid w:val="00DC3F4F"/>
    <w:rsid w:val="00E56F39"/>
    <w:rsid w:val="00E77D32"/>
    <w:rsid w:val="00F957CC"/>
    <w:rsid w:val="00FB2BC2"/>
    <w:rsid w:val="00FD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0F3"/>
  </w:style>
  <w:style w:type="paragraph" w:styleId="Heading3">
    <w:name w:val="heading 3"/>
    <w:basedOn w:val="Normal"/>
    <w:link w:val="Heading3Char"/>
    <w:uiPriority w:val="9"/>
    <w:qFormat/>
    <w:rsid w:val="00643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6">
    <w:name w:val="Light Shading Accent 6"/>
    <w:basedOn w:val="TableNormal"/>
    <w:uiPriority w:val="60"/>
    <w:rsid w:val="00764FD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64F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967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671F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B0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DC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C157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FB2B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A07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3D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3D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7nylKl-FxfeeKHc9dqayYitHbaGHawvN?usp=sharing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' sales by company'!$H$54</c:f>
              <c:strCache>
                <c:ptCount val="1"/>
                <c:pt idx="0">
                  <c:v>BYD India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company'!$I$54:$T$54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32</c:v>
                </c:pt>
                <c:pt idx="4">
                  <c:v>81</c:v>
                </c:pt>
                <c:pt idx="5">
                  <c:v>113</c:v>
                </c:pt>
                <c:pt idx="6">
                  <c:v>103</c:v>
                </c:pt>
                <c:pt idx="7">
                  <c:v>623</c:v>
                </c:pt>
                <c:pt idx="8">
                  <c:v>406</c:v>
                </c:pt>
                <c:pt idx="9">
                  <c:v>310</c:v>
                </c:pt>
                <c:pt idx="10">
                  <c:v>350</c:v>
                </c:pt>
                <c:pt idx="11">
                  <c:v>400</c:v>
                </c:pt>
              </c:numCache>
            </c:numRef>
          </c:val>
        </c:ser>
        <c:ser>
          <c:idx val="1"/>
          <c:order val="1"/>
          <c:tx>
            <c:strRef>
              <c:f>' sales by company'!$H$55</c:f>
              <c:strCache>
                <c:ptCount val="1"/>
                <c:pt idx="0">
                  <c:v>Hyundai Motor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company'!$I$55:$T$55</c:f>
              <c:numCache>
                <c:formatCode>General</c:formatCode>
                <c:ptCount val="12"/>
                <c:pt idx="0">
                  <c:v>25</c:v>
                </c:pt>
                <c:pt idx="1">
                  <c:v>34</c:v>
                </c:pt>
                <c:pt idx="2">
                  <c:v>25</c:v>
                </c:pt>
                <c:pt idx="3">
                  <c:v>26</c:v>
                </c:pt>
                <c:pt idx="4">
                  <c:v>75</c:v>
                </c:pt>
                <c:pt idx="5">
                  <c:v>155</c:v>
                </c:pt>
                <c:pt idx="6">
                  <c:v>191</c:v>
                </c:pt>
                <c:pt idx="7">
                  <c:v>155</c:v>
                </c:pt>
                <c:pt idx="8">
                  <c:v>292</c:v>
                </c:pt>
                <c:pt idx="9">
                  <c:v>390</c:v>
                </c:pt>
                <c:pt idx="10">
                  <c:v>370</c:v>
                </c:pt>
                <c:pt idx="11">
                  <c:v>338</c:v>
                </c:pt>
              </c:numCache>
            </c:numRef>
          </c:val>
        </c:ser>
        <c:ser>
          <c:idx val="2"/>
          <c:order val="2"/>
          <c:tx>
            <c:strRef>
              <c:f>' sales by company'!$H$56</c:f>
              <c:strCache>
                <c:ptCount val="1"/>
                <c:pt idx="0">
                  <c:v>Mahindra &amp; Mahindra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company'!$I$56:$T$56</c:f>
              <c:numCache>
                <c:formatCode>General</c:formatCode>
                <c:ptCount val="12"/>
                <c:pt idx="0">
                  <c:v>355</c:v>
                </c:pt>
                <c:pt idx="1">
                  <c:v>651</c:v>
                </c:pt>
                <c:pt idx="2">
                  <c:v>1383</c:v>
                </c:pt>
                <c:pt idx="3">
                  <c:v>1653</c:v>
                </c:pt>
                <c:pt idx="4">
                  <c:v>2020</c:v>
                </c:pt>
                <c:pt idx="5">
                  <c:v>3164</c:v>
                </c:pt>
                <c:pt idx="6">
                  <c:v>3378</c:v>
                </c:pt>
                <c:pt idx="7">
                  <c:v>5243</c:v>
                </c:pt>
                <c:pt idx="8">
                  <c:v>10911</c:v>
                </c:pt>
                <c:pt idx="9">
                  <c:v>5855</c:v>
                </c:pt>
                <c:pt idx="10">
                  <c:v>4264</c:v>
                </c:pt>
                <c:pt idx="11">
                  <c:v>2316</c:v>
                </c:pt>
              </c:numCache>
            </c:numRef>
          </c:val>
        </c:ser>
        <c:ser>
          <c:idx val="3"/>
          <c:order val="3"/>
          <c:tx>
            <c:strRef>
              <c:f>' sales by company'!$H$57</c:f>
              <c:strCache>
                <c:ptCount val="1"/>
                <c:pt idx="0">
                  <c:v>MG Motor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company'!$I$57:$T$57</c:f>
              <c:numCache>
                <c:formatCode>General</c:formatCode>
                <c:ptCount val="12"/>
                <c:pt idx="0">
                  <c:v>285</c:v>
                </c:pt>
                <c:pt idx="1">
                  <c:v>798</c:v>
                </c:pt>
                <c:pt idx="2">
                  <c:v>411</c:v>
                </c:pt>
                <c:pt idx="3">
                  <c:v>153</c:v>
                </c:pt>
                <c:pt idx="4">
                  <c:v>531</c:v>
                </c:pt>
                <c:pt idx="5">
                  <c:v>635</c:v>
                </c:pt>
                <c:pt idx="6">
                  <c:v>1165</c:v>
                </c:pt>
                <c:pt idx="7">
                  <c:v>946</c:v>
                </c:pt>
                <c:pt idx="8">
                  <c:v>1493</c:v>
                </c:pt>
                <c:pt idx="9">
                  <c:v>2524</c:v>
                </c:pt>
                <c:pt idx="10">
                  <c:v>2190</c:v>
                </c:pt>
                <c:pt idx="11">
                  <c:v>2622</c:v>
                </c:pt>
              </c:numCache>
            </c:numRef>
          </c:val>
        </c:ser>
        <c:ser>
          <c:idx val="4"/>
          <c:order val="4"/>
          <c:tx>
            <c:strRef>
              <c:f>' sales by company'!$H$58</c:f>
              <c:strCache>
                <c:ptCount val="1"/>
                <c:pt idx="0">
                  <c:v>Tata Motors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company'!$I$58:$T$58</c:f>
              <c:numCache>
                <c:formatCode>General</c:formatCode>
                <c:ptCount val="12"/>
                <c:pt idx="0">
                  <c:v>1031</c:v>
                </c:pt>
                <c:pt idx="1">
                  <c:v>2052</c:v>
                </c:pt>
                <c:pt idx="2">
                  <c:v>3791</c:v>
                </c:pt>
                <c:pt idx="3">
                  <c:v>5834</c:v>
                </c:pt>
                <c:pt idx="4">
                  <c:v>5675</c:v>
                </c:pt>
                <c:pt idx="5">
                  <c:v>6192</c:v>
                </c:pt>
                <c:pt idx="6">
                  <c:v>6651</c:v>
                </c:pt>
                <c:pt idx="7">
                  <c:v>9528</c:v>
                </c:pt>
                <c:pt idx="8">
                  <c:v>7247</c:v>
                </c:pt>
                <c:pt idx="9">
                  <c:v>10337</c:v>
                </c:pt>
                <c:pt idx="10">
                  <c:v>13236</c:v>
                </c:pt>
                <c:pt idx="11">
                  <c:v>17361</c:v>
                </c:pt>
              </c:numCache>
            </c:numRef>
          </c:val>
        </c:ser>
        <c:marker val="1"/>
        <c:axId val="90117632"/>
        <c:axId val="90119168"/>
      </c:lineChart>
      <c:catAx>
        <c:axId val="90117632"/>
        <c:scaling>
          <c:orientation val="minMax"/>
        </c:scaling>
        <c:axPos val="b"/>
        <c:tickLblPos val="nextTo"/>
        <c:crossAx val="90119168"/>
        <c:crosses val="autoZero"/>
        <c:auto val="1"/>
        <c:lblAlgn val="ctr"/>
        <c:lblOffset val="100"/>
      </c:catAx>
      <c:valAx>
        <c:axId val="90119168"/>
        <c:scaling>
          <c:orientation val="minMax"/>
        </c:scaling>
        <c:axPos val="l"/>
        <c:majorGridlines/>
        <c:numFmt formatCode="General" sourceLinked="1"/>
        <c:tickLblPos val="nextTo"/>
        <c:crossAx val="9011763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multiLvlStrRef>
              <c:f>'monthly trend'!$E$29:$P$30</c:f>
              <c:multiLvlStrCache>
                <c:ptCount val="12"/>
                <c:lvl>
                  <c:pt idx="0">
                    <c:v>April</c:v>
                  </c:pt>
                  <c:pt idx="1">
                    <c:v>May</c:v>
                  </c:pt>
                  <c:pt idx="2">
                    <c:v>June</c:v>
                  </c:pt>
                  <c:pt idx="3">
                    <c:v>July</c:v>
                  </c:pt>
                  <c:pt idx="4">
                    <c:v>Aug</c:v>
                  </c:pt>
                  <c:pt idx="5">
                    <c:v>Sep</c:v>
                  </c:pt>
                  <c:pt idx="6">
                    <c:v>Oct</c:v>
                  </c:pt>
                  <c:pt idx="7">
                    <c:v>Nov</c:v>
                  </c:pt>
                  <c:pt idx="8">
                    <c:v>Dec</c:v>
                  </c:pt>
                  <c:pt idx="9">
                    <c:v>Jan</c:v>
                  </c:pt>
                  <c:pt idx="10">
                    <c:v>Feb</c:v>
                  </c:pt>
                  <c:pt idx="11">
                    <c:v>March</c:v>
                  </c:pt>
                </c:lvl>
                <c:lvl>
                  <c:pt idx="0">
                    <c:v>2023</c:v>
                  </c:pt>
                </c:lvl>
              </c:multiLvlStrCache>
            </c:multiLvlStrRef>
          </c:cat>
          <c:val>
            <c:numRef>
              <c:f>'monthly trend'!$E$31:$P$31</c:f>
              <c:numCache>
                <c:formatCode>General</c:formatCode>
                <c:ptCount val="12"/>
                <c:pt idx="0">
                  <c:v>55524</c:v>
                </c:pt>
                <c:pt idx="1">
                  <c:v>45373</c:v>
                </c:pt>
                <c:pt idx="2">
                  <c:v>47591</c:v>
                </c:pt>
                <c:pt idx="3">
                  <c:v>50010</c:v>
                </c:pt>
                <c:pt idx="4">
                  <c:v>55584</c:v>
                </c:pt>
                <c:pt idx="5">
                  <c:v>56828</c:v>
                </c:pt>
                <c:pt idx="6">
                  <c:v>81162</c:v>
                </c:pt>
                <c:pt idx="7">
                  <c:v>80752</c:v>
                </c:pt>
                <c:pt idx="8">
                  <c:v>68475</c:v>
                </c:pt>
                <c:pt idx="9">
                  <c:v>68116</c:v>
                </c:pt>
                <c:pt idx="10">
                  <c:v>70827</c:v>
                </c:pt>
                <c:pt idx="11">
                  <c:v>95126</c:v>
                </c:pt>
              </c:numCache>
            </c:numRef>
          </c:val>
        </c:ser>
        <c:marker val="1"/>
        <c:axId val="90176128"/>
        <c:axId val="90194304"/>
      </c:lineChart>
      <c:catAx>
        <c:axId val="90176128"/>
        <c:scaling>
          <c:orientation val="minMax"/>
        </c:scaling>
        <c:axPos val="b"/>
        <c:tickLblPos val="nextTo"/>
        <c:crossAx val="90194304"/>
        <c:crosses val="autoZero"/>
        <c:auto val="1"/>
        <c:lblAlgn val="ctr"/>
        <c:lblOffset val="100"/>
      </c:catAx>
      <c:valAx>
        <c:axId val="90194304"/>
        <c:scaling>
          <c:orientation val="minMax"/>
        </c:scaling>
        <c:axPos val="l"/>
        <c:majorGridlines/>
        <c:numFmt formatCode="General" sourceLinked="1"/>
        <c:tickLblPos val="nextTo"/>
        <c:crossAx val="9017612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multiLvlStrRef>
              <c:f>'monthly trend'!$E$32:$P$33</c:f>
              <c:multiLvlStrCache>
                <c:ptCount val="12"/>
                <c:lvl>
                  <c:pt idx="0">
                    <c:v>April</c:v>
                  </c:pt>
                  <c:pt idx="1">
                    <c:v>May</c:v>
                  </c:pt>
                  <c:pt idx="2">
                    <c:v>June</c:v>
                  </c:pt>
                  <c:pt idx="3">
                    <c:v>July</c:v>
                  </c:pt>
                  <c:pt idx="4">
                    <c:v>Aug</c:v>
                  </c:pt>
                  <c:pt idx="5">
                    <c:v>Sep</c:v>
                  </c:pt>
                  <c:pt idx="6">
                    <c:v>Oct</c:v>
                  </c:pt>
                  <c:pt idx="7">
                    <c:v>Nov</c:v>
                  </c:pt>
                  <c:pt idx="8">
                    <c:v>Dec</c:v>
                  </c:pt>
                  <c:pt idx="9">
                    <c:v>Jan</c:v>
                  </c:pt>
                  <c:pt idx="10">
                    <c:v>Feb</c:v>
                  </c:pt>
                  <c:pt idx="11">
                    <c:v>March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'monthly trend'!$E$34:$P$34</c:f>
              <c:numCache>
                <c:formatCode>General</c:formatCode>
                <c:ptCount val="12"/>
                <c:pt idx="0">
                  <c:v>72818</c:v>
                </c:pt>
                <c:pt idx="1">
                  <c:v>112997</c:v>
                </c:pt>
                <c:pt idx="2">
                  <c:v>53631</c:v>
                </c:pt>
                <c:pt idx="3">
                  <c:v>61622</c:v>
                </c:pt>
                <c:pt idx="4">
                  <c:v>69224</c:v>
                </c:pt>
                <c:pt idx="5">
                  <c:v>69793</c:v>
                </c:pt>
                <c:pt idx="6">
                  <c:v>81833</c:v>
                </c:pt>
                <c:pt idx="7">
                  <c:v>98285</c:v>
                </c:pt>
                <c:pt idx="8">
                  <c:v>82685</c:v>
                </c:pt>
                <c:pt idx="9">
                  <c:v>89311</c:v>
                </c:pt>
                <c:pt idx="10">
                  <c:v>89051</c:v>
                </c:pt>
                <c:pt idx="11">
                  <c:v>138343</c:v>
                </c:pt>
              </c:numCache>
            </c:numRef>
          </c:val>
        </c:ser>
        <c:marker val="1"/>
        <c:axId val="90201472"/>
        <c:axId val="90203264"/>
      </c:lineChart>
      <c:catAx>
        <c:axId val="90201472"/>
        <c:scaling>
          <c:orientation val="minMax"/>
        </c:scaling>
        <c:axPos val="b"/>
        <c:tickLblPos val="nextTo"/>
        <c:crossAx val="90203264"/>
        <c:crosses val="autoZero"/>
        <c:auto val="1"/>
        <c:lblAlgn val="ctr"/>
        <c:lblOffset val="100"/>
      </c:catAx>
      <c:valAx>
        <c:axId val="90203264"/>
        <c:scaling>
          <c:orientation val="minMax"/>
        </c:scaling>
        <c:axPos val="l"/>
        <c:majorGridlines/>
        <c:numFmt formatCode="General" sourceLinked="1"/>
        <c:tickLblPos val="nextTo"/>
        <c:crossAx val="902014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multiLvlStrRef>
              <c:f>'monthly trend'!$E$35:$P$36</c:f>
              <c:multiLvlStrCache>
                <c:ptCount val="12"/>
                <c:lvl>
                  <c:pt idx="0">
                    <c:v>April</c:v>
                  </c:pt>
                  <c:pt idx="1">
                    <c:v>May</c:v>
                  </c:pt>
                  <c:pt idx="2">
                    <c:v>June</c:v>
                  </c:pt>
                  <c:pt idx="3">
                    <c:v>July</c:v>
                  </c:pt>
                  <c:pt idx="4">
                    <c:v>Aug</c:v>
                  </c:pt>
                  <c:pt idx="5">
                    <c:v>Sep</c:v>
                  </c:pt>
                  <c:pt idx="6">
                    <c:v>Oct</c:v>
                  </c:pt>
                  <c:pt idx="7">
                    <c:v>Nov</c:v>
                  </c:pt>
                  <c:pt idx="8">
                    <c:v>Dec</c:v>
                  </c:pt>
                  <c:pt idx="9">
                    <c:v>Jan</c:v>
                  </c:pt>
                  <c:pt idx="10">
                    <c:v>Feb</c:v>
                  </c:pt>
                  <c:pt idx="11">
                    <c:v>March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'monthly trend'!$E$37:$P$37</c:f>
              <c:numCache>
                <c:formatCode>General</c:formatCode>
                <c:ptCount val="12"/>
                <c:pt idx="0">
                  <c:v>6315</c:v>
                </c:pt>
                <c:pt idx="1">
                  <c:v>1499</c:v>
                </c:pt>
                <c:pt idx="2">
                  <c:v>5487</c:v>
                </c:pt>
                <c:pt idx="3">
                  <c:v>15794</c:v>
                </c:pt>
                <c:pt idx="4">
                  <c:v>17153</c:v>
                </c:pt>
                <c:pt idx="5">
                  <c:v>19351</c:v>
                </c:pt>
                <c:pt idx="6">
                  <c:v>22190</c:v>
                </c:pt>
                <c:pt idx="7">
                  <c:v>26159</c:v>
                </c:pt>
                <c:pt idx="8">
                  <c:v>29241</c:v>
                </c:pt>
                <c:pt idx="9">
                  <c:v>31672</c:v>
                </c:pt>
                <c:pt idx="10">
                  <c:v>38171</c:v>
                </c:pt>
                <c:pt idx="11">
                  <c:v>58118</c:v>
                </c:pt>
              </c:numCache>
            </c:numRef>
          </c:val>
        </c:ser>
        <c:marker val="1"/>
        <c:axId val="90214784"/>
        <c:axId val="90216320"/>
      </c:lineChart>
      <c:catAx>
        <c:axId val="90214784"/>
        <c:scaling>
          <c:orientation val="minMax"/>
        </c:scaling>
        <c:axPos val="b"/>
        <c:tickLblPos val="nextTo"/>
        <c:crossAx val="90216320"/>
        <c:crosses val="autoZero"/>
        <c:auto val="1"/>
        <c:lblAlgn val="ctr"/>
        <c:lblOffset val="100"/>
      </c:catAx>
      <c:valAx>
        <c:axId val="90216320"/>
        <c:scaling>
          <c:orientation val="minMax"/>
        </c:scaling>
        <c:axPos val="l"/>
        <c:majorGridlines/>
        <c:numFmt formatCode="General" sourceLinked="1"/>
        <c:tickLblPos val="nextTo"/>
        <c:crossAx val="9021478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8A1-4FF8-46E4-A2F3-9BF89517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2024-09-06T16:50:00Z</dcterms:created>
  <dcterms:modified xsi:type="dcterms:W3CDTF">2024-09-06T16:50:00Z</dcterms:modified>
</cp:coreProperties>
</file>