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4CCA" w14:textId="53190969" w:rsidR="0033299E" w:rsidRPr="00B80D19" w:rsidRDefault="00F94171">
      <w:pPr>
        <w:rPr>
          <w:rFonts w:ascii="Times New Roman" w:hAnsi="Times New Roman" w:cs="Times New Roman"/>
          <w:sz w:val="24"/>
          <w:szCs w:val="24"/>
        </w:rPr>
      </w:pPr>
      <w:r w:rsidRPr="00B80D19">
        <w:rPr>
          <w:rFonts w:ascii="Times New Roman" w:hAnsi="Times New Roman" w:cs="Times New Roman"/>
          <w:sz w:val="24"/>
          <w:szCs w:val="24"/>
        </w:rPr>
        <w:t xml:space="preserve">Amartya </w:t>
      </w:r>
      <w:r w:rsidR="006A6AD9">
        <w:rPr>
          <w:rFonts w:ascii="Times New Roman" w:hAnsi="Times New Roman" w:cs="Times New Roman"/>
          <w:sz w:val="24"/>
          <w:szCs w:val="24"/>
        </w:rPr>
        <w:t xml:space="preserve">Kumar </w:t>
      </w:r>
      <w:r w:rsidRPr="00B80D19">
        <w:rPr>
          <w:rFonts w:ascii="Times New Roman" w:hAnsi="Times New Roman" w:cs="Times New Roman"/>
          <w:sz w:val="24"/>
          <w:szCs w:val="24"/>
        </w:rPr>
        <w:t>Sinha</w:t>
      </w:r>
      <w:r w:rsidR="0033299E" w:rsidRPr="00B80D19">
        <w:rPr>
          <w:rFonts w:ascii="Times New Roman" w:hAnsi="Times New Roman" w:cs="Times New Roman"/>
          <w:sz w:val="24"/>
          <w:szCs w:val="24"/>
        </w:rPr>
        <w:br/>
        <w:t>PPHA 39930</w:t>
      </w:r>
      <w:r w:rsidR="0033299E" w:rsidRPr="00B80D19">
        <w:rPr>
          <w:rFonts w:ascii="Times New Roman" w:hAnsi="Times New Roman" w:cs="Times New Roman"/>
          <w:sz w:val="24"/>
          <w:szCs w:val="24"/>
        </w:rPr>
        <w:br/>
        <w:t xml:space="preserve">Assignment </w:t>
      </w:r>
      <w:r w:rsidR="00640F2C" w:rsidRPr="00B80D19">
        <w:rPr>
          <w:rFonts w:ascii="Times New Roman" w:hAnsi="Times New Roman" w:cs="Times New Roman"/>
          <w:sz w:val="24"/>
          <w:szCs w:val="24"/>
        </w:rPr>
        <w:t>2</w:t>
      </w:r>
      <w:r w:rsidR="0033299E" w:rsidRPr="00B80D19">
        <w:rPr>
          <w:rFonts w:ascii="Times New Roman" w:hAnsi="Times New Roman" w:cs="Times New Roman"/>
          <w:sz w:val="24"/>
          <w:szCs w:val="24"/>
        </w:rPr>
        <w:br/>
      </w:r>
      <w:r w:rsidR="00E35152" w:rsidRPr="00B80D19">
        <w:rPr>
          <w:rFonts w:ascii="Times New Roman" w:hAnsi="Times New Roman" w:cs="Times New Roman"/>
          <w:sz w:val="24"/>
          <w:szCs w:val="24"/>
        </w:rPr>
        <w:t xml:space="preserve">January </w:t>
      </w:r>
      <w:r w:rsidR="00640F2C" w:rsidRPr="00B80D19">
        <w:rPr>
          <w:rFonts w:ascii="Times New Roman" w:hAnsi="Times New Roman" w:cs="Times New Roman"/>
          <w:sz w:val="24"/>
          <w:szCs w:val="24"/>
        </w:rPr>
        <w:t>31</w:t>
      </w:r>
      <w:r w:rsidR="00E35152" w:rsidRPr="00B80D19">
        <w:rPr>
          <w:rFonts w:ascii="Times New Roman" w:hAnsi="Times New Roman" w:cs="Times New Roman"/>
          <w:sz w:val="24"/>
          <w:szCs w:val="24"/>
        </w:rPr>
        <w:t>, 2024</w:t>
      </w:r>
    </w:p>
    <w:p w14:paraId="0B2E8CFA" w14:textId="16CE2165" w:rsidR="006714B9" w:rsidRPr="00B80D19" w:rsidRDefault="00093D86" w:rsidP="00640F2C">
      <w:pPr>
        <w:rPr>
          <w:rFonts w:ascii="Times New Roman" w:hAnsi="Times New Roman" w:cs="Times New Roman"/>
          <w:sz w:val="24"/>
          <w:szCs w:val="24"/>
        </w:rPr>
      </w:pPr>
      <w:r w:rsidRPr="00B80D19">
        <w:rPr>
          <w:rFonts w:ascii="Times New Roman" w:hAnsi="Times New Roman" w:cs="Times New Roman"/>
          <w:b/>
          <w:bCs/>
          <w:sz w:val="36"/>
          <w:szCs w:val="36"/>
        </w:rPr>
        <w:t>Q1.</w:t>
      </w:r>
      <w:r w:rsidRPr="00B80D19">
        <w:rPr>
          <w:rFonts w:ascii="Times New Roman" w:hAnsi="Times New Roman" w:cs="Times New Roman"/>
          <w:sz w:val="24"/>
          <w:szCs w:val="24"/>
        </w:rPr>
        <w:t xml:space="preserve"> </w:t>
      </w:r>
      <w:r w:rsidR="006714B9" w:rsidRPr="00B80D19">
        <w:rPr>
          <w:rFonts w:ascii="Times New Roman" w:hAnsi="Times New Roman" w:cs="Times New Roman"/>
          <w:sz w:val="24"/>
          <w:szCs w:val="24"/>
        </w:rPr>
        <w:t xml:space="preserve">Refer to attached working document for </w:t>
      </w:r>
      <w:r w:rsidR="00C0434F" w:rsidRPr="00B80D19">
        <w:rPr>
          <w:rFonts w:ascii="Times New Roman" w:hAnsi="Times New Roman" w:cs="Times New Roman"/>
          <w:sz w:val="24"/>
          <w:szCs w:val="24"/>
        </w:rPr>
        <w:t>code behind all figures and plots</w:t>
      </w:r>
    </w:p>
    <w:p w14:paraId="45089AFC" w14:textId="1349DC6E" w:rsidR="00640F2C" w:rsidRPr="00B80D19" w:rsidRDefault="00A35187" w:rsidP="00640F2C">
      <w:pPr>
        <w:rPr>
          <w:rFonts w:ascii="Times New Roman" w:hAnsi="Times New Roman" w:cs="Times New Roman"/>
          <w:sz w:val="24"/>
          <w:szCs w:val="24"/>
        </w:rPr>
      </w:pPr>
      <w:r w:rsidRPr="00B80D19">
        <w:rPr>
          <w:rFonts w:ascii="Times New Roman" w:hAnsi="Times New Roman" w:cs="Times New Roman"/>
          <w:b/>
          <w:bCs/>
          <w:sz w:val="24"/>
          <w:szCs w:val="24"/>
        </w:rPr>
        <w:t xml:space="preserve">Q1. </w:t>
      </w:r>
      <w:r w:rsidR="00285DB1" w:rsidRPr="00B80D19">
        <w:rPr>
          <w:rFonts w:ascii="Times New Roman" w:hAnsi="Times New Roman" w:cs="Times New Roman"/>
          <w:b/>
          <w:bCs/>
          <w:sz w:val="24"/>
          <w:szCs w:val="24"/>
        </w:rPr>
        <w:t>a)</w:t>
      </w:r>
      <w:r w:rsidR="00285DB1" w:rsidRPr="00B80D19">
        <w:rPr>
          <w:rFonts w:ascii="Times New Roman" w:hAnsi="Times New Roman" w:cs="Times New Roman"/>
          <w:sz w:val="24"/>
          <w:szCs w:val="24"/>
        </w:rPr>
        <w:t xml:space="preserve"> </w:t>
      </w:r>
      <w:r w:rsidR="008F1333" w:rsidRPr="00B80D19">
        <w:rPr>
          <w:rFonts w:ascii="Times New Roman" w:hAnsi="Times New Roman" w:cs="Times New Roman"/>
          <w:noProof/>
          <w:sz w:val="24"/>
          <w:szCs w:val="24"/>
        </w:rPr>
        <w:drawing>
          <wp:inline distT="0" distB="0" distL="0" distR="0" wp14:anchorId="5029CA98" wp14:editId="006C45FE">
            <wp:extent cx="4857750" cy="299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998952"/>
                    </a:xfrm>
                    <a:prstGeom prst="rect">
                      <a:avLst/>
                    </a:prstGeom>
                    <a:noFill/>
                    <a:ln>
                      <a:noFill/>
                    </a:ln>
                  </pic:spPr>
                </pic:pic>
              </a:graphicData>
            </a:graphic>
          </wp:inline>
        </w:drawing>
      </w:r>
    </w:p>
    <w:p w14:paraId="467A7E3C" w14:textId="0D4C6270" w:rsidR="00B625CA" w:rsidRPr="00B80D19" w:rsidRDefault="00361F97" w:rsidP="00640F2C">
      <w:pPr>
        <w:rPr>
          <w:rFonts w:ascii="Times New Roman" w:eastAsiaTheme="minorEastAsia" w:hAnsi="Times New Roman" w:cs="Times New Roman"/>
          <w:sz w:val="24"/>
          <w:szCs w:val="24"/>
        </w:rPr>
      </w:pPr>
      <w:r w:rsidRPr="00B80D19">
        <w:rPr>
          <w:rFonts w:ascii="Times New Roman" w:hAnsi="Times New Roman" w:cs="Times New Roman"/>
          <w:b/>
          <w:bCs/>
          <w:sz w:val="24"/>
          <w:szCs w:val="24"/>
        </w:rPr>
        <w:t xml:space="preserve">Q1. </w:t>
      </w:r>
      <w:r w:rsidR="000F73CB" w:rsidRPr="00B80D19">
        <w:rPr>
          <w:rFonts w:ascii="Times New Roman" w:hAnsi="Times New Roman" w:cs="Times New Roman"/>
          <w:b/>
          <w:bCs/>
          <w:sz w:val="24"/>
          <w:szCs w:val="24"/>
        </w:rPr>
        <w:t>b)</w:t>
      </w:r>
      <w:r w:rsidR="000F73CB" w:rsidRPr="00B80D19">
        <w:rPr>
          <w:rFonts w:ascii="Times New Roman" w:hAnsi="Times New Roman" w:cs="Times New Roman"/>
          <w:sz w:val="24"/>
          <w:szCs w:val="24"/>
        </w:rPr>
        <w:t xml:space="preserve"> </w:t>
      </w:r>
      <w:r w:rsidR="009E54A6" w:rsidRPr="00B80D19">
        <w:rPr>
          <w:rFonts w:ascii="Times New Roman" w:hAnsi="Times New Roman" w:cs="Times New Roman"/>
          <w:sz w:val="24"/>
          <w:szCs w:val="24"/>
        </w:rPr>
        <w:t>Based on the</w:t>
      </w:r>
      <w:r w:rsidR="00DE0045" w:rsidRPr="00B80D19">
        <w:rPr>
          <w:rFonts w:ascii="Times New Roman" w:hAnsi="Times New Roman" w:cs="Times New Roman"/>
          <w:sz w:val="24"/>
          <w:szCs w:val="24"/>
        </w:rPr>
        <w:t xml:space="preserve"> data provided, we see that the average </w:t>
      </w:r>
      <w:r w:rsidR="00DE6BC1" w:rsidRPr="00B80D19">
        <w:rPr>
          <w:rFonts w:ascii="Times New Roman" w:hAnsi="Times New Roman" w:cs="Times New Roman"/>
          <w:sz w:val="24"/>
          <w:szCs w:val="24"/>
        </w:rPr>
        <w:t>number of days above 90</w:t>
      </w:r>
      <w:r w:rsidR="00F02788" w:rsidRPr="00B80D19">
        <w:rPr>
          <w:rFonts w:ascii="Times New Roman" w:hAnsi="Times New Roman" w:cs="Times New Roman"/>
          <w:sz w:val="24"/>
          <w:szCs w:val="24"/>
        </w:rPr>
        <w:t>⁰</w:t>
      </w:r>
      <w:r w:rsidR="00DE6BC1" w:rsidRPr="00B80D19">
        <w:rPr>
          <w:rFonts w:ascii="Times New Roman" w:hAnsi="Times New Roman" w:cs="Times New Roman"/>
          <w:sz w:val="24"/>
          <w:szCs w:val="24"/>
        </w:rPr>
        <w:t>F</w:t>
      </w:r>
      <w:r w:rsidR="007A46B2" w:rsidRPr="00B80D19">
        <w:rPr>
          <w:rFonts w:ascii="Times New Roman" w:hAnsi="Times New Roman" w:cs="Times New Roman"/>
          <w:sz w:val="24"/>
          <w:szCs w:val="24"/>
        </w:rPr>
        <w:t xml:space="preserve"> per year expected as a population weighted average across the US is just over a day at </w:t>
      </w:r>
      <w:r w:rsidR="007A46B2" w:rsidRPr="00B80D19">
        <w:rPr>
          <w:rFonts w:ascii="Times New Roman" w:hAnsi="Times New Roman" w:cs="Times New Roman"/>
          <w:b/>
          <w:bCs/>
          <w:sz w:val="24"/>
          <w:szCs w:val="24"/>
        </w:rPr>
        <w:t>1.21 days</w:t>
      </w:r>
      <w:r w:rsidR="007A46B2" w:rsidRPr="00B80D19">
        <w:rPr>
          <w:rFonts w:ascii="Times New Roman" w:hAnsi="Times New Roman" w:cs="Times New Roman"/>
          <w:sz w:val="24"/>
          <w:szCs w:val="24"/>
        </w:rPr>
        <w:t>.</w:t>
      </w:r>
      <w:r w:rsidR="00DE0045" w:rsidRPr="00B80D19">
        <w:rPr>
          <w:rFonts w:ascii="Times New Roman" w:hAnsi="Times New Roman" w:cs="Times New Roman"/>
          <w:sz w:val="24"/>
          <w:szCs w:val="24"/>
        </w:rPr>
        <w:t xml:space="preserve"> </w:t>
      </w:r>
    </w:p>
    <w:p w14:paraId="181135F5" w14:textId="515B1FB2" w:rsidR="00550836" w:rsidRPr="00B80D19" w:rsidRDefault="007A46B2" w:rsidP="00250B20">
      <w:pPr>
        <w:rPr>
          <w:rFonts w:ascii="Times New Roman" w:hAnsi="Times New Roman" w:cs="Times New Roman"/>
          <w:sz w:val="24"/>
          <w:szCs w:val="24"/>
        </w:rPr>
      </w:pPr>
      <w:r w:rsidRPr="00B80D19">
        <w:rPr>
          <w:rFonts w:ascii="Times New Roman" w:hAnsi="Times New Roman" w:cs="Times New Roman"/>
          <w:b/>
          <w:bCs/>
          <w:sz w:val="24"/>
          <w:szCs w:val="24"/>
        </w:rPr>
        <w:t>Q1. c)</w:t>
      </w:r>
      <w:r w:rsidRPr="00B80D19">
        <w:rPr>
          <w:rFonts w:ascii="Times New Roman" w:hAnsi="Times New Roman" w:cs="Times New Roman"/>
          <w:sz w:val="24"/>
          <w:szCs w:val="24"/>
        </w:rPr>
        <w:t xml:space="preserve"> </w:t>
      </w:r>
      <w:r w:rsidR="00D325F0" w:rsidRPr="00B80D19">
        <w:rPr>
          <w:rFonts w:ascii="Times New Roman" w:hAnsi="Times New Roman" w:cs="Times New Roman"/>
          <w:b/>
          <w:bCs/>
          <w:sz w:val="24"/>
          <w:szCs w:val="24"/>
        </w:rPr>
        <w:t>Yuma county</w:t>
      </w:r>
      <w:r w:rsidR="00D325F0" w:rsidRPr="00B80D19">
        <w:rPr>
          <w:rFonts w:ascii="Times New Roman" w:hAnsi="Times New Roman" w:cs="Times New Roman"/>
          <w:sz w:val="24"/>
          <w:szCs w:val="24"/>
        </w:rPr>
        <w:t xml:space="preserve"> in Arizona </w:t>
      </w:r>
      <w:r w:rsidR="009F5ED0" w:rsidRPr="00B80D19">
        <w:rPr>
          <w:rFonts w:ascii="Times New Roman" w:hAnsi="Times New Roman" w:cs="Times New Roman"/>
          <w:sz w:val="24"/>
          <w:szCs w:val="24"/>
        </w:rPr>
        <w:t xml:space="preserve">has the highest number of </w:t>
      </w:r>
      <w:r w:rsidR="00B766DA" w:rsidRPr="00B80D19">
        <w:rPr>
          <w:rFonts w:ascii="Times New Roman" w:hAnsi="Times New Roman" w:cs="Times New Roman"/>
          <w:sz w:val="24"/>
          <w:szCs w:val="24"/>
        </w:rPr>
        <w:t>days above 90⁰F</w:t>
      </w:r>
      <w:r w:rsidR="00C718A4" w:rsidRPr="00B80D19">
        <w:rPr>
          <w:rFonts w:ascii="Times New Roman" w:hAnsi="Times New Roman" w:cs="Times New Roman"/>
          <w:sz w:val="24"/>
          <w:szCs w:val="24"/>
        </w:rPr>
        <w:t xml:space="preserve">, at </w:t>
      </w:r>
      <w:r w:rsidR="00336DF4" w:rsidRPr="00B80D19">
        <w:rPr>
          <w:rFonts w:ascii="Times New Roman" w:hAnsi="Times New Roman" w:cs="Times New Roman"/>
          <w:sz w:val="24"/>
          <w:szCs w:val="24"/>
        </w:rPr>
        <w:t>almost 100 days</w:t>
      </w:r>
      <w:r w:rsidR="00C718A4" w:rsidRPr="00B80D19">
        <w:rPr>
          <w:rFonts w:ascii="Times New Roman" w:hAnsi="Times New Roman" w:cs="Times New Roman"/>
          <w:sz w:val="24"/>
          <w:szCs w:val="24"/>
        </w:rPr>
        <w:t xml:space="preserve"> (99.54 days to be precise). On average over the sample period of 1</w:t>
      </w:r>
      <w:r w:rsidR="008B216F" w:rsidRPr="00B80D19">
        <w:rPr>
          <w:rFonts w:ascii="Times New Roman" w:hAnsi="Times New Roman" w:cs="Times New Roman"/>
          <w:sz w:val="24"/>
          <w:szCs w:val="24"/>
        </w:rPr>
        <w:t>9</w:t>
      </w:r>
      <w:r w:rsidR="00C718A4" w:rsidRPr="00B80D19">
        <w:rPr>
          <w:rFonts w:ascii="Times New Roman" w:hAnsi="Times New Roman" w:cs="Times New Roman"/>
          <w:sz w:val="24"/>
          <w:szCs w:val="24"/>
        </w:rPr>
        <w:t>68-200</w:t>
      </w:r>
      <w:r w:rsidR="008B216F" w:rsidRPr="00B80D19">
        <w:rPr>
          <w:rFonts w:ascii="Times New Roman" w:hAnsi="Times New Roman" w:cs="Times New Roman"/>
          <w:sz w:val="24"/>
          <w:szCs w:val="24"/>
        </w:rPr>
        <w:t>2 in the dataset</w:t>
      </w:r>
      <w:r w:rsidR="00C718A4" w:rsidRPr="00B80D19">
        <w:rPr>
          <w:rFonts w:ascii="Times New Roman" w:hAnsi="Times New Roman" w:cs="Times New Roman"/>
          <w:sz w:val="24"/>
          <w:szCs w:val="24"/>
        </w:rPr>
        <w:t xml:space="preserve">, </w:t>
      </w:r>
      <w:r w:rsidR="008B216F" w:rsidRPr="00B80D19">
        <w:rPr>
          <w:rFonts w:ascii="Times New Roman" w:hAnsi="Times New Roman" w:cs="Times New Roman"/>
          <w:sz w:val="24"/>
          <w:szCs w:val="24"/>
        </w:rPr>
        <w:t xml:space="preserve">the </w:t>
      </w:r>
      <w:r w:rsidR="008B216F" w:rsidRPr="00B80D19">
        <w:rPr>
          <w:rFonts w:ascii="Times New Roman" w:hAnsi="Times New Roman" w:cs="Times New Roman"/>
          <w:b/>
          <w:bCs/>
          <w:sz w:val="24"/>
          <w:szCs w:val="24"/>
        </w:rPr>
        <w:t>number of counties that experienced no days above 90⁰F per year are 115 counties</w:t>
      </w:r>
      <w:r w:rsidR="008B216F" w:rsidRPr="00B80D19">
        <w:rPr>
          <w:rFonts w:ascii="Times New Roman" w:hAnsi="Times New Roman" w:cs="Times New Roman"/>
          <w:sz w:val="24"/>
          <w:szCs w:val="24"/>
        </w:rPr>
        <w:t xml:space="preserve"> out of a total of 2988, or about 3.85%.</w:t>
      </w:r>
    </w:p>
    <w:p w14:paraId="7B192895" w14:textId="77777777" w:rsidR="00630169" w:rsidRPr="00B80D19" w:rsidRDefault="00630169" w:rsidP="00250B20">
      <w:pPr>
        <w:rPr>
          <w:rFonts w:ascii="Times New Roman" w:eastAsiaTheme="minorEastAsia" w:hAnsi="Times New Roman" w:cs="Times New Roman"/>
          <w:sz w:val="24"/>
          <w:szCs w:val="24"/>
        </w:rPr>
      </w:pPr>
    </w:p>
    <w:p w14:paraId="22F4A4B3" w14:textId="3E9E0999" w:rsidR="00DD32E3" w:rsidRPr="00B80D19" w:rsidRDefault="00DD32E3" w:rsidP="00DD32E3">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36"/>
          <w:szCs w:val="36"/>
        </w:rPr>
        <w:t>Q2.</w:t>
      </w:r>
      <w:r w:rsidRPr="00B80D19">
        <w:rPr>
          <w:rFonts w:ascii="Times New Roman" w:eastAsiaTheme="minorEastAsia" w:hAnsi="Times New Roman" w:cs="Times New Roman"/>
          <w:sz w:val="24"/>
          <w:szCs w:val="24"/>
        </w:rPr>
        <w:t xml:space="preserve"> </w:t>
      </w:r>
      <w:r w:rsidRPr="00B80D19">
        <w:rPr>
          <w:rFonts w:ascii="Times New Roman" w:eastAsiaTheme="minorEastAsia" w:hAnsi="Times New Roman" w:cs="Times New Roman"/>
          <w:b/>
          <w:bCs/>
          <w:sz w:val="24"/>
          <w:szCs w:val="24"/>
        </w:rPr>
        <w:t>a)</w:t>
      </w:r>
      <w:r w:rsidRPr="00B80D19">
        <w:rPr>
          <w:rFonts w:ascii="Times New Roman" w:eastAsiaTheme="minorEastAsia" w:hAnsi="Times New Roman" w:cs="Times New Roman"/>
          <w:sz w:val="24"/>
          <w:szCs w:val="24"/>
        </w:rPr>
        <w:t xml:space="preserve"> </w:t>
      </w:r>
      <w:r w:rsidR="0003451D" w:rsidRPr="00B80D19">
        <w:rPr>
          <w:rFonts w:ascii="Times New Roman" w:eastAsiaTheme="minorEastAsia" w:hAnsi="Times New Roman" w:cs="Times New Roman"/>
          <w:sz w:val="24"/>
          <w:szCs w:val="24"/>
        </w:rPr>
        <w:t>As of 2021, the age-adjusted death rate in the United States was 879.7 deaths per 100,000 population. This represents an increase of 5.3% from the previous year, which had a death rate of 835.4 deaths per 100,000 population.</w:t>
      </w:r>
      <w:r w:rsidR="00846A8B" w:rsidRPr="00B80D19">
        <w:rPr>
          <w:rFonts w:ascii="Times New Roman" w:eastAsiaTheme="minorEastAsia" w:hAnsi="Times New Roman" w:cs="Times New Roman"/>
          <w:sz w:val="24"/>
          <w:szCs w:val="24"/>
        </w:rPr>
        <w:t xml:space="preserve"> </w:t>
      </w:r>
      <w:hyperlink r:id="rId6" w:history="1">
        <w:r w:rsidR="00846A8B" w:rsidRPr="00B80D19">
          <w:rPr>
            <w:rStyle w:val="Hyperlink"/>
            <w:rFonts w:ascii="Times New Roman" w:eastAsiaTheme="minorEastAsia" w:hAnsi="Times New Roman" w:cs="Times New Roman"/>
            <w:sz w:val="24"/>
            <w:szCs w:val="24"/>
          </w:rPr>
          <w:t>Data is from the CDC</w:t>
        </w:r>
      </w:hyperlink>
      <w:r w:rsidR="00846A8B" w:rsidRPr="00B80D19">
        <w:rPr>
          <w:rFonts w:ascii="Times New Roman" w:eastAsiaTheme="minorEastAsia" w:hAnsi="Times New Roman" w:cs="Times New Roman"/>
          <w:sz w:val="24"/>
          <w:szCs w:val="24"/>
        </w:rPr>
        <w:t>.</w:t>
      </w:r>
      <w:r w:rsidR="0099336D" w:rsidRPr="00B80D19">
        <w:rPr>
          <w:rFonts w:ascii="Times New Roman" w:eastAsiaTheme="minorEastAsia" w:hAnsi="Times New Roman" w:cs="Times New Roman"/>
          <w:sz w:val="24"/>
          <w:szCs w:val="24"/>
        </w:rPr>
        <w:t xml:space="preserve"> </w:t>
      </w:r>
      <w:r w:rsidR="00336DF4" w:rsidRPr="00B80D19">
        <w:rPr>
          <w:rFonts w:ascii="Times New Roman" w:eastAsiaTheme="minorEastAsia" w:hAnsi="Times New Roman" w:cs="Times New Roman"/>
          <w:sz w:val="24"/>
          <w:szCs w:val="24"/>
        </w:rPr>
        <w:br/>
      </w:r>
      <w:r w:rsidR="0099336D" w:rsidRPr="00B80D19">
        <w:rPr>
          <w:rFonts w:ascii="Times New Roman" w:eastAsiaTheme="minorEastAsia" w:hAnsi="Times New Roman" w:cs="Times New Roman"/>
          <w:sz w:val="24"/>
          <w:szCs w:val="24"/>
        </w:rPr>
        <w:t>Based on the</w:t>
      </w:r>
      <w:r w:rsidR="00B85703" w:rsidRPr="00B80D19">
        <w:rPr>
          <w:rFonts w:ascii="Times New Roman" w:eastAsiaTheme="minorEastAsia" w:hAnsi="Times New Roman" w:cs="Times New Roman"/>
          <w:sz w:val="24"/>
          <w:szCs w:val="24"/>
        </w:rPr>
        <w:t xml:space="preserve"> </w:t>
      </w:r>
      <w:r w:rsidR="008E0A6D" w:rsidRPr="00B80D19">
        <w:rPr>
          <w:rFonts w:ascii="Times New Roman" w:eastAsiaTheme="minorEastAsia" w:hAnsi="Times New Roman" w:cs="Times New Roman"/>
          <w:sz w:val="24"/>
          <w:szCs w:val="24"/>
        </w:rPr>
        <w:t xml:space="preserve">our </w:t>
      </w:r>
      <w:r w:rsidR="00B85703" w:rsidRPr="00B80D19">
        <w:rPr>
          <w:rFonts w:ascii="Times New Roman" w:eastAsiaTheme="minorEastAsia" w:hAnsi="Times New Roman" w:cs="Times New Roman"/>
          <w:sz w:val="24"/>
          <w:szCs w:val="24"/>
        </w:rPr>
        <w:t>data,</w:t>
      </w:r>
      <w:r w:rsidR="0099336D" w:rsidRPr="00B80D19">
        <w:rPr>
          <w:rFonts w:ascii="Times New Roman" w:eastAsiaTheme="minorEastAsia" w:hAnsi="Times New Roman" w:cs="Times New Roman"/>
          <w:sz w:val="24"/>
          <w:szCs w:val="24"/>
        </w:rPr>
        <w:t xml:space="preserve"> </w:t>
      </w:r>
      <w:r w:rsidR="008E0A6D" w:rsidRPr="00B80D19">
        <w:rPr>
          <w:rFonts w:ascii="Times New Roman" w:eastAsiaTheme="minorEastAsia" w:hAnsi="Times New Roman" w:cs="Times New Roman"/>
          <w:b/>
          <w:bCs/>
          <w:sz w:val="24"/>
          <w:szCs w:val="24"/>
        </w:rPr>
        <w:t xml:space="preserve">the national average over-65 mortality rate </w:t>
      </w:r>
      <w:r w:rsidR="008548E1" w:rsidRPr="00B80D19">
        <w:rPr>
          <w:rFonts w:ascii="Times New Roman" w:eastAsiaTheme="minorEastAsia" w:hAnsi="Times New Roman" w:cs="Times New Roman"/>
          <w:b/>
          <w:bCs/>
          <w:sz w:val="24"/>
          <w:szCs w:val="24"/>
        </w:rPr>
        <w:t>is 5365.07 deaths per 100,000 population</w:t>
      </w:r>
      <w:r w:rsidR="008548E1" w:rsidRPr="00B80D19">
        <w:rPr>
          <w:rFonts w:ascii="Times New Roman" w:eastAsiaTheme="minorEastAsia" w:hAnsi="Times New Roman" w:cs="Times New Roman"/>
          <w:sz w:val="24"/>
          <w:szCs w:val="24"/>
        </w:rPr>
        <w:t xml:space="preserve">. This is </w:t>
      </w:r>
      <w:r w:rsidR="00336DF4" w:rsidRPr="00B80D19">
        <w:rPr>
          <w:rFonts w:ascii="Times New Roman" w:eastAsiaTheme="minorEastAsia" w:hAnsi="Times New Roman" w:cs="Times New Roman"/>
          <w:b/>
          <w:bCs/>
          <w:sz w:val="24"/>
          <w:szCs w:val="24"/>
        </w:rPr>
        <w:t>about 6 times higher than the 2021 age-adjusted death rate</w:t>
      </w:r>
      <w:r w:rsidR="00336DF4" w:rsidRPr="00B80D19">
        <w:rPr>
          <w:rFonts w:ascii="Times New Roman" w:eastAsiaTheme="minorEastAsia" w:hAnsi="Times New Roman" w:cs="Times New Roman"/>
          <w:sz w:val="24"/>
          <w:szCs w:val="24"/>
        </w:rPr>
        <w:t>.</w:t>
      </w:r>
    </w:p>
    <w:p w14:paraId="62989CAE" w14:textId="2DF55E29" w:rsidR="00EB1FD5" w:rsidRPr="00B80D19" w:rsidRDefault="00361F97" w:rsidP="00DD32E3">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24"/>
          <w:szCs w:val="24"/>
        </w:rPr>
        <w:t xml:space="preserve">Q2. </w:t>
      </w:r>
      <w:r w:rsidR="007D5A31" w:rsidRPr="00B80D19">
        <w:rPr>
          <w:rFonts w:ascii="Times New Roman" w:eastAsiaTheme="minorEastAsia" w:hAnsi="Times New Roman" w:cs="Times New Roman"/>
          <w:b/>
          <w:bCs/>
          <w:sz w:val="24"/>
          <w:szCs w:val="24"/>
        </w:rPr>
        <w:t>b)</w:t>
      </w:r>
      <w:r w:rsidR="007D5A31" w:rsidRPr="00B80D19">
        <w:rPr>
          <w:rFonts w:ascii="Times New Roman" w:eastAsiaTheme="minorEastAsia" w:hAnsi="Times New Roman" w:cs="Times New Roman"/>
          <w:sz w:val="24"/>
          <w:szCs w:val="24"/>
        </w:rPr>
        <w:t xml:space="preserve"> </w:t>
      </w:r>
      <w:r w:rsidR="00336DF4" w:rsidRPr="00B80D19">
        <w:rPr>
          <w:rFonts w:ascii="Times New Roman" w:eastAsiaTheme="minorEastAsia" w:hAnsi="Times New Roman" w:cs="Times New Roman"/>
          <w:sz w:val="24"/>
          <w:szCs w:val="24"/>
        </w:rPr>
        <w:t xml:space="preserve">The total number of deaths </w:t>
      </w:r>
      <w:r w:rsidR="004C0F1F" w:rsidRPr="00B80D19">
        <w:rPr>
          <w:rFonts w:ascii="Times New Roman" w:eastAsiaTheme="minorEastAsia" w:hAnsi="Times New Roman" w:cs="Times New Roman"/>
          <w:sz w:val="24"/>
          <w:szCs w:val="24"/>
        </w:rPr>
        <w:t xml:space="preserve">recorded from 1968-2002 in the data </w:t>
      </w:r>
      <w:r w:rsidR="00630169" w:rsidRPr="00B80D19">
        <w:rPr>
          <w:rFonts w:ascii="Times New Roman" w:eastAsiaTheme="minorEastAsia" w:hAnsi="Times New Roman" w:cs="Times New Roman"/>
          <w:sz w:val="24"/>
          <w:szCs w:val="24"/>
        </w:rPr>
        <w:t xml:space="preserve">is </w:t>
      </w:r>
      <w:r w:rsidR="00630169" w:rsidRPr="00B80D19">
        <w:rPr>
          <w:rFonts w:ascii="Times New Roman" w:eastAsiaTheme="minorEastAsia" w:hAnsi="Times New Roman" w:cs="Times New Roman"/>
          <w:b/>
          <w:bCs/>
          <w:sz w:val="24"/>
          <w:szCs w:val="24"/>
        </w:rPr>
        <w:t>50,830,306, or about 50.8 million deaths</w:t>
      </w:r>
      <w:r w:rsidR="00630169" w:rsidRPr="00B80D19">
        <w:rPr>
          <w:rFonts w:ascii="Times New Roman" w:eastAsiaTheme="minorEastAsia" w:hAnsi="Times New Roman" w:cs="Times New Roman"/>
          <w:sz w:val="24"/>
          <w:szCs w:val="24"/>
        </w:rPr>
        <w:t>.</w:t>
      </w:r>
    </w:p>
    <w:p w14:paraId="2B546042" w14:textId="77777777" w:rsidR="002051C6" w:rsidRPr="00B80D19" w:rsidRDefault="002051C6" w:rsidP="00F11724">
      <w:pPr>
        <w:rPr>
          <w:rFonts w:ascii="Times New Roman" w:eastAsiaTheme="minorEastAsia" w:hAnsi="Times New Roman" w:cs="Times New Roman"/>
          <w:sz w:val="24"/>
          <w:szCs w:val="24"/>
        </w:rPr>
      </w:pPr>
    </w:p>
    <w:p w14:paraId="177F878C" w14:textId="3F1BE707" w:rsidR="008C29F5" w:rsidRPr="00B80D19" w:rsidRDefault="00F21616" w:rsidP="00B65E2B">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36"/>
          <w:szCs w:val="36"/>
        </w:rPr>
        <w:lastRenderedPageBreak/>
        <w:t>Q3</w:t>
      </w:r>
      <w:r w:rsidRPr="00B80D19">
        <w:rPr>
          <w:rFonts w:ascii="Times New Roman" w:eastAsiaTheme="minorEastAsia" w:hAnsi="Times New Roman" w:cs="Times New Roman"/>
          <w:b/>
          <w:bCs/>
          <w:sz w:val="24"/>
          <w:szCs w:val="24"/>
        </w:rPr>
        <w:t xml:space="preserve">. </w:t>
      </w:r>
      <w:r w:rsidR="00607129" w:rsidRPr="00B80D19">
        <w:rPr>
          <w:rFonts w:ascii="Times New Roman" w:eastAsiaTheme="minorEastAsia" w:hAnsi="Times New Roman" w:cs="Times New Roman"/>
          <w:b/>
          <w:bCs/>
          <w:sz w:val="24"/>
          <w:szCs w:val="24"/>
        </w:rPr>
        <w:t>a)</w:t>
      </w:r>
      <w:r w:rsidR="00607129" w:rsidRPr="00B80D19">
        <w:rPr>
          <w:rFonts w:ascii="Times New Roman" w:eastAsiaTheme="minorEastAsia" w:hAnsi="Times New Roman" w:cs="Times New Roman"/>
          <w:sz w:val="24"/>
          <w:szCs w:val="24"/>
        </w:rPr>
        <w:t xml:space="preserve"> </w:t>
      </w:r>
      <w:r w:rsidR="00830F5A" w:rsidRPr="00B80D19">
        <w:rPr>
          <w:rFonts w:ascii="Times New Roman" w:eastAsiaTheme="minorEastAsia" w:hAnsi="Times New Roman" w:cs="Times New Roman"/>
          <w:noProof/>
          <w:sz w:val="24"/>
          <w:szCs w:val="24"/>
        </w:rPr>
        <w:drawing>
          <wp:inline distT="0" distB="0" distL="0" distR="0" wp14:anchorId="3F6453E0" wp14:editId="44C191C9">
            <wp:extent cx="6006627"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18430" cy="3722050"/>
                    </a:xfrm>
                    <a:prstGeom prst="rect">
                      <a:avLst/>
                    </a:prstGeom>
                    <a:noFill/>
                    <a:ln>
                      <a:noFill/>
                    </a:ln>
                  </pic:spPr>
                </pic:pic>
              </a:graphicData>
            </a:graphic>
          </wp:inline>
        </w:drawing>
      </w:r>
    </w:p>
    <w:p w14:paraId="66D5F4F3" w14:textId="02C26770" w:rsidR="0009294F" w:rsidRPr="00B80D19" w:rsidRDefault="0009294F" w:rsidP="00B65E2B">
      <w:pPr>
        <w:rPr>
          <w:rFonts w:ascii="Times New Roman" w:eastAsiaTheme="minorEastAsia" w:hAnsi="Times New Roman" w:cs="Times New Roman"/>
          <w:sz w:val="24"/>
          <w:szCs w:val="24"/>
        </w:rPr>
      </w:pPr>
      <w:r w:rsidRPr="00B80D19">
        <w:rPr>
          <w:rFonts w:ascii="Times New Roman" w:eastAsiaTheme="minorEastAsia" w:hAnsi="Times New Roman" w:cs="Times New Roman"/>
          <w:sz w:val="24"/>
          <w:szCs w:val="24"/>
        </w:rPr>
        <w:t xml:space="preserve">We see that the slope is -4.61. The pattern that emerges is that </w:t>
      </w:r>
      <w:r w:rsidR="004C5369" w:rsidRPr="00B80D19">
        <w:rPr>
          <w:rFonts w:ascii="Times New Roman" w:eastAsiaTheme="minorEastAsia" w:hAnsi="Times New Roman" w:cs="Times New Roman"/>
          <w:sz w:val="24"/>
          <w:szCs w:val="24"/>
        </w:rPr>
        <w:t>there is a slight downward trend as the average county temperature increases.</w:t>
      </w:r>
      <w:r w:rsidR="002426E0" w:rsidRPr="00B80D19">
        <w:rPr>
          <w:rFonts w:ascii="Times New Roman" w:eastAsiaTheme="minorEastAsia" w:hAnsi="Times New Roman" w:cs="Times New Roman"/>
          <w:sz w:val="24"/>
          <w:szCs w:val="24"/>
        </w:rPr>
        <w:t xml:space="preserve"> This means that with an increase in temperature by </w:t>
      </w:r>
      <w:r w:rsidR="00A0263D" w:rsidRPr="00B80D19">
        <w:rPr>
          <w:rFonts w:ascii="Times New Roman" w:eastAsiaTheme="minorEastAsia" w:hAnsi="Times New Roman" w:cs="Times New Roman"/>
          <w:sz w:val="24"/>
          <w:szCs w:val="24"/>
        </w:rPr>
        <w:t>1</w:t>
      </w:r>
      <w:r w:rsidR="00A0263D" w:rsidRPr="00B80D19">
        <w:rPr>
          <w:rFonts w:ascii="Times New Roman" w:hAnsi="Times New Roman" w:cs="Times New Roman"/>
          <w:sz w:val="24"/>
          <w:szCs w:val="24"/>
        </w:rPr>
        <w:t>⁰F, the over-65 mortality rate decreases by 4.61 deaths per 100,000 population.</w:t>
      </w:r>
    </w:p>
    <w:p w14:paraId="68402A55" w14:textId="77777777" w:rsidR="00863781" w:rsidRPr="00B80D19" w:rsidRDefault="00361F97" w:rsidP="00347956">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24"/>
          <w:szCs w:val="24"/>
        </w:rPr>
        <w:t xml:space="preserve">Q3. </w:t>
      </w:r>
      <w:r w:rsidR="000525CE" w:rsidRPr="00B80D19">
        <w:rPr>
          <w:rFonts w:ascii="Times New Roman" w:eastAsiaTheme="minorEastAsia" w:hAnsi="Times New Roman" w:cs="Times New Roman"/>
          <w:b/>
          <w:bCs/>
          <w:sz w:val="24"/>
          <w:szCs w:val="24"/>
        </w:rPr>
        <w:t>b)</w:t>
      </w:r>
      <w:r w:rsidR="000525CE" w:rsidRPr="00B80D19">
        <w:rPr>
          <w:rFonts w:ascii="Times New Roman" w:eastAsiaTheme="minorEastAsia" w:hAnsi="Times New Roman" w:cs="Times New Roman"/>
          <w:sz w:val="24"/>
          <w:szCs w:val="24"/>
        </w:rPr>
        <w:t xml:space="preserve"> </w:t>
      </w:r>
      <w:r w:rsidR="00943444" w:rsidRPr="00B80D19">
        <w:rPr>
          <w:rFonts w:ascii="Times New Roman" w:eastAsiaTheme="minorEastAsia" w:hAnsi="Times New Roman" w:cs="Times New Roman"/>
          <w:sz w:val="24"/>
          <w:szCs w:val="24"/>
        </w:rPr>
        <w:t xml:space="preserve">Based on the graphs for hot and hotter days, we see that the mortality </w:t>
      </w:r>
      <w:r w:rsidR="003B53B4" w:rsidRPr="00B80D19">
        <w:rPr>
          <w:rFonts w:ascii="Times New Roman" w:eastAsiaTheme="minorEastAsia" w:hAnsi="Times New Roman" w:cs="Times New Roman"/>
          <w:sz w:val="24"/>
          <w:szCs w:val="24"/>
        </w:rPr>
        <w:t xml:space="preserve">rate is negatively correlated with </w:t>
      </w:r>
      <w:r w:rsidR="00377EF3" w:rsidRPr="00B80D19">
        <w:rPr>
          <w:rFonts w:ascii="Times New Roman" w:eastAsiaTheme="minorEastAsia" w:hAnsi="Times New Roman" w:cs="Times New Roman"/>
          <w:sz w:val="24"/>
          <w:szCs w:val="24"/>
        </w:rPr>
        <w:t xml:space="preserve">increasing number of both hot and hotter days. However, </w:t>
      </w:r>
      <w:r w:rsidR="009E67B2" w:rsidRPr="00B80D19">
        <w:rPr>
          <w:rFonts w:ascii="Times New Roman" w:eastAsiaTheme="minorEastAsia" w:hAnsi="Times New Roman" w:cs="Times New Roman"/>
          <w:sz w:val="24"/>
          <w:szCs w:val="24"/>
        </w:rPr>
        <w:t xml:space="preserve">most of the points on the scatter plot are concentrated around a relatively small set of values. Based on the </w:t>
      </w:r>
      <w:r w:rsidR="002454FC" w:rsidRPr="00B80D19">
        <w:rPr>
          <w:rFonts w:ascii="Times New Roman" w:eastAsiaTheme="minorEastAsia" w:hAnsi="Times New Roman" w:cs="Times New Roman"/>
          <w:sz w:val="24"/>
          <w:szCs w:val="24"/>
        </w:rPr>
        <w:t xml:space="preserve">R-squared values, we see that there is really no correlation </w:t>
      </w:r>
      <w:r w:rsidR="002E6C22" w:rsidRPr="00B80D19">
        <w:rPr>
          <w:rFonts w:ascii="Times New Roman" w:eastAsiaTheme="minorEastAsia" w:hAnsi="Times New Roman" w:cs="Times New Roman"/>
          <w:sz w:val="24"/>
          <w:szCs w:val="24"/>
        </w:rPr>
        <w:t xml:space="preserve">in either of the graphs. </w:t>
      </w:r>
    </w:p>
    <w:p w14:paraId="19377EA2" w14:textId="362944C6" w:rsidR="00EF19FD" w:rsidRPr="00B80D19" w:rsidRDefault="00347956" w:rsidP="00347956">
      <w:pPr>
        <w:rPr>
          <w:rFonts w:ascii="Times New Roman" w:eastAsiaTheme="minorEastAsia" w:hAnsi="Times New Roman" w:cs="Times New Roman"/>
          <w:sz w:val="24"/>
          <w:szCs w:val="24"/>
        </w:rPr>
      </w:pPr>
      <w:r w:rsidRPr="00B80D19">
        <w:rPr>
          <w:rFonts w:ascii="Times New Roman" w:eastAsiaTheme="minorEastAsia" w:hAnsi="Times New Roman" w:cs="Times New Roman"/>
          <w:sz w:val="24"/>
          <w:szCs w:val="24"/>
        </w:rPr>
        <w:t xml:space="preserve">The concentration of scatter points between 0 and 75 days for the hotter days </w:t>
      </w:r>
      <w:r w:rsidR="00863781" w:rsidRPr="00B80D19">
        <w:rPr>
          <w:rFonts w:ascii="Times New Roman" w:eastAsiaTheme="minorEastAsia" w:hAnsi="Times New Roman" w:cs="Times New Roman"/>
          <w:sz w:val="24"/>
          <w:szCs w:val="24"/>
        </w:rPr>
        <w:t>graph</w:t>
      </w:r>
      <w:r w:rsidRPr="00B80D19">
        <w:rPr>
          <w:rFonts w:ascii="Times New Roman" w:eastAsiaTheme="minorEastAsia" w:hAnsi="Times New Roman" w:cs="Times New Roman"/>
          <w:sz w:val="24"/>
          <w:szCs w:val="24"/>
        </w:rPr>
        <w:t xml:space="preserve"> shows that most </w:t>
      </w:r>
      <w:r w:rsidR="00863781" w:rsidRPr="00B80D19">
        <w:rPr>
          <w:rFonts w:ascii="Times New Roman" w:eastAsiaTheme="minorEastAsia" w:hAnsi="Times New Roman" w:cs="Times New Roman"/>
          <w:sz w:val="24"/>
          <w:szCs w:val="24"/>
        </w:rPr>
        <w:t>people</w:t>
      </w:r>
      <w:r w:rsidRPr="00B80D19">
        <w:rPr>
          <w:rFonts w:ascii="Times New Roman" w:eastAsiaTheme="minorEastAsia" w:hAnsi="Times New Roman" w:cs="Times New Roman"/>
          <w:sz w:val="24"/>
          <w:szCs w:val="24"/>
        </w:rPr>
        <w:t xml:space="preserve"> over 65 live in counties which do not experience temperatures higher than</w:t>
      </w:r>
      <w:r w:rsidR="00863781" w:rsidRPr="00B80D19">
        <w:rPr>
          <w:rFonts w:ascii="Times New Roman" w:eastAsiaTheme="minorEastAsia" w:hAnsi="Times New Roman" w:cs="Times New Roman"/>
          <w:sz w:val="24"/>
          <w:szCs w:val="24"/>
        </w:rPr>
        <w:t xml:space="preserve"> </w:t>
      </w:r>
      <w:r w:rsidRPr="00B80D19">
        <w:rPr>
          <w:rFonts w:ascii="Times New Roman" w:eastAsiaTheme="minorEastAsia" w:hAnsi="Times New Roman" w:cs="Times New Roman"/>
          <w:sz w:val="24"/>
          <w:szCs w:val="24"/>
        </w:rPr>
        <w:t>8</w:t>
      </w:r>
      <w:r w:rsidR="00863781" w:rsidRPr="00B80D19">
        <w:rPr>
          <w:rFonts w:ascii="Times New Roman" w:eastAsiaTheme="minorEastAsia" w:hAnsi="Times New Roman" w:cs="Times New Roman"/>
          <w:sz w:val="24"/>
          <w:szCs w:val="24"/>
        </w:rPr>
        <w:t>0</w:t>
      </w:r>
      <w:r w:rsidR="00863781" w:rsidRPr="00B80D19">
        <w:rPr>
          <w:rFonts w:ascii="Times New Roman" w:hAnsi="Times New Roman" w:cs="Times New Roman"/>
          <w:kern w:val="0"/>
          <w:sz w:val="24"/>
          <w:szCs w:val="24"/>
          <w14:ligatures w14:val="none"/>
        </w:rPr>
        <w:t>⁰F</w:t>
      </w:r>
      <w:r w:rsidRPr="00B80D19">
        <w:rPr>
          <w:rFonts w:ascii="Times New Roman" w:eastAsiaTheme="minorEastAsia" w:hAnsi="Times New Roman" w:cs="Times New Roman"/>
          <w:sz w:val="24"/>
          <w:szCs w:val="24"/>
        </w:rPr>
        <w:t xml:space="preserve"> for most of the year. Similarly, the concentration of scatter points between </w:t>
      </w:r>
      <w:r w:rsidR="00863781" w:rsidRPr="00B80D19">
        <w:rPr>
          <w:rFonts w:ascii="Times New Roman" w:eastAsiaTheme="minorEastAsia" w:hAnsi="Times New Roman" w:cs="Times New Roman"/>
          <w:sz w:val="24"/>
          <w:szCs w:val="24"/>
        </w:rPr>
        <w:t>0</w:t>
      </w:r>
      <w:r w:rsidRPr="00B80D19">
        <w:rPr>
          <w:rFonts w:ascii="Times New Roman" w:eastAsiaTheme="minorEastAsia" w:hAnsi="Times New Roman" w:cs="Times New Roman"/>
          <w:sz w:val="24"/>
          <w:szCs w:val="24"/>
        </w:rPr>
        <w:t xml:space="preserve"> and about</w:t>
      </w:r>
      <w:r w:rsidR="00863781" w:rsidRPr="00B80D19">
        <w:rPr>
          <w:rFonts w:ascii="Times New Roman" w:eastAsiaTheme="minorEastAsia" w:hAnsi="Times New Roman" w:cs="Times New Roman"/>
          <w:sz w:val="24"/>
          <w:szCs w:val="24"/>
        </w:rPr>
        <w:t xml:space="preserve"> </w:t>
      </w:r>
      <w:r w:rsidRPr="00B80D19">
        <w:rPr>
          <w:rFonts w:ascii="Times New Roman" w:eastAsiaTheme="minorEastAsia" w:hAnsi="Times New Roman" w:cs="Times New Roman"/>
          <w:sz w:val="24"/>
          <w:szCs w:val="24"/>
        </w:rPr>
        <w:t>200 shows that out of people aged over 65, most of them live in counties which experience</w:t>
      </w:r>
      <w:r w:rsidR="00863781" w:rsidRPr="00B80D19">
        <w:rPr>
          <w:rFonts w:ascii="Times New Roman" w:eastAsiaTheme="minorEastAsia" w:hAnsi="Times New Roman" w:cs="Times New Roman"/>
          <w:sz w:val="24"/>
          <w:szCs w:val="24"/>
        </w:rPr>
        <w:t xml:space="preserve"> </w:t>
      </w:r>
      <w:r w:rsidRPr="00B80D19">
        <w:rPr>
          <w:rFonts w:ascii="Times New Roman" w:eastAsiaTheme="minorEastAsia" w:hAnsi="Times New Roman" w:cs="Times New Roman"/>
          <w:sz w:val="24"/>
          <w:szCs w:val="24"/>
        </w:rPr>
        <w:t>days with temperatures higher than 70</w:t>
      </w:r>
      <w:r w:rsidR="00863781" w:rsidRPr="00B80D19">
        <w:rPr>
          <w:rFonts w:ascii="Times New Roman" w:hAnsi="Times New Roman" w:cs="Times New Roman"/>
          <w:kern w:val="0"/>
          <w:sz w:val="24"/>
          <w:szCs w:val="24"/>
          <w14:ligatures w14:val="none"/>
        </w:rPr>
        <w:t>⁰F</w:t>
      </w:r>
      <w:r w:rsidRPr="00B80D19">
        <w:rPr>
          <w:rFonts w:ascii="Times New Roman" w:eastAsiaTheme="minorEastAsia" w:hAnsi="Times New Roman" w:cs="Times New Roman"/>
          <w:sz w:val="24"/>
          <w:szCs w:val="24"/>
        </w:rPr>
        <w:t xml:space="preserve"> from anywhere between less than a month to most of</w:t>
      </w:r>
      <w:r w:rsidR="00863781" w:rsidRPr="00B80D19">
        <w:rPr>
          <w:rFonts w:ascii="Times New Roman" w:eastAsiaTheme="minorEastAsia" w:hAnsi="Times New Roman" w:cs="Times New Roman"/>
          <w:sz w:val="24"/>
          <w:szCs w:val="24"/>
        </w:rPr>
        <w:t xml:space="preserve"> </w:t>
      </w:r>
      <w:r w:rsidRPr="00B80D19">
        <w:rPr>
          <w:rFonts w:ascii="Times New Roman" w:eastAsiaTheme="minorEastAsia" w:hAnsi="Times New Roman" w:cs="Times New Roman"/>
          <w:sz w:val="24"/>
          <w:szCs w:val="24"/>
        </w:rPr>
        <w:t>the year.</w:t>
      </w:r>
    </w:p>
    <w:p w14:paraId="0A9F47C7" w14:textId="7D836E3E" w:rsidR="00347956" w:rsidRPr="00B80D19" w:rsidRDefault="00347956" w:rsidP="00347956">
      <w:pPr>
        <w:rPr>
          <w:rFonts w:ascii="Times New Roman" w:eastAsiaTheme="minorEastAsia" w:hAnsi="Times New Roman" w:cs="Times New Roman"/>
          <w:sz w:val="24"/>
          <w:szCs w:val="24"/>
        </w:rPr>
      </w:pPr>
    </w:p>
    <w:p w14:paraId="7B29A119" w14:textId="46EF1506" w:rsidR="00F11A4D" w:rsidRPr="00B80D19" w:rsidRDefault="00397BCF" w:rsidP="008C29F5">
      <w:pPr>
        <w:rPr>
          <w:rFonts w:ascii="Times New Roman" w:eastAsiaTheme="minorEastAsia" w:hAnsi="Times New Roman" w:cs="Times New Roman"/>
          <w:sz w:val="24"/>
          <w:szCs w:val="24"/>
        </w:rPr>
      </w:pPr>
      <w:r w:rsidRPr="00B80D19">
        <w:rPr>
          <w:rFonts w:ascii="Times New Roman" w:eastAsiaTheme="minorEastAsia" w:hAnsi="Times New Roman" w:cs="Times New Roman"/>
          <w:noProof/>
          <w:sz w:val="24"/>
          <w:szCs w:val="24"/>
        </w:rPr>
        <w:lastRenderedPageBreak/>
        <w:drawing>
          <wp:inline distT="0" distB="0" distL="0" distR="0" wp14:anchorId="2A740403" wp14:editId="5509BBE4">
            <wp:extent cx="5128732"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36808" cy="3176819"/>
                    </a:xfrm>
                    <a:prstGeom prst="rect">
                      <a:avLst/>
                    </a:prstGeom>
                    <a:noFill/>
                    <a:ln>
                      <a:noFill/>
                    </a:ln>
                  </pic:spPr>
                </pic:pic>
              </a:graphicData>
            </a:graphic>
          </wp:inline>
        </w:drawing>
      </w:r>
      <w:r w:rsidR="00D04A39" w:rsidRPr="00B80D19">
        <w:rPr>
          <w:rFonts w:ascii="Times New Roman" w:eastAsiaTheme="minorEastAsia" w:hAnsi="Times New Roman" w:cs="Times New Roman"/>
          <w:noProof/>
          <w:sz w:val="24"/>
          <w:szCs w:val="24"/>
        </w:rPr>
        <w:t xml:space="preserve"> </w:t>
      </w:r>
      <w:r w:rsidR="00D04A39" w:rsidRPr="00B80D19">
        <w:rPr>
          <w:rFonts w:ascii="Times New Roman" w:eastAsiaTheme="minorEastAsia" w:hAnsi="Times New Roman" w:cs="Times New Roman"/>
          <w:noProof/>
          <w:sz w:val="24"/>
          <w:szCs w:val="24"/>
        </w:rPr>
        <w:drawing>
          <wp:inline distT="0" distB="0" distL="0" distR="0" wp14:anchorId="4027134A" wp14:editId="0AED61C2">
            <wp:extent cx="5159225" cy="31906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88794" cy="3208968"/>
                    </a:xfrm>
                    <a:prstGeom prst="rect">
                      <a:avLst/>
                    </a:prstGeom>
                    <a:noFill/>
                    <a:ln>
                      <a:noFill/>
                    </a:ln>
                  </pic:spPr>
                </pic:pic>
              </a:graphicData>
            </a:graphic>
          </wp:inline>
        </w:drawing>
      </w:r>
    </w:p>
    <w:p w14:paraId="66C296FE" w14:textId="4933E0FF" w:rsidR="007415FE" w:rsidRPr="00B80D19" w:rsidRDefault="00D55952" w:rsidP="00497E79">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24"/>
          <w:szCs w:val="24"/>
        </w:rPr>
        <w:t>Q3. c)</w:t>
      </w:r>
      <w:r w:rsidR="006C4867" w:rsidRPr="00B80D19">
        <w:rPr>
          <w:rFonts w:ascii="Times New Roman" w:eastAsiaTheme="minorEastAsia" w:hAnsi="Times New Roman" w:cs="Times New Roman"/>
          <w:sz w:val="24"/>
          <w:szCs w:val="24"/>
        </w:rPr>
        <w:t xml:space="preserve"> </w:t>
      </w:r>
      <w:r w:rsidR="00863781" w:rsidRPr="00B80D19">
        <w:rPr>
          <w:rFonts w:ascii="Times New Roman" w:eastAsiaTheme="minorEastAsia" w:hAnsi="Times New Roman" w:cs="Times New Roman"/>
          <w:sz w:val="24"/>
          <w:szCs w:val="24"/>
        </w:rPr>
        <w:t xml:space="preserve">The patterns observed above might occur because people over 65 might prefer to live in places with more comfortable temperatures. As a result, the number of points in the hotter days graph seems to suggest that fewer people live </w:t>
      </w:r>
      <w:r w:rsidR="001C3D7C" w:rsidRPr="00B80D19">
        <w:rPr>
          <w:rFonts w:ascii="Times New Roman" w:eastAsiaTheme="minorEastAsia" w:hAnsi="Times New Roman" w:cs="Times New Roman"/>
          <w:sz w:val="24"/>
          <w:szCs w:val="24"/>
        </w:rPr>
        <w:t xml:space="preserve">in places with hotter days than those who live in places with hot days. This is also evident from the scale of X-axis in both graphs, where the range for the hot days graph is more than 300, compared to only around 150 for hotter days. The decrease in over-65 mortality rate in both cases is </w:t>
      </w:r>
      <w:r w:rsidR="000F6D80" w:rsidRPr="00B80D19">
        <w:rPr>
          <w:rFonts w:ascii="Times New Roman" w:eastAsiaTheme="minorEastAsia" w:hAnsi="Times New Roman" w:cs="Times New Roman"/>
          <w:sz w:val="24"/>
          <w:szCs w:val="24"/>
        </w:rPr>
        <w:t>not really correlated due to the extremely low R-squared value, but the decreasing slope is likely explained by people over 65 preferring to live in places with less extreme temperatures.</w:t>
      </w:r>
      <w:r w:rsidR="00192632" w:rsidRPr="00B80D19">
        <w:rPr>
          <w:rFonts w:ascii="Times New Roman" w:eastAsiaTheme="minorEastAsia" w:hAnsi="Times New Roman" w:cs="Times New Roman"/>
          <w:sz w:val="24"/>
          <w:szCs w:val="24"/>
        </w:rPr>
        <w:t xml:space="preserve"> Hence, the decrease in slope is likely more indicative of the fact that there are fewer numbers of people over-65 per 100,000 in places with extreme temperatures, rather than indicating that hotter temperatures reduce mortality rate.</w:t>
      </w:r>
      <w:r w:rsidR="001C3D7C" w:rsidRPr="00B80D19">
        <w:rPr>
          <w:rFonts w:ascii="Times New Roman" w:eastAsiaTheme="minorEastAsia" w:hAnsi="Times New Roman" w:cs="Times New Roman"/>
          <w:sz w:val="24"/>
          <w:szCs w:val="24"/>
        </w:rPr>
        <w:t xml:space="preserve"> </w:t>
      </w:r>
    </w:p>
    <w:p w14:paraId="1E29B3C1" w14:textId="77777777" w:rsidR="00E047EC" w:rsidRPr="00B80D19" w:rsidRDefault="00E047EC" w:rsidP="00F11724">
      <w:pPr>
        <w:rPr>
          <w:rFonts w:ascii="Times New Roman" w:eastAsiaTheme="minorEastAsia" w:hAnsi="Times New Roman" w:cs="Times New Roman"/>
          <w:sz w:val="24"/>
          <w:szCs w:val="24"/>
        </w:rPr>
      </w:pPr>
    </w:p>
    <w:p w14:paraId="0B949D27" w14:textId="2DE46639" w:rsidR="00F32F32" w:rsidRPr="00B80D19" w:rsidRDefault="00E047EC"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32"/>
          <w:szCs w:val="32"/>
        </w:rPr>
        <w:lastRenderedPageBreak/>
        <w:t>Q4.</w:t>
      </w:r>
      <w:r w:rsidRPr="00B80D19">
        <w:rPr>
          <w:rFonts w:ascii="Times New Roman" w:eastAsiaTheme="minorEastAsia" w:hAnsi="Times New Roman" w:cs="Times New Roman"/>
          <w:b/>
          <w:bCs/>
          <w:sz w:val="24"/>
          <w:szCs w:val="24"/>
        </w:rPr>
        <w:t xml:space="preserve"> </w:t>
      </w:r>
      <w:r w:rsidR="00703BB0" w:rsidRPr="00B80D19">
        <w:rPr>
          <w:rFonts w:ascii="Times New Roman" w:eastAsiaTheme="minorEastAsia" w:hAnsi="Times New Roman" w:cs="Times New Roman"/>
          <w:b/>
          <w:bCs/>
          <w:sz w:val="24"/>
          <w:szCs w:val="24"/>
        </w:rPr>
        <w:t>a)</w:t>
      </w:r>
      <w:r w:rsidR="005414C2" w:rsidRPr="00B80D19">
        <w:rPr>
          <w:rFonts w:ascii="Times New Roman" w:eastAsiaTheme="minorEastAsia" w:hAnsi="Times New Roman" w:cs="Times New Roman"/>
          <w:sz w:val="24"/>
          <w:szCs w:val="24"/>
        </w:rPr>
        <w:t xml:space="preserve"> </w:t>
      </w:r>
      <w:r w:rsidR="00F32F32" w:rsidRPr="00B80D19">
        <w:rPr>
          <w:rFonts w:ascii="Times New Roman" w:eastAsiaTheme="minorEastAsia" w:hAnsi="Times New Roman" w:cs="Times New Roman"/>
          <w:noProof/>
          <w:sz w:val="24"/>
          <w:szCs w:val="24"/>
        </w:rPr>
        <w:drawing>
          <wp:inline distT="0" distB="0" distL="0" distR="0" wp14:anchorId="68032971" wp14:editId="34072ABD">
            <wp:extent cx="5041466" cy="31146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3972" cy="3134758"/>
                    </a:xfrm>
                    <a:prstGeom prst="rect">
                      <a:avLst/>
                    </a:prstGeom>
                    <a:noFill/>
                    <a:ln>
                      <a:noFill/>
                    </a:ln>
                  </pic:spPr>
                </pic:pic>
              </a:graphicData>
            </a:graphic>
          </wp:inline>
        </w:drawing>
      </w:r>
    </w:p>
    <w:p w14:paraId="3BCDBD76" w14:textId="443B1D50" w:rsidR="003B7CDC" w:rsidRPr="00B80D19" w:rsidRDefault="003B7CDC"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sz w:val="24"/>
          <w:szCs w:val="24"/>
        </w:rPr>
        <w:t xml:space="preserve">The scatter plot shows a negative correlation between the number of hotter days and the over-65 mortality rates in the selected counties, as indicated by the negative slope of -3.15. </w:t>
      </w:r>
      <w:r w:rsidR="003C1FB6" w:rsidRPr="00B80D19">
        <w:rPr>
          <w:rFonts w:ascii="Times New Roman" w:eastAsiaTheme="minorEastAsia" w:hAnsi="Times New Roman" w:cs="Times New Roman"/>
          <w:sz w:val="24"/>
          <w:szCs w:val="24"/>
        </w:rPr>
        <w:t xml:space="preserve">The relationship one can conclude from this is </w:t>
      </w:r>
      <w:r w:rsidRPr="00B80D19">
        <w:rPr>
          <w:rFonts w:ascii="Times New Roman" w:eastAsiaTheme="minorEastAsia" w:hAnsi="Times New Roman" w:cs="Times New Roman"/>
          <w:sz w:val="24"/>
          <w:szCs w:val="24"/>
        </w:rPr>
        <w:t xml:space="preserve">that as the number of hotter days (temperature </w:t>
      </w:r>
      <w:r w:rsidR="003C1FB6" w:rsidRPr="00B80D19">
        <w:rPr>
          <w:rFonts w:ascii="Times New Roman" w:eastAsiaTheme="minorEastAsia" w:hAnsi="Times New Roman" w:cs="Times New Roman"/>
          <w:sz w:val="24"/>
          <w:szCs w:val="24"/>
        </w:rPr>
        <w:t>hotter than</w:t>
      </w:r>
      <w:r w:rsidRPr="00B80D19">
        <w:rPr>
          <w:rFonts w:ascii="Times New Roman" w:eastAsiaTheme="minorEastAsia" w:hAnsi="Times New Roman" w:cs="Times New Roman"/>
          <w:sz w:val="24"/>
          <w:szCs w:val="24"/>
        </w:rPr>
        <w:t xml:space="preserve"> 80°F) increases, the over-65 mortality rate tends to decrease. However, the data points are quite scattered, indicating a high degree of variability and suggesting that other factors may also be influencing the mortality rate.</w:t>
      </w:r>
      <w:r w:rsidR="00330D0E" w:rsidRPr="00B80D19">
        <w:rPr>
          <w:rFonts w:ascii="Times New Roman" w:eastAsiaTheme="minorEastAsia" w:hAnsi="Times New Roman" w:cs="Times New Roman"/>
          <w:sz w:val="24"/>
          <w:szCs w:val="24"/>
        </w:rPr>
        <w:t xml:space="preserve"> However, without the r-squared value and taking into account other factors, it would be erroneous to make the above conclusion.</w:t>
      </w:r>
      <w:r w:rsidR="009776CD" w:rsidRPr="00B80D19">
        <w:rPr>
          <w:rFonts w:ascii="Times New Roman" w:eastAsiaTheme="minorEastAsia" w:hAnsi="Times New Roman" w:cs="Times New Roman"/>
          <w:sz w:val="24"/>
          <w:szCs w:val="24"/>
        </w:rPr>
        <w:t xml:space="preserve"> </w:t>
      </w:r>
    </w:p>
    <w:p w14:paraId="2235DC91" w14:textId="13C00D41" w:rsidR="00FD0CB5" w:rsidRPr="00B80D19" w:rsidRDefault="000627E6"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24"/>
          <w:szCs w:val="24"/>
        </w:rPr>
        <w:t>Q4. b)</w:t>
      </w:r>
      <w:r w:rsidRPr="00B80D19">
        <w:rPr>
          <w:rFonts w:ascii="Times New Roman" w:eastAsiaTheme="minorEastAsia" w:hAnsi="Times New Roman" w:cs="Times New Roman"/>
          <w:sz w:val="24"/>
          <w:szCs w:val="24"/>
        </w:rPr>
        <w:t xml:space="preserve"> </w:t>
      </w:r>
      <w:r w:rsidR="00C1403A" w:rsidRPr="00B80D19">
        <w:rPr>
          <w:rFonts w:ascii="Times New Roman" w:eastAsiaTheme="minorEastAsia" w:hAnsi="Times New Roman" w:cs="Times New Roman"/>
          <w:noProof/>
          <w:sz w:val="24"/>
          <w:szCs w:val="24"/>
        </w:rPr>
        <w:drawing>
          <wp:inline distT="0" distB="0" distL="0" distR="0" wp14:anchorId="1A602ADC" wp14:editId="043C5DB8">
            <wp:extent cx="5105400" cy="315417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621" cy="3167286"/>
                    </a:xfrm>
                    <a:prstGeom prst="rect">
                      <a:avLst/>
                    </a:prstGeom>
                    <a:noFill/>
                    <a:ln>
                      <a:noFill/>
                    </a:ln>
                  </pic:spPr>
                </pic:pic>
              </a:graphicData>
            </a:graphic>
          </wp:inline>
        </w:drawing>
      </w:r>
    </w:p>
    <w:p w14:paraId="7FEE441E" w14:textId="7272F381" w:rsidR="00C1403A" w:rsidRPr="00B80D19" w:rsidRDefault="00C1403A"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sz w:val="24"/>
          <w:szCs w:val="24"/>
        </w:rPr>
        <w:t xml:space="preserve">The relationship is much more clear now, since the </w:t>
      </w:r>
      <w:r w:rsidR="002833CA" w:rsidRPr="00B80D19">
        <w:rPr>
          <w:rFonts w:ascii="Times New Roman" w:eastAsiaTheme="minorEastAsia" w:hAnsi="Times New Roman" w:cs="Times New Roman"/>
          <w:sz w:val="24"/>
          <w:szCs w:val="24"/>
        </w:rPr>
        <w:t xml:space="preserve">points on the scatter plot have been grouped by county type. In each county, it is obvious that as the number of hotter days increase, the mortality rate of people over 65 also increases. I would be much more confident </w:t>
      </w:r>
      <w:r w:rsidR="001A01F5" w:rsidRPr="00B80D19">
        <w:rPr>
          <w:rFonts w:ascii="Times New Roman" w:eastAsiaTheme="minorEastAsia" w:hAnsi="Times New Roman" w:cs="Times New Roman"/>
          <w:sz w:val="24"/>
          <w:szCs w:val="24"/>
        </w:rPr>
        <w:t xml:space="preserve">in drawing this conclusion from this plot than the conclusion from the plot above because it did not take into account the factor of location when accounting for mortality rate plotted against number of hotter days. In other words, </w:t>
      </w:r>
      <w:r w:rsidR="00C84F0A" w:rsidRPr="00B80D19">
        <w:rPr>
          <w:rFonts w:ascii="Times New Roman" w:eastAsiaTheme="minorEastAsia" w:hAnsi="Times New Roman" w:cs="Times New Roman"/>
          <w:sz w:val="24"/>
          <w:szCs w:val="24"/>
        </w:rPr>
        <w:t>this graph shows us how each county’s over-65 mortality rate is affected by an increase in number of hotter days, rather than lumping together</w:t>
      </w:r>
      <w:r w:rsidR="007B2F16" w:rsidRPr="00B80D19">
        <w:rPr>
          <w:rFonts w:ascii="Times New Roman" w:eastAsiaTheme="minorEastAsia" w:hAnsi="Times New Roman" w:cs="Times New Roman"/>
          <w:sz w:val="24"/>
          <w:szCs w:val="24"/>
        </w:rPr>
        <w:t xml:space="preserve"> likely disproportionate ratios of population aged over-65 to total population.</w:t>
      </w:r>
    </w:p>
    <w:p w14:paraId="5AD84C8A" w14:textId="56B6E800" w:rsidR="00021448" w:rsidRPr="00B80D19" w:rsidRDefault="007B2F16"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32"/>
          <w:szCs w:val="32"/>
        </w:rPr>
        <w:lastRenderedPageBreak/>
        <w:t>Q5.</w:t>
      </w:r>
      <w:r w:rsidRPr="00B80D19">
        <w:rPr>
          <w:rFonts w:ascii="Times New Roman" w:eastAsiaTheme="minorEastAsia" w:hAnsi="Times New Roman" w:cs="Times New Roman"/>
          <w:b/>
          <w:bCs/>
          <w:sz w:val="24"/>
          <w:szCs w:val="24"/>
        </w:rPr>
        <w:t xml:space="preserve"> </w:t>
      </w:r>
      <w:r w:rsidR="00021448" w:rsidRPr="00B80D19">
        <w:rPr>
          <w:rFonts w:ascii="Times New Roman" w:eastAsiaTheme="minorEastAsia" w:hAnsi="Times New Roman" w:cs="Times New Roman"/>
          <w:sz w:val="24"/>
          <w:szCs w:val="24"/>
        </w:rPr>
        <w:t xml:space="preserve">See attached log file for </w:t>
      </w:r>
      <w:r w:rsidR="00530980" w:rsidRPr="00B80D19">
        <w:rPr>
          <w:rFonts w:ascii="Times New Roman" w:eastAsiaTheme="minorEastAsia" w:hAnsi="Times New Roman" w:cs="Times New Roman"/>
          <w:sz w:val="24"/>
          <w:szCs w:val="24"/>
        </w:rPr>
        <w:t>creation of regression and methodology for creating graph.</w:t>
      </w:r>
      <w:r w:rsidR="008B625B" w:rsidRPr="00B80D19">
        <w:rPr>
          <w:rFonts w:ascii="Times New Roman" w:eastAsiaTheme="minorEastAsia" w:hAnsi="Times New Roman" w:cs="Times New Roman"/>
          <w:sz w:val="24"/>
          <w:szCs w:val="24"/>
        </w:rPr>
        <w:t xml:space="preserve"> </w:t>
      </w:r>
      <w:r w:rsidR="00B65F55" w:rsidRPr="00B80D19">
        <w:rPr>
          <w:rFonts w:ascii="Times New Roman" w:eastAsiaTheme="minorEastAsia" w:hAnsi="Times New Roman" w:cs="Times New Roman"/>
          <w:sz w:val="24"/>
          <w:szCs w:val="24"/>
        </w:rPr>
        <w:br/>
      </w:r>
      <w:r w:rsidR="00B65F55" w:rsidRPr="00B80D19">
        <w:rPr>
          <w:rFonts w:ascii="Times New Roman" w:eastAsiaTheme="minorEastAsia" w:hAnsi="Times New Roman" w:cs="Times New Roman"/>
          <w:i/>
          <w:iCs/>
          <w:sz w:val="24"/>
          <w:szCs w:val="24"/>
        </w:rPr>
        <w:t>Disclaimer</w:t>
      </w:r>
      <w:r w:rsidR="00B65F55" w:rsidRPr="00B80D19">
        <w:rPr>
          <w:rFonts w:ascii="Times New Roman" w:eastAsiaTheme="minorEastAsia" w:hAnsi="Times New Roman" w:cs="Times New Roman"/>
          <w:sz w:val="24"/>
          <w:szCs w:val="24"/>
        </w:rPr>
        <w:t xml:space="preserve">: Made use of </w:t>
      </w:r>
      <w:r w:rsidR="008B625B" w:rsidRPr="00B80D19">
        <w:rPr>
          <w:rFonts w:ascii="Times New Roman" w:eastAsiaTheme="minorEastAsia" w:hAnsi="Times New Roman" w:cs="Times New Roman"/>
          <w:sz w:val="24"/>
          <w:szCs w:val="24"/>
        </w:rPr>
        <w:t xml:space="preserve">Bing Chat/Microsoft Copilot </w:t>
      </w:r>
      <w:r w:rsidR="00B65F55" w:rsidRPr="00B80D19">
        <w:rPr>
          <w:rFonts w:ascii="Times New Roman" w:eastAsiaTheme="minorEastAsia" w:hAnsi="Times New Roman" w:cs="Times New Roman"/>
          <w:sz w:val="24"/>
          <w:szCs w:val="24"/>
        </w:rPr>
        <w:t xml:space="preserve">and ChatGPT (GPT-4 version) in creating graph for Q5 a). All other code is original and </w:t>
      </w:r>
      <w:r w:rsidR="00082F0E" w:rsidRPr="00B80D19">
        <w:rPr>
          <w:rFonts w:ascii="Times New Roman" w:eastAsiaTheme="minorEastAsia" w:hAnsi="Times New Roman" w:cs="Times New Roman"/>
          <w:sz w:val="24"/>
          <w:szCs w:val="24"/>
        </w:rPr>
        <w:t xml:space="preserve">is </w:t>
      </w:r>
      <w:r w:rsidR="004B48B7" w:rsidRPr="00B80D19">
        <w:rPr>
          <w:rFonts w:ascii="Times New Roman" w:eastAsiaTheme="minorEastAsia" w:hAnsi="Times New Roman" w:cs="Times New Roman"/>
          <w:sz w:val="24"/>
          <w:szCs w:val="24"/>
        </w:rPr>
        <w:t xml:space="preserve">either untouched by AI or </w:t>
      </w:r>
      <w:r w:rsidR="00B65F55" w:rsidRPr="00B80D19">
        <w:rPr>
          <w:rFonts w:ascii="Times New Roman" w:eastAsiaTheme="minorEastAsia" w:hAnsi="Times New Roman" w:cs="Times New Roman"/>
          <w:sz w:val="24"/>
          <w:szCs w:val="24"/>
        </w:rPr>
        <w:t xml:space="preserve">has </w:t>
      </w:r>
      <w:r w:rsidR="004C6425" w:rsidRPr="00B80D19">
        <w:rPr>
          <w:rFonts w:ascii="Times New Roman" w:eastAsiaTheme="minorEastAsia" w:hAnsi="Times New Roman" w:cs="Times New Roman"/>
          <w:sz w:val="24"/>
          <w:szCs w:val="24"/>
        </w:rPr>
        <w:t xml:space="preserve">simply been formatted as per </w:t>
      </w:r>
      <w:r w:rsidR="00260699" w:rsidRPr="00B80D19">
        <w:rPr>
          <w:rFonts w:ascii="Times New Roman" w:eastAsiaTheme="minorEastAsia" w:hAnsi="Times New Roman" w:cs="Times New Roman"/>
          <w:sz w:val="24"/>
          <w:szCs w:val="24"/>
        </w:rPr>
        <w:t>R-coding best style practices using Bing Chat/Microsoft Copilot</w:t>
      </w:r>
      <w:r w:rsidR="004C6425" w:rsidRPr="00B80D19">
        <w:rPr>
          <w:rFonts w:ascii="Times New Roman" w:eastAsiaTheme="minorEastAsia" w:hAnsi="Times New Roman" w:cs="Times New Roman"/>
          <w:sz w:val="24"/>
          <w:szCs w:val="24"/>
        </w:rPr>
        <w:t xml:space="preserve">  </w:t>
      </w:r>
    </w:p>
    <w:p w14:paraId="738C5144" w14:textId="241F27E1" w:rsidR="007B2F16" w:rsidRPr="00B80D19" w:rsidRDefault="00260699"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24"/>
          <w:szCs w:val="24"/>
        </w:rPr>
        <w:t xml:space="preserve">Q5. </w:t>
      </w:r>
      <w:r w:rsidR="007B2F16" w:rsidRPr="00B80D19">
        <w:rPr>
          <w:rFonts w:ascii="Times New Roman" w:eastAsiaTheme="minorEastAsia" w:hAnsi="Times New Roman" w:cs="Times New Roman"/>
          <w:b/>
          <w:bCs/>
          <w:sz w:val="24"/>
          <w:szCs w:val="24"/>
        </w:rPr>
        <w:t>a)</w:t>
      </w:r>
      <w:r w:rsidRPr="00B80D19">
        <w:rPr>
          <w:rFonts w:ascii="Times New Roman" w:eastAsiaTheme="minorEastAsia" w:hAnsi="Times New Roman" w:cs="Times New Roman"/>
          <w:sz w:val="24"/>
          <w:szCs w:val="24"/>
        </w:rPr>
        <w:t xml:space="preserve"> </w:t>
      </w:r>
      <w:r w:rsidR="004B48B7" w:rsidRPr="00B80D19">
        <w:rPr>
          <w:rFonts w:ascii="Times New Roman" w:eastAsiaTheme="minorEastAsia" w:hAnsi="Times New Roman" w:cs="Times New Roman"/>
          <w:noProof/>
          <w:sz w:val="24"/>
          <w:szCs w:val="24"/>
        </w:rPr>
        <w:drawing>
          <wp:inline distT="0" distB="0" distL="0" distR="0" wp14:anchorId="24B04823" wp14:editId="56CB48D5">
            <wp:extent cx="5740018" cy="3544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40018" cy="3544233"/>
                    </a:xfrm>
                    <a:prstGeom prst="rect">
                      <a:avLst/>
                    </a:prstGeom>
                    <a:noFill/>
                    <a:ln>
                      <a:noFill/>
                    </a:ln>
                  </pic:spPr>
                </pic:pic>
              </a:graphicData>
            </a:graphic>
          </wp:inline>
        </w:drawing>
      </w:r>
    </w:p>
    <w:p w14:paraId="2C1F3D45" w14:textId="77777777" w:rsidR="0092452B" w:rsidRPr="00B80D19" w:rsidRDefault="003E6B48" w:rsidP="0092452B">
      <w:pPr>
        <w:rPr>
          <w:rFonts w:ascii="Times New Roman" w:eastAsiaTheme="minorEastAsia" w:hAnsi="Times New Roman" w:cs="Times New Roman"/>
          <w:sz w:val="24"/>
          <w:szCs w:val="24"/>
        </w:rPr>
      </w:pPr>
      <w:r w:rsidRPr="00B80D19">
        <w:rPr>
          <w:rFonts w:ascii="Times New Roman" w:eastAsiaTheme="minorEastAsia" w:hAnsi="Times New Roman" w:cs="Times New Roman"/>
          <w:sz w:val="24"/>
          <w:szCs w:val="24"/>
        </w:rPr>
        <w:t xml:space="preserve">From the graph, we </w:t>
      </w:r>
      <w:r w:rsidRPr="00B80D19">
        <w:rPr>
          <w:rFonts w:ascii="Times New Roman" w:eastAsiaTheme="minorEastAsia" w:hAnsi="Times New Roman" w:cs="Times New Roman"/>
          <w:sz w:val="24"/>
          <w:szCs w:val="24"/>
        </w:rPr>
        <w:t>see that for t</w:t>
      </w:r>
      <w:r w:rsidRPr="00B80D19">
        <w:rPr>
          <w:rFonts w:ascii="Times New Roman" w:eastAsiaTheme="minorEastAsia" w:hAnsi="Times New Roman" w:cs="Times New Roman"/>
          <w:sz w:val="24"/>
          <w:szCs w:val="24"/>
        </w:rPr>
        <w:t>emperature bins below 60°F</w:t>
      </w:r>
      <w:r w:rsidRPr="00B80D19">
        <w:rPr>
          <w:rFonts w:ascii="Times New Roman" w:eastAsiaTheme="minorEastAsia" w:hAnsi="Times New Roman" w:cs="Times New Roman"/>
          <w:sz w:val="24"/>
          <w:szCs w:val="24"/>
        </w:rPr>
        <w:t>,</w:t>
      </w:r>
      <w:r w:rsidRPr="00B80D19">
        <w:rPr>
          <w:rFonts w:ascii="Times New Roman" w:eastAsiaTheme="minorEastAsia" w:hAnsi="Times New Roman" w:cs="Times New Roman"/>
          <w:sz w:val="24"/>
          <w:szCs w:val="24"/>
        </w:rPr>
        <w:t xml:space="preserve"> mortality rate increases as the temperature decreases. This suggests that colder temperatures are associated with higher mortality rates among individuals over 65 years old.</w:t>
      </w:r>
      <w:r w:rsidRPr="00B80D19">
        <w:rPr>
          <w:rFonts w:ascii="Times New Roman" w:eastAsiaTheme="minorEastAsia" w:hAnsi="Times New Roman" w:cs="Times New Roman"/>
          <w:sz w:val="24"/>
          <w:szCs w:val="24"/>
        </w:rPr>
        <w:t xml:space="preserve"> For t</w:t>
      </w:r>
      <w:r w:rsidRPr="00B80D19">
        <w:rPr>
          <w:rFonts w:ascii="Times New Roman" w:eastAsiaTheme="minorEastAsia" w:hAnsi="Times New Roman" w:cs="Times New Roman"/>
          <w:sz w:val="24"/>
          <w:szCs w:val="24"/>
        </w:rPr>
        <w:t>emperature bins above 70°F</w:t>
      </w:r>
      <w:r w:rsidRPr="00B80D19">
        <w:rPr>
          <w:rFonts w:ascii="Times New Roman" w:eastAsiaTheme="minorEastAsia" w:hAnsi="Times New Roman" w:cs="Times New Roman"/>
          <w:sz w:val="24"/>
          <w:szCs w:val="24"/>
        </w:rPr>
        <w:t>,</w:t>
      </w:r>
      <w:r w:rsidRPr="00B80D19">
        <w:rPr>
          <w:rFonts w:ascii="Times New Roman" w:eastAsiaTheme="minorEastAsia" w:hAnsi="Times New Roman" w:cs="Times New Roman"/>
          <w:sz w:val="24"/>
          <w:szCs w:val="24"/>
        </w:rPr>
        <w:t xml:space="preserve"> </w:t>
      </w:r>
      <w:r w:rsidRPr="00B80D19">
        <w:rPr>
          <w:rFonts w:ascii="Times New Roman" w:eastAsiaTheme="minorEastAsia" w:hAnsi="Times New Roman" w:cs="Times New Roman"/>
          <w:sz w:val="24"/>
          <w:szCs w:val="24"/>
        </w:rPr>
        <w:t>t</w:t>
      </w:r>
      <w:r w:rsidRPr="00B80D19">
        <w:rPr>
          <w:rFonts w:ascii="Times New Roman" w:eastAsiaTheme="minorEastAsia" w:hAnsi="Times New Roman" w:cs="Times New Roman"/>
          <w:sz w:val="24"/>
          <w:szCs w:val="24"/>
        </w:rPr>
        <w:t>he mortality rate increases as the temperature increases, with the highest mortality rate observed for the &gt;90°F bin. This suggests that extremely hot temperatures are also associated with higher mortality rates among individuals over 65 years old.</w:t>
      </w:r>
      <w:r w:rsidR="00766769" w:rsidRPr="00B80D19">
        <w:rPr>
          <w:rFonts w:ascii="Times New Roman" w:eastAsiaTheme="minorEastAsia" w:hAnsi="Times New Roman" w:cs="Times New Roman"/>
          <w:sz w:val="24"/>
          <w:szCs w:val="24"/>
        </w:rPr>
        <w:t xml:space="preserve"> The graph shows a similar U-shaped curve as the original paper. </w:t>
      </w:r>
    </w:p>
    <w:p w14:paraId="4F0BCEF2" w14:textId="1804681B" w:rsidR="0092452B" w:rsidRPr="00B80D19" w:rsidRDefault="0092452B" w:rsidP="0092452B">
      <w:pPr>
        <w:rPr>
          <w:rFonts w:ascii="Times New Roman" w:eastAsiaTheme="minorEastAsia" w:hAnsi="Times New Roman" w:cs="Times New Roman"/>
          <w:sz w:val="24"/>
          <w:szCs w:val="24"/>
        </w:rPr>
      </w:pPr>
      <w:r w:rsidRPr="00B80D19">
        <w:rPr>
          <w:rFonts w:ascii="Times New Roman" w:eastAsiaTheme="minorEastAsia" w:hAnsi="Times New Roman" w:cs="Times New Roman"/>
          <w:sz w:val="24"/>
          <w:szCs w:val="24"/>
        </w:rPr>
        <w:t xml:space="preserve">Hence, </w:t>
      </w:r>
      <w:r w:rsidRPr="00B80D19">
        <w:rPr>
          <w:rFonts w:ascii="Times New Roman" w:eastAsiaTheme="minorEastAsia" w:hAnsi="Times New Roman" w:cs="Times New Roman"/>
          <w:sz w:val="24"/>
          <w:szCs w:val="24"/>
        </w:rPr>
        <w:t xml:space="preserve">both extremely cold (&lt;10°F) and hot (&gt;90°F) temperatures are associated with higher mortality rates </w:t>
      </w:r>
      <w:r w:rsidRPr="00B80D19">
        <w:rPr>
          <w:rFonts w:ascii="Times New Roman" w:eastAsiaTheme="minorEastAsia" w:hAnsi="Times New Roman" w:cs="Times New Roman"/>
          <w:sz w:val="24"/>
          <w:szCs w:val="24"/>
        </w:rPr>
        <w:t>for people</w:t>
      </w:r>
      <w:r w:rsidRPr="00B80D19">
        <w:rPr>
          <w:rFonts w:ascii="Times New Roman" w:eastAsiaTheme="minorEastAsia" w:hAnsi="Times New Roman" w:cs="Times New Roman"/>
          <w:sz w:val="24"/>
          <w:szCs w:val="24"/>
        </w:rPr>
        <w:t xml:space="preserve"> over 65 years old, </w:t>
      </w:r>
      <w:r w:rsidR="00FC2630" w:rsidRPr="00B80D19">
        <w:rPr>
          <w:rFonts w:ascii="Times New Roman" w:eastAsiaTheme="minorEastAsia" w:hAnsi="Times New Roman" w:cs="Times New Roman"/>
          <w:sz w:val="24"/>
          <w:szCs w:val="24"/>
        </w:rPr>
        <w:t>based on a reference temperature bin of 60-70</w:t>
      </w:r>
      <w:r w:rsidR="00FC2630" w:rsidRPr="00B80D19">
        <w:rPr>
          <w:rFonts w:ascii="Times New Roman" w:hAnsi="Times New Roman" w:cs="Times New Roman"/>
          <w:kern w:val="0"/>
          <w:sz w:val="24"/>
          <w:szCs w:val="24"/>
          <w14:ligatures w14:val="none"/>
        </w:rPr>
        <w:t>⁰F</w:t>
      </w:r>
      <w:r w:rsidR="00FC2630" w:rsidRPr="00B80D19">
        <w:rPr>
          <w:rFonts w:ascii="Times New Roman" w:hAnsi="Times New Roman" w:cs="Times New Roman"/>
          <w:kern w:val="0"/>
          <w:sz w:val="24"/>
          <w:szCs w:val="24"/>
          <w14:ligatures w14:val="none"/>
        </w:rPr>
        <w:t xml:space="preserve"> as a zero mortality rate</w:t>
      </w:r>
      <w:r w:rsidRPr="00B80D19">
        <w:rPr>
          <w:rFonts w:ascii="Times New Roman" w:eastAsiaTheme="minorEastAsia" w:hAnsi="Times New Roman" w:cs="Times New Roman"/>
          <w:sz w:val="24"/>
          <w:szCs w:val="24"/>
        </w:rPr>
        <w:t xml:space="preserve">. This U-shaped relationship between temperature and mortality is </w:t>
      </w:r>
      <w:r w:rsidR="00FC2630" w:rsidRPr="00B80D19">
        <w:rPr>
          <w:rFonts w:ascii="Times New Roman" w:eastAsiaTheme="minorEastAsia" w:hAnsi="Times New Roman" w:cs="Times New Roman"/>
          <w:sz w:val="24"/>
          <w:szCs w:val="24"/>
        </w:rPr>
        <w:t xml:space="preserve">also </w:t>
      </w:r>
      <w:r w:rsidRPr="00B80D19">
        <w:rPr>
          <w:rFonts w:ascii="Times New Roman" w:eastAsiaTheme="minorEastAsia" w:hAnsi="Times New Roman" w:cs="Times New Roman"/>
          <w:sz w:val="24"/>
          <w:szCs w:val="24"/>
        </w:rPr>
        <w:t>consistent with findings from epidemiological studies</w:t>
      </w:r>
      <w:r w:rsidR="00FC2630" w:rsidRPr="00B80D19">
        <w:rPr>
          <w:rFonts w:ascii="Times New Roman" w:eastAsiaTheme="minorEastAsia" w:hAnsi="Times New Roman" w:cs="Times New Roman"/>
          <w:sz w:val="24"/>
          <w:szCs w:val="24"/>
        </w:rPr>
        <w:t>, which show that older people have higher mortality rates in extreme temperatures.</w:t>
      </w:r>
    </w:p>
    <w:p w14:paraId="220DE683" w14:textId="0A41AB70" w:rsidR="00B80D19" w:rsidRPr="00B80D19" w:rsidRDefault="004B2919" w:rsidP="003E6B48">
      <w:pPr>
        <w:rPr>
          <w:rFonts w:ascii="Times New Roman" w:hAnsi="Times New Roman" w:cs="Times New Roman"/>
        </w:rPr>
      </w:pPr>
      <w:r w:rsidRPr="00B80D19">
        <w:rPr>
          <w:rFonts w:ascii="Times New Roman" w:eastAsiaTheme="minorEastAsia" w:hAnsi="Times New Roman" w:cs="Times New Roman"/>
          <w:b/>
          <w:bCs/>
          <w:sz w:val="24"/>
          <w:szCs w:val="24"/>
        </w:rPr>
        <w:t xml:space="preserve">Q5. </w:t>
      </w:r>
      <w:r w:rsidRPr="00B80D19">
        <w:rPr>
          <w:rFonts w:ascii="Times New Roman" w:eastAsiaTheme="minorEastAsia" w:hAnsi="Times New Roman" w:cs="Times New Roman"/>
          <w:b/>
          <w:bCs/>
          <w:sz w:val="24"/>
          <w:szCs w:val="24"/>
        </w:rPr>
        <w:t>b</w:t>
      </w:r>
      <w:r w:rsidRPr="00B80D19">
        <w:rPr>
          <w:rFonts w:ascii="Times New Roman" w:eastAsiaTheme="minorEastAsia" w:hAnsi="Times New Roman" w:cs="Times New Roman"/>
          <w:b/>
          <w:bCs/>
          <w:sz w:val="24"/>
          <w:szCs w:val="24"/>
        </w:rPr>
        <w:t>)</w:t>
      </w:r>
      <w:r w:rsidRPr="00B80D19">
        <w:rPr>
          <w:rFonts w:ascii="Times New Roman" w:hAnsi="Times New Roman" w:cs="Times New Roman"/>
        </w:rPr>
        <w:t xml:space="preserve"> </w:t>
      </w:r>
    </w:p>
    <w:p w14:paraId="7CE87EF7" w14:textId="23D3AD24" w:rsidR="00A34D58" w:rsidRDefault="00B80D19" w:rsidP="00A96F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fixed effects </w:t>
      </w:r>
      <w:r w:rsidRPr="00B80D19">
        <w:rPr>
          <w:rFonts w:ascii="Times New Roman" w:eastAsiaTheme="minorEastAsia" w:hAnsi="Times New Roman" w:cs="Times New Roman"/>
          <w:sz w:val="24"/>
          <w:szCs w:val="24"/>
        </w:rPr>
        <w:t>αc and γst</w:t>
      </w:r>
      <w:r w:rsidR="00E34FAF">
        <w:rPr>
          <w:rFonts w:ascii="Times New Roman" w:eastAsiaTheme="minorEastAsia" w:hAnsi="Times New Roman" w:cs="Times New Roman"/>
          <w:sz w:val="24"/>
          <w:szCs w:val="24"/>
        </w:rPr>
        <w:t xml:space="preserve">’s </w:t>
      </w:r>
      <w:r w:rsidR="00DD6057">
        <w:rPr>
          <w:rFonts w:ascii="Times New Roman" w:eastAsiaTheme="minorEastAsia" w:hAnsi="Times New Roman" w:cs="Times New Roman"/>
          <w:sz w:val="24"/>
          <w:szCs w:val="24"/>
        </w:rPr>
        <w:t xml:space="preserve">play a vital role </w:t>
      </w:r>
      <w:r w:rsidR="00BE6667">
        <w:rPr>
          <w:rFonts w:ascii="Times New Roman" w:eastAsiaTheme="minorEastAsia" w:hAnsi="Times New Roman" w:cs="Times New Roman"/>
          <w:sz w:val="24"/>
          <w:szCs w:val="24"/>
        </w:rPr>
        <w:t xml:space="preserve">in isolating impacts of variables on mortality rates by </w:t>
      </w:r>
      <w:r w:rsidR="009454D0">
        <w:rPr>
          <w:rFonts w:ascii="Times New Roman" w:eastAsiaTheme="minorEastAsia" w:hAnsi="Times New Roman" w:cs="Times New Roman"/>
          <w:sz w:val="24"/>
          <w:szCs w:val="24"/>
        </w:rPr>
        <w:t>accounting for latent</w:t>
      </w:r>
      <w:r w:rsidR="00036DD3">
        <w:rPr>
          <w:rFonts w:ascii="Times New Roman" w:eastAsiaTheme="minorEastAsia" w:hAnsi="Times New Roman" w:cs="Times New Roman"/>
          <w:sz w:val="24"/>
          <w:szCs w:val="24"/>
        </w:rPr>
        <w:t xml:space="preserve"> and confounding variables.</w:t>
      </w:r>
    </w:p>
    <w:p w14:paraId="17B37E22" w14:textId="44E783A2" w:rsidR="00704908" w:rsidRDefault="00400D20" w:rsidP="00A96F0A">
      <w:pPr>
        <w:rPr>
          <w:rFonts w:ascii="Times New Roman" w:eastAsiaTheme="minorEastAsia" w:hAnsi="Times New Roman" w:cs="Times New Roman"/>
          <w:sz w:val="24"/>
          <w:szCs w:val="24"/>
        </w:rPr>
      </w:pPr>
      <w:r w:rsidRPr="00400D20">
        <w:rPr>
          <w:rFonts w:ascii="Times New Roman" w:eastAsiaTheme="minorEastAsia" w:hAnsi="Times New Roman" w:cs="Times New Roman"/>
          <w:sz w:val="24"/>
          <w:szCs w:val="24"/>
        </w:rPr>
        <w:t>Fixed effects denoted by αc serve to regulate unobservable, county-specific, and time-stable determinants of mortality rates within each age group. These factors encompass county-specific and age-dependent elements that remain constant over time.</w:t>
      </w:r>
      <w:r w:rsidR="00A34D58">
        <w:rPr>
          <w:rFonts w:ascii="Times New Roman" w:eastAsiaTheme="minorEastAsia" w:hAnsi="Times New Roman" w:cs="Times New Roman"/>
          <w:sz w:val="24"/>
          <w:szCs w:val="24"/>
        </w:rPr>
        <w:t xml:space="preserve"> In addition to the given examples of differences in permanent hospital quality and overall healthiness of the local age-specific population, </w:t>
      </w:r>
      <w:r w:rsidR="0093004B">
        <w:rPr>
          <w:rFonts w:ascii="Times New Roman" w:eastAsiaTheme="minorEastAsia" w:hAnsi="Times New Roman" w:cs="Times New Roman"/>
          <w:sz w:val="24"/>
          <w:szCs w:val="24"/>
        </w:rPr>
        <w:t xml:space="preserve">two other examples of such </w:t>
      </w:r>
      <w:r w:rsidR="000A74F2">
        <w:rPr>
          <w:rFonts w:ascii="Times New Roman" w:eastAsiaTheme="minorEastAsia" w:hAnsi="Times New Roman" w:cs="Times New Roman"/>
          <w:sz w:val="24"/>
          <w:szCs w:val="24"/>
        </w:rPr>
        <w:t xml:space="preserve">factors could be 1) socioeconomic factors such as local poverty levels or education levels, and 2) </w:t>
      </w:r>
      <w:r w:rsidR="00A76C83">
        <w:rPr>
          <w:rFonts w:ascii="Times New Roman" w:eastAsiaTheme="minorEastAsia" w:hAnsi="Times New Roman" w:cs="Times New Roman"/>
          <w:sz w:val="24"/>
          <w:szCs w:val="24"/>
        </w:rPr>
        <w:t xml:space="preserve">local environmental conditions such as water quality, air pollution etc; both of </w:t>
      </w:r>
      <w:r w:rsidR="00AC2B0A">
        <w:rPr>
          <w:rFonts w:ascii="Times New Roman" w:eastAsiaTheme="minorEastAsia" w:hAnsi="Times New Roman" w:cs="Times New Roman"/>
          <w:sz w:val="24"/>
          <w:szCs w:val="24"/>
        </w:rPr>
        <w:t>these are factors that usually don’t change rapidly over time for a specific county.</w:t>
      </w:r>
    </w:p>
    <w:p w14:paraId="4061DD93" w14:textId="661C0E42" w:rsidR="006B3D42" w:rsidRDefault="006B3D42" w:rsidP="006B3D42">
      <w:pPr>
        <w:rPr>
          <w:rFonts w:ascii="Times New Roman" w:eastAsiaTheme="minorEastAsia" w:hAnsi="Times New Roman" w:cs="Times New Roman"/>
          <w:sz w:val="24"/>
          <w:szCs w:val="24"/>
        </w:rPr>
      </w:pPr>
      <w:r w:rsidRPr="006B3D42">
        <w:rPr>
          <w:rFonts w:ascii="Times New Roman" w:eastAsiaTheme="minorEastAsia" w:hAnsi="Times New Roman" w:cs="Times New Roman"/>
          <w:sz w:val="24"/>
          <w:szCs w:val="24"/>
        </w:rPr>
        <w:lastRenderedPageBreak/>
        <w:t>State-by-year effects</w:t>
      </w:r>
      <w:r>
        <w:rPr>
          <w:rFonts w:ascii="Times New Roman" w:eastAsiaTheme="minorEastAsia" w:hAnsi="Times New Roman" w:cs="Times New Roman"/>
          <w:sz w:val="24"/>
          <w:szCs w:val="24"/>
        </w:rPr>
        <w:t xml:space="preserve"> </w:t>
      </w:r>
      <w:r w:rsidRPr="006B3D42">
        <w:rPr>
          <w:rFonts w:ascii="Times New Roman" w:eastAsiaTheme="minorEastAsia" w:hAnsi="Times New Roman" w:cs="Times New Roman"/>
          <w:sz w:val="24"/>
          <w:szCs w:val="24"/>
        </w:rPr>
        <w:t>manage time-evolving distinctions in the dependent variable shared among counties within age groups within a state. These effects encapsulate factors undergoing temporal changes</w:t>
      </w:r>
      <w:r w:rsidR="00313A06">
        <w:rPr>
          <w:rFonts w:ascii="Times New Roman" w:eastAsiaTheme="minorEastAsia" w:hAnsi="Times New Roman" w:cs="Times New Roman"/>
          <w:sz w:val="24"/>
          <w:szCs w:val="24"/>
        </w:rPr>
        <w:t xml:space="preserve"> which</w:t>
      </w:r>
      <w:r w:rsidRPr="006B3D42">
        <w:rPr>
          <w:rFonts w:ascii="Times New Roman" w:eastAsiaTheme="minorEastAsia" w:hAnsi="Times New Roman" w:cs="Times New Roman"/>
          <w:sz w:val="24"/>
          <w:szCs w:val="24"/>
        </w:rPr>
        <w:t xml:space="preserve"> affect</w:t>
      </w:r>
      <w:r w:rsidR="00313A06">
        <w:rPr>
          <w:rFonts w:ascii="Times New Roman" w:eastAsiaTheme="minorEastAsia" w:hAnsi="Times New Roman" w:cs="Times New Roman"/>
          <w:sz w:val="24"/>
          <w:szCs w:val="24"/>
        </w:rPr>
        <w:t xml:space="preserve"> </w:t>
      </w:r>
      <w:r w:rsidRPr="006B3D42">
        <w:rPr>
          <w:rFonts w:ascii="Times New Roman" w:eastAsiaTheme="minorEastAsia" w:hAnsi="Times New Roman" w:cs="Times New Roman"/>
          <w:sz w:val="24"/>
          <w:szCs w:val="24"/>
        </w:rPr>
        <w:t>all counties within a state uniformly.</w:t>
      </w:r>
      <w:r w:rsidR="0022488D">
        <w:rPr>
          <w:rFonts w:ascii="Times New Roman" w:eastAsiaTheme="minorEastAsia" w:hAnsi="Times New Roman" w:cs="Times New Roman"/>
          <w:sz w:val="24"/>
          <w:szCs w:val="24"/>
        </w:rPr>
        <w:t xml:space="preserve"> The given example for this effect was changes in state Medicare policies. Additional examples for this effect can include 1) </w:t>
      </w:r>
      <w:r w:rsidR="00FB43DE">
        <w:rPr>
          <w:rFonts w:ascii="Times New Roman" w:eastAsiaTheme="minorEastAsia" w:hAnsi="Times New Roman" w:cs="Times New Roman"/>
          <w:sz w:val="24"/>
          <w:szCs w:val="24"/>
        </w:rPr>
        <w:t>changes in state-level legislation, such as regulations or policies affecting health or safety</w:t>
      </w:r>
      <w:r w:rsidR="00BD1712">
        <w:rPr>
          <w:rFonts w:ascii="Times New Roman" w:eastAsiaTheme="minorEastAsia" w:hAnsi="Times New Roman" w:cs="Times New Roman"/>
          <w:sz w:val="24"/>
          <w:szCs w:val="24"/>
        </w:rPr>
        <w:t>, which could in turn affect different age groups in various ways, and 2) economic changes on a statewide level, which would affect access to healthcare for different age groups in different ways.</w:t>
      </w:r>
    </w:p>
    <w:p w14:paraId="032912E9" w14:textId="103B8B24" w:rsidR="00E031A4" w:rsidRPr="00B80D19" w:rsidRDefault="00E031A4" w:rsidP="00E031A4">
      <w:pPr>
        <w:rPr>
          <w:rFonts w:ascii="Times New Roman" w:hAnsi="Times New Roman" w:cs="Times New Roman"/>
        </w:rPr>
      </w:pPr>
      <w:r w:rsidRPr="00B80D19">
        <w:rPr>
          <w:rFonts w:ascii="Times New Roman" w:eastAsiaTheme="minorEastAsia" w:hAnsi="Times New Roman" w:cs="Times New Roman"/>
          <w:b/>
          <w:bCs/>
          <w:sz w:val="24"/>
          <w:szCs w:val="24"/>
        </w:rPr>
        <w:t xml:space="preserve">Q5. </w:t>
      </w:r>
      <w:r>
        <w:rPr>
          <w:rFonts w:ascii="Times New Roman" w:eastAsiaTheme="minorEastAsia" w:hAnsi="Times New Roman" w:cs="Times New Roman"/>
          <w:b/>
          <w:bCs/>
          <w:sz w:val="24"/>
          <w:szCs w:val="24"/>
        </w:rPr>
        <w:t>c</w:t>
      </w:r>
      <w:r w:rsidRPr="00B80D19">
        <w:rPr>
          <w:rFonts w:ascii="Times New Roman" w:eastAsiaTheme="minorEastAsia" w:hAnsi="Times New Roman" w:cs="Times New Roman"/>
          <w:b/>
          <w:bCs/>
          <w:sz w:val="24"/>
          <w:szCs w:val="24"/>
        </w:rPr>
        <w:t>)</w:t>
      </w:r>
      <w:r w:rsidRPr="00B80D19">
        <w:rPr>
          <w:rFonts w:ascii="Times New Roman" w:hAnsi="Times New Roman" w:cs="Times New Roman"/>
        </w:rPr>
        <w:t xml:space="preserve"> </w:t>
      </w:r>
    </w:p>
    <w:p w14:paraId="23008309" w14:textId="13814ACE" w:rsidR="006A0FA6" w:rsidRDefault="007237C3" w:rsidP="00A96F0A">
      <w:pPr>
        <w:rPr>
          <w:rFonts w:ascii="Times New Roman" w:hAnsi="Times New Roman" w:cs="Times New Roman"/>
          <w:kern w:val="0"/>
          <w:sz w:val="24"/>
          <w:szCs w:val="24"/>
          <w14:ligatures w14:val="none"/>
        </w:rPr>
      </w:pPr>
      <w:r>
        <w:rPr>
          <w:rFonts w:ascii="Times New Roman" w:eastAsiaTheme="minorEastAsia" w:hAnsi="Times New Roman" w:cs="Times New Roman"/>
          <w:sz w:val="24"/>
          <w:szCs w:val="24"/>
        </w:rPr>
        <w:t xml:space="preserve">The coefficient on the </w:t>
      </w:r>
      <w:r w:rsidR="00A6543E">
        <w:rPr>
          <w:rFonts w:ascii="Times New Roman" w:eastAsiaTheme="minorEastAsia" w:hAnsi="Times New Roman" w:cs="Times New Roman"/>
          <w:sz w:val="24"/>
          <w:szCs w:val="24"/>
        </w:rPr>
        <w:t xml:space="preserve">hottest day term is 5.347. This </w:t>
      </w:r>
      <w:r w:rsidR="00496806">
        <w:rPr>
          <w:rFonts w:ascii="Times New Roman" w:eastAsiaTheme="minorEastAsia" w:hAnsi="Times New Roman" w:cs="Times New Roman"/>
          <w:sz w:val="24"/>
          <w:szCs w:val="24"/>
        </w:rPr>
        <w:t xml:space="preserve">implies that </w:t>
      </w:r>
      <w:r w:rsidR="001F375D">
        <w:rPr>
          <w:rFonts w:ascii="Times New Roman" w:eastAsiaTheme="minorEastAsia" w:hAnsi="Times New Roman" w:cs="Times New Roman"/>
          <w:sz w:val="24"/>
          <w:szCs w:val="24"/>
        </w:rPr>
        <w:t xml:space="preserve">compared to the baseline </w:t>
      </w:r>
      <w:r w:rsidR="004C0CF4">
        <w:rPr>
          <w:rFonts w:ascii="Times New Roman" w:eastAsiaTheme="minorEastAsia" w:hAnsi="Times New Roman" w:cs="Times New Roman"/>
          <w:sz w:val="24"/>
          <w:szCs w:val="24"/>
        </w:rPr>
        <w:t>mortality rate in the 60-70</w:t>
      </w:r>
      <w:r w:rsidR="004C0CF4">
        <w:rPr>
          <w:rFonts w:ascii="Times New Roman" w:hAnsi="Times New Roman" w:cs="Times New Roman"/>
          <w:kern w:val="0"/>
          <w:sz w:val="24"/>
          <w:szCs w:val="24"/>
          <w14:ligatures w14:val="none"/>
        </w:rPr>
        <w:t>⁰F</w:t>
      </w:r>
      <w:r w:rsidR="004C0CF4">
        <w:rPr>
          <w:rFonts w:ascii="Times New Roman" w:hAnsi="Times New Roman" w:cs="Times New Roman"/>
          <w:kern w:val="0"/>
          <w:sz w:val="24"/>
          <w:szCs w:val="24"/>
          <w14:ligatures w14:val="none"/>
        </w:rPr>
        <w:t xml:space="preserve"> temperature bin, the mortality rate in the 90</w:t>
      </w:r>
      <w:r w:rsidR="004C0CF4">
        <w:rPr>
          <w:rFonts w:ascii="Times New Roman" w:hAnsi="Times New Roman" w:cs="Times New Roman"/>
          <w:kern w:val="0"/>
          <w:sz w:val="24"/>
          <w:szCs w:val="24"/>
          <w14:ligatures w14:val="none"/>
        </w:rPr>
        <w:t>⁰F</w:t>
      </w:r>
      <w:r w:rsidR="004C0CF4">
        <w:rPr>
          <w:rFonts w:ascii="Times New Roman" w:hAnsi="Times New Roman" w:cs="Times New Roman"/>
          <w:kern w:val="0"/>
          <w:sz w:val="24"/>
          <w:szCs w:val="24"/>
          <w14:ligatures w14:val="none"/>
        </w:rPr>
        <w:t xml:space="preserve"> temperature bin is about 5.</w:t>
      </w:r>
      <w:r w:rsidR="00B80521">
        <w:rPr>
          <w:rFonts w:ascii="Times New Roman" w:hAnsi="Times New Roman" w:cs="Times New Roman"/>
          <w:kern w:val="0"/>
          <w:sz w:val="24"/>
          <w:szCs w:val="24"/>
          <w14:ligatures w14:val="none"/>
        </w:rPr>
        <w:t xml:space="preserve">347% higher. While this may initially appear to be a smaller number, 5% of 100,000 is </w:t>
      </w:r>
      <w:r w:rsidR="00C226D5">
        <w:rPr>
          <w:rFonts w:ascii="Times New Roman" w:hAnsi="Times New Roman" w:cs="Times New Roman"/>
          <w:kern w:val="0"/>
          <w:sz w:val="24"/>
          <w:szCs w:val="24"/>
          <w14:ligatures w14:val="none"/>
        </w:rPr>
        <w:t>5,000. In other words, about 5,347 more people in the 65+ age group would die in the higher temperature bin compared to the baseline temperature bin simply due to the temperatures being higher.</w:t>
      </w:r>
      <w:r w:rsidR="006A0FA6">
        <w:rPr>
          <w:rFonts w:ascii="Times New Roman" w:hAnsi="Times New Roman" w:cs="Times New Roman"/>
          <w:kern w:val="0"/>
          <w:sz w:val="24"/>
          <w:szCs w:val="24"/>
          <w14:ligatures w14:val="none"/>
        </w:rPr>
        <w:br/>
        <w:t>Based on the above, this number seems very large to me.</w:t>
      </w:r>
    </w:p>
    <w:p w14:paraId="6AD51D35" w14:textId="77777777" w:rsidR="006A0FA6" w:rsidRDefault="006A0FA6" w:rsidP="00A96F0A">
      <w:pPr>
        <w:rPr>
          <w:rFonts w:ascii="Times New Roman" w:hAnsi="Times New Roman" w:cs="Times New Roman"/>
          <w:kern w:val="0"/>
          <w:sz w:val="24"/>
          <w:szCs w:val="24"/>
          <w14:ligatures w14:val="none"/>
        </w:rPr>
      </w:pPr>
    </w:p>
    <w:p w14:paraId="126A24E4" w14:textId="71DA039E" w:rsidR="00E5785B" w:rsidRDefault="006A0FA6" w:rsidP="00A96F0A">
      <w:pPr>
        <w:rPr>
          <w:rFonts w:ascii="Times New Roman" w:eastAsiaTheme="minorEastAsia" w:hAnsi="Times New Roman" w:cs="Times New Roman"/>
          <w:sz w:val="24"/>
          <w:szCs w:val="24"/>
        </w:rPr>
      </w:pPr>
      <w:r w:rsidRPr="00B80D19">
        <w:rPr>
          <w:rFonts w:ascii="Times New Roman" w:eastAsiaTheme="minorEastAsia" w:hAnsi="Times New Roman" w:cs="Times New Roman"/>
          <w:b/>
          <w:bCs/>
          <w:sz w:val="32"/>
          <w:szCs w:val="32"/>
        </w:rPr>
        <w:t>Q</w:t>
      </w:r>
      <w:r>
        <w:rPr>
          <w:rFonts w:ascii="Times New Roman" w:eastAsiaTheme="minorEastAsia" w:hAnsi="Times New Roman" w:cs="Times New Roman"/>
          <w:b/>
          <w:bCs/>
          <w:sz w:val="32"/>
          <w:szCs w:val="32"/>
        </w:rPr>
        <w:t>6</w:t>
      </w:r>
      <w:r w:rsidRPr="00B80D19">
        <w:rPr>
          <w:rFonts w:ascii="Times New Roman" w:eastAsiaTheme="minorEastAsia" w:hAnsi="Times New Roman" w:cs="Times New Roman"/>
          <w:b/>
          <w:bCs/>
          <w:sz w:val="32"/>
          <w:szCs w:val="32"/>
        </w:rPr>
        <w:t>.</w:t>
      </w:r>
      <w:r w:rsidR="00CA5CEF">
        <w:rPr>
          <w:rFonts w:ascii="Times New Roman" w:eastAsiaTheme="minorEastAsia" w:hAnsi="Times New Roman" w:cs="Times New Roman"/>
          <w:sz w:val="24"/>
          <w:szCs w:val="24"/>
        </w:rPr>
        <w:t xml:space="preserve"> An extension of this analysis could be seeing rates of migration for people aged </w:t>
      </w:r>
      <w:r w:rsidR="00332899">
        <w:rPr>
          <w:rFonts w:ascii="Times New Roman" w:eastAsiaTheme="minorEastAsia" w:hAnsi="Times New Roman" w:cs="Times New Roman"/>
          <w:sz w:val="24"/>
          <w:szCs w:val="24"/>
        </w:rPr>
        <w:t xml:space="preserve">65+. For example, one could see where people who are currently aged 65+ actually lived most of their life vs where they choose to spend their lives once they cross a certain threshold (be it 60 or 65 or another number). This would help </w:t>
      </w:r>
      <w:r w:rsidR="00C51701">
        <w:rPr>
          <w:rFonts w:ascii="Times New Roman" w:eastAsiaTheme="minorEastAsia" w:hAnsi="Times New Roman" w:cs="Times New Roman"/>
          <w:sz w:val="24"/>
          <w:szCs w:val="24"/>
        </w:rPr>
        <w:t xml:space="preserve">in understanding whether people, as they get older, understand the adverse effects of climate change </w:t>
      </w:r>
      <w:r w:rsidR="00E5785B">
        <w:rPr>
          <w:rFonts w:ascii="Times New Roman" w:eastAsiaTheme="minorEastAsia" w:hAnsi="Times New Roman" w:cs="Times New Roman"/>
          <w:sz w:val="24"/>
          <w:szCs w:val="24"/>
        </w:rPr>
        <w:t xml:space="preserve">and move across locations to adapt to the same. </w:t>
      </w:r>
      <w:r w:rsidR="003A7DF3">
        <w:rPr>
          <w:rFonts w:ascii="Times New Roman" w:eastAsiaTheme="minorEastAsia" w:hAnsi="Times New Roman" w:cs="Times New Roman"/>
          <w:sz w:val="24"/>
          <w:szCs w:val="24"/>
        </w:rPr>
        <w:br/>
      </w:r>
      <w:r w:rsidR="00E5785B">
        <w:rPr>
          <w:rFonts w:ascii="Times New Roman" w:eastAsiaTheme="minorEastAsia" w:hAnsi="Times New Roman" w:cs="Times New Roman"/>
          <w:sz w:val="24"/>
          <w:szCs w:val="24"/>
        </w:rPr>
        <w:t xml:space="preserve">Existence of towns/localities with better temperatures compared to the national average </w:t>
      </w:r>
      <w:r w:rsidR="00B53657">
        <w:rPr>
          <w:rFonts w:ascii="Times New Roman" w:eastAsiaTheme="minorEastAsia" w:hAnsi="Times New Roman" w:cs="Times New Roman"/>
          <w:sz w:val="24"/>
          <w:szCs w:val="24"/>
        </w:rPr>
        <w:t xml:space="preserve">with a higher than average population ratio of older people </w:t>
      </w:r>
      <w:r w:rsidR="001937AF">
        <w:rPr>
          <w:rFonts w:ascii="Times New Roman" w:eastAsiaTheme="minorEastAsia" w:hAnsi="Times New Roman" w:cs="Times New Roman"/>
          <w:sz w:val="24"/>
          <w:szCs w:val="24"/>
        </w:rPr>
        <w:t>c</w:t>
      </w:r>
      <w:r w:rsidR="00B53657">
        <w:rPr>
          <w:rFonts w:ascii="Times New Roman" w:eastAsiaTheme="minorEastAsia" w:hAnsi="Times New Roman" w:cs="Times New Roman"/>
          <w:sz w:val="24"/>
          <w:szCs w:val="24"/>
        </w:rPr>
        <w:t xml:space="preserve">ould also be evidence of people adapting to </w:t>
      </w:r>
      <w:r w:rsidR="008C1BB9">
        <w:rPr>
          <w:rFonts w:ascii="Times New Roman" w:eastAsiaTheme="minorEastAsia" w:hAnsi="Times New Roman" w:cs="Times New Roman"/>
          <w:sz w:val="24"/>
          <w:szCs w:val="24"/>
        </w:rPr>
        <w:t xml:space="preserve">these changes. </w:t>
      </w:r>
    </w:p>
    <w:p w14:paraId="1344C053" w14:textId="77777777" w:rsidR="009E32B9" w:rsidRDefault="008C1BB9" w:rsidP="00A96F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essence, we would expect to see a few key patterns as people age – while at younger ages people may be okay living in counties with hotter areas, leading to a higher mix of younger people as they are attracted to these places for reasons such as better jobs, lower cost of living, etc, </w:t>
      </w:r>
      <w:r w:rsidR="00DE2181">
        <w:rPr>
          <w:rFonts w:ascii="Times New Roman" w:eastAsiaTheme="minorEastAsia" w:hAnsi="Times New Roman" w:cs="Times New Roman"/>
          <w:sz w:val="24"/>
          <w:szCs w:val="24"/>
        </w:rPr>
        <w:t xml:space="preserve">as people grow older, they may start moving to places with better temperatures. </w:t>
      </w:r>
      <w:r w:rsidR="00D6222C">
        <w:rPr>
          <w:rFonts w:ascii="Times New Roman" w:eastAsiaTheme="minorEastAsia" w:hAnsi="Times New Roman" w:cs="Times New Roman"/>
          <w:sz w:val="24"/>
          <w:szCs w:val="24"/>
        </w:rPr>
        <w:t xml:space="preserve">Another pattern to watch out for, which may seem to be a consequence of the above but may not necessarily be the only reason for it, </w:t>
      </w:r>
      <w:r w:rsidR="00DD69F5">
        <w:rPr>
          <w:rFonts w:ascii="Times New Roman" w:eastAsiaTheme="minorEastAsia" w:hAnsi="Times New Roman" w:cs="Times New Roman"/>
          <w:sz w:val="24"/>
          <w:szCs w:val="24"/>
        </w:rPr>
        <w:t>is that in counties with lower wealth and/or higher poverty rates, the ratio of younger people to older people</w:t>
      </w:r>
      <w:r w:rsidR="00826397">
        <w:rPr>
          <w:rFonts w:ascii="Times New Roman" w:eastAsiaTheme="minorEastAsia" w:hAnsi="Times New Roman" w:cs="Times New Roman"/>
          <w:sz w:val="24"/>
          <w:szCs w:val="24"/>
        </w:rPr>
        <w:t xml:space="preserve"> may increase due to higher mortality rates of older residents and </w:t>
      </w:r>
      <w:r w:rsidR="009E32B9">
        <w:rPr>
          <w:rFonts w:ascii="Times New Roman" w:eastAsiaTheme="minorEastAsia" w:hAnsi="Times New Roman" w:cs="Times New Roman"/>
          <w:sz w:val="24"/>
          <w:szCs w:val="24"/>
        </w:rPr>
        <w:t>a result of not being able to relocate.</w:t>
      </w:r>
    </w:p>
    <w:p w14:paraId="5008769C" w14:textId="77777777" w:rsidR="009E32B9" w:rsidRDefault="009E32B9" w:rsidP="00A96F0A">
      <w:pPr>
        <w:rPr>
          <w:rFonts w:ascii="Times New Roman" w:eastAsiaTheme="minorEastAsia" w:hAnsi="Times New Roman" w:cs="Times New Roman"/>
          <w:sz w:val="24"/>
          <w:szCs w:val="24"/>
        </w:rPr>
      </w:pPr>
    </w:p>
    <w:p w14:paraId="1E5667C1" w14:textId="4525611B" w:rsidR="0092389E" w:rsidRDefault="009E32B9" w:rsidP="00A96F0A">
      <w:pPr>
        <w:rPr>
          <w:rFonts w:ascii="Times New Roman" w:eastAsiaTheme="minorEastAsia" w:hAnsi="Times New Roman" w:cs="Times New Roman"/>
          <w:sz w:val="24"/>
          <w:szCs w:val="24"/>
        </w:rPr>
      </w:pPr>
      <w:r>
        <w:rPr>
          <w:rFonts w:ascii="Times New Roman" w:eastAsiaTheme="minorEastAsia" w:hAnsi="Times New Roman" w:cs="Times New Roman"/>
          <w:b/>
          <w:bCs/>
          <w:sz w:val="32"/>
          <w:szCs w:val="32"/>
        </w:rPr>
        <w:t>Q7.</w:t>
      </w:r>
      <w:r w:rsidR="00DD69F5">
        <w:rPr>
          <w:rFonts w:ascii="Times New Roman" w:eastAsiaTheme="minorEastAsia" w:hAnsi="Times New Roman" w:cs="Times New Roman"/>
          <w:sz w:val="24"/>
          <w:szCs w:val="24"/>
        </w:rPr>
        <w:t xml:space="preserve"> </w:t>
      </w:r>
      <w:r w:rsidR="0092389E">
        <w:rPr>
          <w:rFonts w:ascii="Times New Roman" w:eastAsiaTheme="minorEastAsia" w:hAnsi="Times New Roman" w:cs="Times New Roman"/>
          <w:sz w:val="24"/>
          <w:szCs w:val="24"/>
        </w:rPr>
        <w:t xml:space="preserve">If I had been able to access data only </w:t>
      </w:r>
      <w:r w:rsidR="00C168E0">
        <w:rPr>
          <w:rFonts w:ascii="Times New Roman" w:eastAsiaTheme="minorEastAsia" w:hAnsi="Times New Roman" w:cs="Times New Roman"/>
          <w:sz w:val="24"/>
          <w:szCs w:val="24"/>
        </w:rPr>
        <w:t>for average temperatures and mortality rates (or simply temperatures and mortality</w:t>
      </w:r>
      <w:r w:rsidR="00F0394B">
        <w:rPr>
          <w:rFonts w:ascii="Times New Roman" w:eastAsiaTheme="minorEastAsia" w:hAnsi="Times New Roman" w:cs="Times New Roman"/>
          <w:sz w:val="24"/>
          <w:szCs w:val="24"/>
        </w:rPr>
        <w:t xml:space="preserve"> in a single year</w:t>
      </w:r>
      <w:r w:rsidR="00C168E0">
        <w:rPr>
          <w:rFonts w:ascii="Times New Roman" w:eastAsiaTheme="minorEastAsia" w:hAnsi="Times New Roman" w:cs="Times New Roman"/>
          <w:sz w:val="24"/>
          <w:szCs w:val="24"/>
        </w:rPr>
        <w:t xml:space="preserve">), it would have appeared </w:t>
      </w:r>
      <w:r w:rsidR="003A42B2">
        <w:rPr>
          <w:rFonts w:ascii="Times New Roman" w:eastAsiaTheme="minorEastAsia" w:hAnsi="Times New Roman" w:cs="Times New Roman"/>
          <w:sz w:val="24"/>
          <w:szCs w:val="24"/>
        </w:rPr>
        <w:t xml:space="preserve">that there is a negative correlation between mortality rates for ages over 65 and </w:t>
      </w:r>
      <w:r w:rsidR="00B259C1">
        <w:rPr>
          <w:rFonts w:ascii="Times New Roman" w:eastAsiaTheme="minorEastAsia" w:hAnsi="Times New Roman" w:cs="Times New Roman"/>
          <w:sz w:val="24"/>
          <w:szCs w:val="24"/>
        </w:rPr>
        <w:t xml:space="preserve">higher temperatures – ie, as temperature increases, mortality rate decreases. </w:t>
      </w:r>
      <w:r w:rsidR="00E0200E">
        <w:rPr>
          <w:rFonts w:ascii="Times New Roman" w:eastAsiaTheme="minorEastAsia" w:hAnsi="Times New Roman" w:cs="Times New Roman"/>
          <w:sz w:val="24"/>
          <w:szCs w:val="24"/>
        </w:rPr>
        <w:br/>
      </w:r>
      <w:r w:rsidR="00B259C1">
        <w:rPr>
          <w:rFonts w:ascii="Times New Roman" w:eastAsiaTheme="minorEastAsia" w:hAnsi="Times New Roman" w:cs="Times New Roman"/>
          <w:sz w:val="24"/>
          <w:szCs w:val="24"/>
        </w:rPr>
        <w:t xml:space="preserve">However, </w:t>
      </w:r>
      <w:r w:rsidR="00F0394B">
        <w:rPr>
          <w:rFonts w:ascii="Times New Roman" w:eastAsiaTheme="minorEastAsia" w:hAnsi="Times New Roman" w:cs="Times New Roman"/>
          <w:sz w:val="24"/>
          <w:szCs w:val="24"/>
        </w:rPr>
        <w:t xml:space="preserve">the results in question 5 make it clear that the above is not the case. Grouping data based on location and time period </w:t>
      </w:r>
      <w:r w:rsidR="00570E93">
        <w:rPr>
          <w:rFonts w:ascii="Times New Roman" w:eastAsiaTheme="minorEastAsia" w:hAnsi="Times New Roman" w:cs="Times New Roman"/>
          <w:sz w:val="24"/>
          <w:szCs w:val="24"/>
        </w:rPr>
        <w:t xml:space="preserve">shows us that mortality rate only increases as temperature increases, and that there is a disproportionate increase </w:t>
      </w:r>
      <w:r w:rsidR="00617B16">
        <w:rPr>
          <w:rFonts w:ascii="Times New Roman" w:eastAsiaTheme="minorEastAsia" w:hAnsi="Times New Roman" w:cs="Times New Roman"/>
          <w:sz w:val="24"/>
          <w:szCs w:val="24"/>
        </w:rPr>
        <w:t xml:space="preserve">at extreme temperatures compared to a baseline, resulting in a U-shaped mortality rate curve. </w:t>
      </w:r>
    </w:p>
    <w:p w14:paraId="157A233C" w14:textId="2A80C2DF" w:rsidR="00617B16" w:rsidRPr="003903F5" w:rsidRDefault="00617B16" w:rsidP="00A96F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implications of results from Q5. are quite significant – apart from the obvious increase in mortality rates</w:t>
      </w:r>
      <w:r w:rsidR="001937AF">
        <w:rPr>
          <w:rFonts w:ascii="Times New Roman" w:eastAsiaTheme="minorEastAsia" w:hAnsi="Times New Roman" w:cs="Times New Roman"/>
          <w:sz w:val="24"/>
          <w:szCs w:val="24"/>
        </w:rPr>
        <w:t>, it also decreases the human resources available to the nation.</w:t>
      </w:r>
      <w:r>
        <w:rPr>
          <w:rFonts w:ascii="Times New Roman" w:eastAsiaTheme="minorEastAsia" w:hAnsi="Times New Roman" w:cs="Times New Roman"/>
          <w:sz w:val="24"/>
          <w:szCs w:val="24"/>
        </w:rPr>
        <w:t xml:space="preserve"> </w:t>
      </w:r>
      <w:r w:rsidR="001937AF">
        <w:rPr>
          <w:rFonts w:ascii="Times New Roman" w:eastAsiaTheme="minorEastAsia" w:hAnsi="Times New Roman" w:cs="Times New Roman"/>
          <w:sz w:val="24"/>
          <w:szCs w:val="24"/>
        </w:rPr>
        <w:t>It would also lead to a total reduction in life expectancy</w:t>
      </w:r>
      <w:r w:rsidR="000F34CD">
        <w:rPr>
          <w:rFonts w:ascii="Times New Roman" w:eastAsiaTheme="minorEastAsia" w:hAnsi="Times New Roman" w:cs="Times New Roman"/>
          <w:sz w:val="24"/>
          <w:szCs w:val="24"/>
        </w:rPr>
        <w:t xml:space="preserve">, and </w:t>
      </w:r>
      <w:r w:rsidR="003903F5">
        <w:rPr>
          <w:rFonts w:ascii="Times New Roman" w:eastAsiaTheme="minorEastAsia" w:hAnsi="Times New Roman" w:cs="Times New Roman"/>
          <w:sz w:val="24"/>
          <w:szCs w:val="24"/>
        </w:rPr>
        <w:t>may</w:t>
      </w:r>
      <w:r w:rsidR="000F34CD">
        <w:rPr>
          <w:rFonts w:ascii="Times New Roman" w:eastAsiaTheme="minorEastAsia" w:hAnsi="Times New Roman" w:cs="Times New Roman"/>
          <w:sz w:val="24"/>
          <w:szCs w:val="24"/>
        </w:rPr>
        <w:t xml:space="preserve"> also lead to increased healthcare costs. These increased healthcare costs will affect</w:t>
      </w:r>
      <w:r w:rsidR="003903F5">
        <w:rPr>
          <w:rFonts w:ascii="Times New Roman" w:eastAsiaTheme="minorEastAsia" w:hAnsi="Times New Roman" w:cs="Times New Roman"/>
          <w:sz w:val="24"/>
          <w:szCs w:val="24"/>
        </w:rPr>
        <w:t xml:space="preserve"> not only</w:t>
      </w:r>
      <w:r w:rsidR="000F34CD">
        <w:rPr>
          <w:rFonts w:ascii="Times New Roman" w:eastAsiaTheme="minorEastAsia" w:hAnsi="Times New Roman" w:cs="Times New Roman"/>
          <w:sz w:val="24"/>
          <w:szCs w:val="24"/>
        </w:rPr>
        <w:t xml:space="preserve"> the larger economy</w:t>
      </w:r>
      <w:r w:rsidR="003903F5">
        <w:rPr>
          <w:rFonts w:ascii="Times New Roman" w:eastAsiaTheme="minorEastAsia" w:hAnsi="Times New Roman" w:cs="Times New Roman"/>
          <w:sz w:val="24"/>
          <w:szCs w:val="24"/>
        </w:rPr>
        <w:t xml:space="preserve">, but </w:t>
      </w:r>
      <w:r w:rsidR="00926CD7">
        <w:rPr>
          <w:rFonts w:ascii="Times New Roman" w:eastAsiaTheme="minorEastAsia" w:hAnsi="Times New Roman" w:cs="Times New Roman"/>
          <w:sz w:val="24"/>
          <w:szCs w:val="24"/>
        </w:rPr>
        <w:t>they will disproportionately affect people with lower income/wages. This may then lead to higher poverty/lower wealth as people get older, further harming the economy</w:t>
      </w:r>
      <w:r w:rsidR="00E0200E">
        <w:rPr>
          <w:rFonts w:ascii="Times New Roman" w:eastAsiaTheme="minorEastAsia" w:hAnsi="Times New Roman" w:cs="Times New Roman"/>
          <w:sz w:val="24"/>
          <w:szCs w:val="24"/>
        </w:rPr>
        <w:t xml:space="preserve"> and reducing quality of life. As the US warms, other effects </w:t>
      </w:r>
      <w:r w:rsidR="00446B45">
        <w:rPr>
          <w:rFonts w:ascii="Times New Roman" w:eastAsiaTheme="minorEastAsia" w:hAnsi="Times New Roman" w:cs="Times New Roman"/>
          <w:sz w:val="24"/>
          <w:szCs w:val="24"/>
        </w:rPr>
        <w:t>such as increased violence rates may also become visible.</w:t>
      </w:r>
      <w:r w:rsidR="00E0200E">
        <w:rPr>
          <w:rFonts w:ascii="Times New Roman" w:eastAsiaTheme="minorEastAsia" w:hAnsi="Times New Roman" w:cs="Times New Roman"/>
          <w:sz w:val="24"/>
          <w:szCs w:val="24"/>
        </w:rPr>
        <w:t xml:space="preserve"> </w:t>
      </w:r>
    </w:p>
    <w:sectPr w:rsidR="00617B16" w:rsidRPr="003903F5" w:rsidSect="00F94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431"/>
    <w:multiLevelType w:val="hybridMultilevel"/>
    <w:tmpl w:val="12FEDCC2"/>
    <w:lvl w:ilvl="0" w:tplc="5F1E943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10634"/>
    <w:multiLevelType w:val="multilevel"/>
    <w:tmpl w:val="4CF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6040">
    <w:abstractNumId w:val="1"/>
  </w:num>
  <w:num w:numId="2" w16cid:durableId="44389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32"/>
    <w:rsid w:val="0000139C"/>
    <w:rsid w:val="00016D03"/>
    <w:rsid w:val="00021448"/>
    <w:rsid w:val="00031291"/>
    <w:rsid w:val="00032251"/>
    <w:rsid w:val="00032485"/>
    <w:rsid w:val="00032B84"/>
    <w:rsid w:val="0003451D"/>
    <w:rsid w:val="00036DD3"/>
    <w:rsid w:val="00043F1B"/>
    <w:rsid w:val="000500B2"/>
    <w:rsid w:val="000525CE"/>
    <w:rsid w:val="0005347C"/>
    <w:rsid w:val="000627E6"/>
    <w:rsid w:val="000733C3"/>
    <w:rsid w:val="00076DCF"/>
    <w:rsid w:val="00082F0E"/>
    <w:rsid w:val="000927E0"/>
    <w:rsid w:val="0009294F"/>
    <w:rsid w:val="00093D86"/>
    <w:rsid w:val="00097242"/>
    <w:rsid w:val="000A15AE"/>
    <w:rsid w:val="000A74F2"/>
    <w:rsid w:val="000D1E16"/>
    <w:rsid w:val="000E1FAF"/>
    <w:rsid w:val="000E343D"/>
    <w:rsid w:val="000E4A1C"/>
    <w:rsid w:val="000F0131"/>
    <w:rsid w:val="000F0898"/>
    <w:rsid w:val="000F34CD"/>
    <w:rsid w:val="000F4B75"/>
    <w:rsid w:val="000F6D80"/>
    <w:rsid w:val="000F73CB"/>
    <w:rsid w:val="00113588"/>
    <w:rsid w:val="001220E3"/>
    <w:rsid w:val="00127049"/>
    <w:rsid w:val="001314F4"/>
    <w:rsid w:val="0013615F"/>
    <w:rsid w:val="00140103"/>
    <w:rsid w:val="001402E6"/>
    <w:rsid w:val="00142B9F"/>
    <w:rsid w:val="00145E21"/>
    <w:rsid w:val="00153F5E"/>
    <w:rsid w:val="001619A1"/>
    <w:rsid w:val="001676ED"/>
    <w:rsid w:val="001677EB"/>
    <w:rsid w:val="00167F6F"/>
    <w:rsid w:val="001858E3"/>
    <w:rsid w:val="00192632"/>
    <w:rsid w:val="001937AF"/>
    <w:rsid w:val="0019398C"/>
    <w:rsid w:val="00194952"/>
    <w:rsid w:val="001A01F5"/>
    <w:rsid w:val="001B30FB"/>
    <w:rsid w:val="001C220E"/>
    <w:rsid w:val="001C3D7C"/>
    <w:rsid w:val="001C4510"/>
    <w:rsid w:val="001C53CC"/>
    <w:rsid w:val="001C5682"/>
    <w:rsid w:val="001E0FA9"/>
    <w:rsid w:val="001E1836"/>
    <w:rsid w:val="001E6FFF"/>
    <w:rsid w:val="001F11B7"/>
    <w:rsid w:val="001F179E"/>
    <w:rsid w:val="001F2D9E"/>
    <w:rsid w:val="001F375D"/>
    <w:rsid w:val="002051C6"/>
    <w:rsid w:val="00210EFD"/>
    <w:rsid w:val="00211DAD"/>
    <w:rsid w:val="0021489E"/>
    <w:rsid w:val="0022488D"/>
    <w:rsid w:val="002325AE"/>
    <w:rsid w:val="002426E0"/>
    <w:rsid w:val="002454FC"/>
    <w:rsid w:val="00247036"/>
    <w:rsid w:val="00247FF9"/>
    <w:rsid w:val="002509C0"/>
    <w:rsid w:val="00250B20"/>
    <w:rsid w:val="00260699"/>
    <w:rsid w:val="002620F0"/>
    <w:rsid w:val="00267F9F"/>
    <w:rsid w:val="00274491"/>
    <w:rsid w:val="002833CA"/>
    <w:rsid w:val="00285DB1"/>
    <w:rsid w:val="002A5D97"/>
    <w:rsid w:val="002B06C1"/>
    <w:rsid w:val="002C14E0"/>
    <w:rsid w:val="002C2BD4"/>
    <w:rsid w:val="002C5478"/>
    <w:rsid w:val="002D717D"/>
    <w:rsid w:val="002E6C22"/>
    <w:rsid w:val="002F3836"/>
    <w:rsid w:val="002F49F8"/>
    <w:rsid w:val="00313A06"/>
    <w:rsid w:val="00330D0E"/>
    <w:rsid w:val="00332899"/>
    <w:rsid w:val="0033299E"/>
    <w:rsid w:val="0033395A"/>
    <w:rsid w:val="003345E3"/>
    <w:rsid w:val="00336DF4"/>
    <w:rsid w:val="0034069B"/>
    <w:rsid w:val="0034331B"/>
    <w:rsid w:val="003460F0"/>
    <w:rsid w:val="00347956"/>
    <w:rsid w:val="00360BF6"/>
    <w:rsid w:val="00361F97"/>
    <w:rsid w:val="00377EF3"/>
    <w:rsid w:val="0038499C"/>
    <w:rsid w:val="003903F5"/>
    <w:rsid w:val="0039083D"/>
    <w:rsid w:val="00391546"/>
    <w:rsid w:val="003962CA"/>
    <w:rsid w:val="00397BCF"/>
    <w:rsid w:val="003A42B2"/>
    <w:rsid w:val="003A66F2"/>
    <w:rsid w:val="003A7DF3"/>
    <w:rsid w:val="003B0AA9"/>
    <w:rsid w:val="003B4481"/>
    <w:rsid w:val="003B53B4"/>
    <w:rsid w:val="003B7CDC"/>
    <w:rsid w:val="003C1FB6"/>
    <w:rsid w:val="003C4263"/>
    <w:rsid w:val="003E6B48"/>
    <w:rsid w:val="003F0F86"/>
    <w:rsid w:val="003F2660"/>
    <w:rsid w:val="003F3C8A"/>
    <w:rsid w:val="003F713C"/>
    <w:rsid w:val="00400D20"/>
    <w:rsid w:val="00404779"/>
    <w:rsid w:val="00412D09"/>
    <w:rsid w:val="00414D57"/>
    <w:rsid w:val="0041558B"/>
    <w:rsid w:val="00446B45"/>
    <w:rsid w:val="00456601"/>
    <w:rsid w:val="00476592"/>
    <w:rsid w:val="0048284C"/>
    <w:rsid w:val="00486410"/>
    <w:rsid w:val="00491D64"/>
    <w:rsid w:val="004961EA"/>
    <w:rsid w:val="00496806"/>
    <w:rsid w:val="00497E79"/>
    <w:rsid w:val="004A360F"/>
    <w:rsid w:val="004A3661"/>
    <w:rsid w:val="004B2919"/>
    <w:rsid w:val="004B29C4"/>
    <w:rsid w:val="004B48B7"/>
    <w:rsid w:val="004C0047"/>
    <w:rsid w:val="004C0CF4"/>
    <w:rsid w:val="004C0F1F"/>
    <w:rsid w:val="004C5369"/>
    <w:rsid w:val="004C6425"/>
    <w:rsid w:val="004D40AC"/>
    <w:rsid w:val="004D733E"/>
    <w:rsid w:val="004E1EB7"/>
    <w:rsid w:val="004F46F5"/>
    <w:rsid w:val="004F71E1"/>
    <w:rsid w:val="00500F2B"/>
    <w:rsid w:val="00500FEF"/>
    <w:rsid w:val="00503840"/>
    <w:rsid w:val="00530980"/>
    <w:rsid w:val="00534937"/>
    <w:rsid w:val="005414C2"/>
    <w:rsid w:val="00550836"/>
    <w:rsid w:val="00570E93"/>
    <w:rsid w:val="005848DE"/>
    <w:rsid w:val="00596893"/>
    <w:rsid w:val="005A2A15"/>
    <w:rsid w:val="005B6F9F"/>
    <w:rsid w:val="005C0232"/>
    <w:rsid w:val="005C0E0F"/>
    <w:rsid w:val="005D148D"/>
    <w:rsid w:val="005D2861"/>
    <w:rsid w:val="005E44D2"/>
    <w:rsid w:val="005F392F"/>
    <w:rsid w:val="00607129"/>
    <w:rsid w:val="00617B16"/>
    <w:rsid w:val="00621548"/>
    <w:rsid w:val="006221F3"/>
    <w:rsid w:val="00622411"/>
    <w:rsid w:val="00630169"/>
    <w:rsid w:val="0063043F"/>
    <w:rsid w:val="0064066F"/>
    <w:rsid w:val="00640F2C"/>
    <w:rsid w:val="00643603"/>
    <w:rsid w:val="006473F6"/>
    <w:rsid w:val="0065223E"/>
    <w:rsid w:val="00660D85"/>
    <w:rsid w:val="006714B9"/>
    <w:rsid w:val="00677326"/>
    <w:rsid w:val="00683A3E"/>
    <w:rsid w:val="00692765"/>
    <w:rsid w:val="0069313E"/>
    <w:rsid w:val="00694E2B"/>
    <w:rsid w:val="006A089D"/>
    <w:rsid w:val="006A0FA6"/>
    <w:rsid w:val="006A6AD9"/>
    <w:rsid w:val="006A728C"/>
    <w:rsid w:val="006B3D42"/>
    <w:rsid w:val="006C4867"/>
    <w:rsid w:val="006D514F"/>
    <w:rsid w:val="006E32C2"/>
    <w:rsid w:val="006E6E1F"/>
    <w:rsid w:val="00700EC1"/>
    <w:rsid w:val="00703BB0"/>
    <w:rsid w:val="00704908"/>
    <w:rsid w:val="007077BD"/>
    <w:rsid w:val="00717703"/>
    <w:rsid w:val="007237C3"/>
    <w:rsid w:val="00726777"/>
    <w:rsid w:val="00731CFF"/>
    <w:rsid w:val="00732D8D"/>
    <w:rsid w:val="007415FE"/>
    <w:rsid w:val="007472C1"/>
    <w:rsid w:val="0076209F"/>
    <w:rsid w:val="00766769"/>
    <w:rsid w:val="00782723"/>
    <w:rsid w:val="0078535F"/>
    <w:rsid w:val="00793460"/>
    <w:rsid w:val="007946A9"/>
    <w:rsid w:val="007A20E3"/>
    <w:rsid w:val="007A46B2"/>
    <w:rsid w:val="007A6E80"/>
    <w:rsid w:val="007B2F16"/>
    <w:rsid w:val="007C26A1"/>
    <w:rsid w:val="007D5A31"/>
    <w:rsid w:val="007E5559"/>
    <w:rsid w:val="007E7F6F"/>
    <w:rsid w:val="007F2146"/>
    <w:rsid w:val="007F39B8"/>
    <w:rsid w:val="008061E2"/>
    <w:rsid w:val="008063E1"/>
    <w:rsid w:val="008156F3"/>
    <w:rsid w:val="00826397"/>
    <w:rsid w:val="00830F5A"/>
    <w:rsid w:val="008323E2"/>
    <w:rsid w:val="0083350D"/>
    <w:rsid w:val="0083692E"/>
    <w:rsid w:val="00842029"/>
    <w:rsid w:val="00842F6D"/>
    <w:rsid w:val="00846A8B"/>
    <w:rsid w:val="008545F5"/>
    <w:rsid w:val="008548E1"/>
    <w:rsid w:val="00863781"/>
    <w:rsid w:val="00871BEF"/>
    <w:rsid w:val="008726C8"/>
    <w:rsid w:val="00885FFD"/>
    <w:rsid w:val="00887B29"/>
    <w:rsid w:val="00890ED9"/>
    <w:rsid w:val="008937C7"/>
    <w:rsid w:val="00895F14"/>
    <w:rsid w:val="008A0350"/>
    <w:rsid w:val="008B216F"/>
    <w:rsid w:val="008B625B"/>
    <w:rsid w:val="008C1BB9"/>
    <w:rsid w:val="008C29F5"/>
    <w:rsid w:val="008D43B5"/>
    <w:rsid w:val="008E0A6D"/>
    <w:rsid w:val="008E49A5"/>
    <w:rsid w:val="008E6090"/>
    <w:rsid w:val="008E662B"/>
    <w:rsid w:val="008F1333"/>
    <w:rsid w:val="0092389E"/>
    <w:rsid w:val="00923985"/>
    <w:rsid w:val="0092452B"/>
    <w:rsid w:val="00925928"/>
    <w:rsid w:val="00926CD7"/>
    <w:rsid w:val="0093004B"/>
    <w:rsid w:val="00933F22"/>
    <w:rsid w:val="00943444"/>
    <w:rsid w:val="009439EA"/>
    <w:rsid w:val="009454D0"/>
    <w:rsid w:val="009514E0"/>
    <w:rsid w:val="0095266E"/>
    <w:rsid w:val="00953F54"/>
    <w:rsid w:val="0096512E"/>
    <w:rsid w:val="00975A60"/>
    <w:rsid w:val="009776CD"/>
    <w:rsid w:val="009854AD"/>
    <w:rsid w:val="0099336D"/>
    <w:rsid w:val="00997558"/>
    <w:rsid w:val="009A2937"/>
    <w:rsid w:val="009B043C"/>
    <w:rsid w:val="009B68BE"/>
    <w:rsid w:val="009C4A7F"/>
    <w:rsid w:val="009E32B9"/>
    <w:rsid w:val="009E54A6"/>
    <w:rsid w:val="009E67B2"/>
    <w:rsid w:val="009F10BD"/>
    <w:rsid w:val="009F36D5"/>
    <w:rsid w:val="009F53DF"/>
    <w:rsid w:val="009F5ED0"/>
    <w:rsid w:val="009F6195"/>
    <w:rsid w:val="00A0263D"/>
    <w:rsid w:val="00A22BE3"/>
    <w:rsid w:val="00A278B3"/>
    <w:rsid w:val="00A34D58"/>
    <w:rsid w:val="00A35187"/>
    <w:rsid w:val="00A358D2"/>
    <w:rsid w:val="00A409C6"/>
    <w:rsid w:val="00A4685B"/>
    <w:rsid w:val="00A50673"/>
    <w:rsid w:val="00A51469"/>
    <w:rsid w:val="00A52E22"/>
    <w:rsid w:val="00A55E92"/>
    <w:rsid w:val="00A57011"/>
    <w:rsid w:val="00A64E2D"/>
    <w:rsid w:val="00A6543E"/>
    <w:rsid w:val="00A65CF4"/>
    <w:rsid w:val="00A74E24"/>
    <w:rsid w:val="00A76C83"/>
    <w:rsid w:val="00A834FB"/>
    <w:rsid w:val="00A96F0A"/>
    <w:rsid w:val="00AA7BC1"/>
    <w:rsid w:val="00AC2B0A"/>
    <w:rsid w:val="00AC41D3"/>
    <w:rsid w:val="00AD0F32"/>
    <w:rsid w:val="00AD11BE"/>
    <w:rsid w:val="00AD294C"/>
    <w:rsid w:val="00AD6771"/>
    <w:rsid w:val="00AE531F"/>
    <w:rsid w:val="00B129E2"/>
    <w:rsid w:val="00B133B8"/>
    <w:rsid w:val="00B16620"/>
    <w:rsid w:val="00B21D1F"/>
    <w:rsid w:val="00B259C1"/>
    <w:rsid w:val="00B53657"/>
    <w:rsid w:val="00B625CA"/>
    <w:rsid w:val="00B65E2B"/>
    <w:rsid w:val="00B65F55"/>
    <w:rsid w:val="00B760FD"/>
    <w:rsid w:val="00B766DA"/>
    <w:rsid w:val="00B80521"/>
    <w:rsid w:val="00B80D19"/>
    <w:rsid w:val="00B83BA9"/>
    <w:rsid w:val="00B85703"/>
    <w:rsid w:val="00BA16A0"/>
    <w:rsid w:val="00BA4699"/>
    <w:rsid w:val="00BA743A"/>
    <w:rsid w:val="00BA7C10"/>
    <w:rsid w:val="00BB2A58"/>
    <w:rsid w:val="00BC30C4"/>
    <w:rsid w:val="00BD1712"/>
    <w:rsid w:val="00BE6667"/>
    <w:rsid w:val="00BF7DE3"/>
    <w:rsid w:val="00C0434F"/>
    <w:rsid w:val="00C05AB3"/>
    <w:rsid w:val="00C1403A"/>
    <w:rsid w:val="00C168C3"/>
    <w:rsid w:val="00C168E0"/>
    <w:rsid w:val="00C2182D"/>
    <w:rsid w:val="00C21AAF"/>
    <w:rsid w:val="00C21ADB"/>
    <w:rsid w:val="00C226D5"/>
    <w:rsid w:val="00C22DA6"/>
    <w:rsid w:val="00C23177"/>
    <w:rsid w:val="00C23368"/>
    <w:rsid w:val="00C24CFF"/>
    <w:rsid w:val="00C318E2"/>
    <w:rsid w:val="00C35496"/>
    <w:rsid w:val="00C43849"/>
    <w:rsid w:val="00C4528C"/>
    <w:rsid w:val="00C51701"/>
    <w:rsid w:val="00C5273A"/>
    <w:rsid w:val="00C67FDD"/>
    <w:rsid w:val="00C7055B"/>
    <w:rsid w:val="00C718A4"/>
    <w:rsid w:val="00C737DF"/>
    <w:rsid w:val="00C772E1"/>
    <w:rsid w:val="00C84F0A"/>
    <w:rsid w:val="00C864F1"/>
    <w:rsid w:val="00C87005"/>
    <w:rsid w:val="00C91518"/>
    <w:rsid w:val="00C97F6B"/>
    <w:rsid w:val="00CA1DB5"/>
    <w:rsid w:val="00CA5CEF"/>
    <w:rsid w:val="00CA6ED6"/>
    <w:rsid w:val="00CB1384"/>
    <w:rsid w:val="00CC7853"/>
    <w:rsid w:val="00CD3600"/>
    <w:rsid w:val="00CD680E"/>
    <w:rsid w:val="00CF66D0"/>
    <w:rsid w:val="00D04A39"/>
    <w:rsid w:val="00D07C27"/>
    <w:rsid w:val="00D14710"/>
    <w:rsid w:val="00D21FAD"/>
    <w:rsid w:val="00D325F0"/>
    <w:rsid w:val="00D429D8"/>
    <w:rsid w:val="00D4416C"/>
    <w:rsid w:val="00D55952"/>
    <w:rsid w:val="00D6222C"/>
    <w:rsid w:val="00D63DE8"/>
    <w:rsid w:val="00D74CFF"/>
    <w:rsid w:val="00D84C39"/>
    <w:rsid w:val="00D90E47"/>
    <w:rsid w:val="00D970D7"/>
    <w:rsid w:val="00DA0C45"/>
    <w:rsid w:val="00DB15C3"/>
    <w:rsid w:val="00DC3995"/>
    <w:rsid w:val="00DD32E3"/>
    <w:rsid w:val="00DD6057"/>
    <w:rsid w:val="00DD69F5"/>
    <w:rsid w:val="00DE0045"/>
    <w:rsid w:val="00DE2181"/>
    <w:rsid w:val="00DE6BC1"/>
    <w:rsid w:val="00DF7CBA"/>
    <w:rsid w:val="00E0200E"/>
    <w:rsid w:val="00E031A4"/>
    <w:rsid w:val="00E047EC"/>
    <w:rsid w:val="00E115A7"/>
    <w:rsid w:val="00E22660"/>
    <w:rsid w:val="00E239C3"/>
    <w:rsid w:val="00E32F00"/>
    <w:rsid w:val="00E34FAF"/>
    <w:rsid w:val="00E35152"/>
    <w:rsid w:val="00E3790E"/>
    <w:rsid w:val="00E42824"/>
    <w:rsid w:val="00E45305"/>
    <w:rsid w:val="00E5785B"/>
    <w:rsid w:val="00E707B7"/>
    <w:rsid w:val="00E7145D"/>
    <w:rsid w:val="00E75005"/>
    <w:rsid w:val="00E80CE1"/>
    <w:rsid w:val="00E96A54"/>
    <w:rsid w:val="00EA76D3"/>
    <w:rsid w:val="00EB1FD5"/>
    <w:rsid w:val="00EB4E74"/>
    <w:rsid w:val="00ED12F2"/>
    <w:rsid w:val="00ED2C29"/>
    <w:rsid w:val="00ED6676"/>
    <w:rsid w:val="00ED77E5"/>
    <w:rsid w:val="00EE3495"/>
    <w:rsid w:val="00EE6B39"/>
    <w:rsid w:val="00EE78AD"/>
    <w:rsid w:val="00EF19FD"/>
    <w:rsid w:val="00F00A03"/>
    <w:rsid w:val="00F02788"/>
    <w:rsid w:val="00F0394B"/>
    <w:rsid w:val="00F03D5F"/>
    <w:rsid w:val="00F0790E"/>
    <w:rsid w:val="00F11724"/>
    <w:rsid w:val="00F11A4D"/>
    <w:rsid w:val="00F1247C"/>
    <w:rsid w:val="00F20117"/>
    <w:rsid w:val="00F21616"/>
    <w:rsid w:val="00F31C5D"/>
    <w:rsid w:val="00F32F32"/>
    <w:rsid w:val="00F50122"/>
    <w:rsid w:val="00F667D7"/>
    <w:rsid w:val="00F8065C"/>
    <w:rsid w:val="00F82C12"/>
    <w:rsid w:val="00F87E2A"/>
    <w:rsid w:val="00F94171"/>
    <w:rsid w:val="00F95D55"/>
    <w:rsid w:val="00FA02DC"/>
    <w:rsid w:val="00FA1D0E"/>
    <w:rsid w:val="00FA6491"/>
    <w:rsid w:val="00FB2488"/>
    <w:rsid w:val="00FB2D72"/>
    <w:rsid w:val="00FB43DE"/>
    <w:rsid w:val="00FB460F"/>
    <w:rsid w:val="00FC2630"/>
    <w:rsid w:val="00FD0CB5"/>
    <w:rsid w:val="00FD3CC9"/>
    <w:rsid w:val="00FD5500"/>
    <w:rsid w:val="00FD59FD"/>
    <w:rsid w:val="00FE120B"/>
    <w:rsid w:val="00FE3DDF"/>
    <w:rsid w:val="00FE6326"/>
    <w:rsid w:val="00FF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7A90"/>
  <w15:chartTrackingRefBased/>
  <w15:docId w15:val="{DF0AD3F7-C6FB-3142-BA31-DE436F58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548"/>
    <w:rPr>
      <w:color w:val="666666"/>
    </w:rPr>
  </w:style>
  <w:style w:type="character" w:styleId="Hyperlink">
    <w:name w:val="Hyperlink"/>
    <w:basedOn w:val="DefaultParagraphFont"/>
    <w:uiPriority w:val="99"/>
    <w:unhideWhenUsed/>
    <w:rsid w:val="008323E2"/>
    <w:rPr>
      <w:color w:val="0563C1" w:themeColor="hyperlink"/>
      <w:u w:val="single"/>
    </w:rPr>
  </w:style>
  <w:style w:type="character" w:styleId="UnresolvedMention">
    <w:name w:val="Unresolved Mention"/>
    <w:basedOn w:val="DefaultParagraphFont"/>
    <w:uiPriority w:val="99"/>
    <w:semiHidden/>
    <w:unhideWhenUsed/>
    <w:rsid w:val="008323E2"/>
    <w:rPr>
      <w:color w:val="605E5C"/>
      <w:shd w:val="clear" w:color="auto" w:fill="E1DFDD"/>
    </w:rPr>
  </w:style>
  <w:style w:type="paragraph" w:styleId="Revision">
    <w:name w:val="Revision"/>
    <w:hidden/>
    <w:uiPriority w:val="99"/>
    <w:semiHidden/>
    <w:rsid w:val="00E80CE1"/>
    <w:pPr>
      <w:spacing w:after="0" w:line="240" w:lineRule="auto"/>
    </w:pPr>
  </w:style>
  <w:style w:type="table" w:styleId="TableGrid">
    <w:name w:val="Table Grid"/>
    <w:basedOn w:val="TableNormal"/>
    <w:uiPriority w:val="39"/>
    <w:rsid w:val="00A5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5E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5B6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8E662B"/>
    <w:pPr>
      <w:ind w:left="720"/>
      <w:contextualSpacing/>
    </w:pPr>
  </w:style>
  <w:style w:type="character" w:styleId="FollowedHyperlink">
    <w:name w:val="FollowedHyperlink"/>
    <w:basedOn w:val="DefaultParagraphFont"/>
    <w:uiPriority w:val="99"/>
    <w:semiHidden/>
    <w:unhideWhenUsed/>
    <w:rsid w:val="00846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456">
      <w:bodyDiv w:val="1"/>
      <w:marLeft w:val="0"/>
      <w:marRight w:val="0"/>
      <w:marTop w:val="0"/>
      <w:marBottom w:val="0"/>
      <w:divBdr>
        <w:top w:val="none" w:sz="0" w:space="0" w:color="auto"/>
        <w:left w:val="none" w:sz="0" w:space="0" w:color="auto"/>
        <w:bottom w:val="none" w:sz="0" w:space="0" w:color="auto"/>
        <w:right w:val="none" w:sz="0" w:space="0" w:color="auto"/>
      </w:divBdr>
    </w:div>
    <w:div w:id="160776973">
      <w:bodyDiv w:val="1"/>
      <w:marLeft w:val="0"/>
      <w:marRight w:val="0"/>
      <w:marTop w:val="0"/>
      <w:marBottom w:val="0"/>
      <w:divBdr>
        <w:top w:val="none" w:sz="0" w:space="0" w:color="auto"/>
        <w:left w:val="none" w:sz="0" w:space="0" w:color="auto"/>
        <w:bottom w:val="none" w:sz="0" w:space="0" w:color="auto"/>
        <w:right w:val="none" w:sz="0" w:space="0" w:color="auto"/>
      </w:divBdr>
    </w:div>
    <w:div w:id="165293573">
      <w:bodyDiv w:val="1"/>
      <w:marLeft w:val="0"/>
      <w:marRight w:val="0"/>
      <w:marTop w:val="0"/>
      <w:marBottom w:val="0"/>
      <w:divBdr>
        <w:top w:val="none" w:sz="0" w:space="0" w:color="auto"/>
        <w:left w:val="none" w:sz="0" w:space="0" w:color="auto"/>
        <w:bottom w:val="none" w:sz="0" w:space="0" w:color="auto"/>
        <w:right w:val="none" w:sz="0" w:space="0" w:color="auto"/>
      </w:divBdr>
    </w:div>
    <w:div w:id="194005414">
      <w:bodyDiv w:val="1"/>
      <w:marLeft w:val="0"/>
      <w:marRight w:val="0"/>
      <w:marTop w:val="0"/>
      <w:marBottom w:val="0"/>
      <w:divBdr>
        <w:top w:val="none" w:sz="0" w:space="0" w:color="auto"/>
        <w:left w:val="none" w:sz="0" w:space="0" w:color="auto"/>
        <w:bottom w:val="none" w:sz="0" w:space="0" w:color="auto"/>
        <w:right w:val="none" w:sz="0" w:space="0" w:color="auto"/>
      </w:divBdr>
    </w:div>
    <w:div w:id="255598339">
      <w:bodyDiv w:val="1"/>
      <w:marLeft w:val="0"/>
      <w:marRight w:val="0"/>
      <w:marTop w:val="0"/>
      <w:marBottom w:val="0"/>
      <w:divBdr>
        <w:top w:val="none" w:sz="0" w:space="0" w:color="auto"/>
        <w:left w:val="none" w:sz="0" w:space="0" w:color="auto"/>
        <w:bottom w:val="none" w:sz="0" w:space="0" w:color="auto"/>
        <w:right w:val="none" w:sz="0" w:space="0" w:color="auto"/>
      </w:divBdr>
    </w:div>
    <w:div w:id="282854630">
      <w:bodyDiv w:val="1"/>
      <w:marLeft w:val="0"/>
      <w:marRight w:val="0"/>
      <w:marTop w:val="0"/>
      <w:marBottom w:val="0"/>
      <w:divBdr>
        <w:top w:val="none" w:sz="0" w:space="0" w:color="auto"/>
        <w:left w:val="none" w:sz="0" w:space="0" w:color="auto"/>
        <w:bottom w:val="none" w:sz="0" w:space="0" w:color="auto"/>
        <w:right w:val="none" w:sz="0" w:space="0" w:color="auto"/>
      </w:divBdr>
      <w:divsChild>
        <w:div w:id="1847985143">
          <w:marLeft w:val="0"/>
          <w:marRight w:val="0"/>
          <w:marTop w:val="0"/>
          <w:marBottom w:val="0"/>
          <w:divBdr>
            <w:top w:val="none" w:sz="0" w:space="0" w:color="auto"/>
            <w:left w:val="none" w:sz="0" w:space="0" w:color="auto"/>
            <w:bottom w:val="none" w:sz="0" w:space="0" w:color="auto"/>
            <w:right w:val="none" w:sz="0" w:space="0" w:color="auto"/>
          </w:divBdr>
        </w:div>
      </w:divsChild>
    </w:div>
    <w:div w:id="337080392">
      <w:bodyDiv w:val="1"/>
      <w:marLeft w:val="0"/>
      <w:marRight w:val="0"/>
      <w:marTop w:val="0"/>
      <w:marBottom w:val="0"/>
      <w:divBdr>
        <w:top w:val="none" w:sz="0" w:space="0" w:color="auto"/>
        <w:left w:val="none" w:sz="0" w:space="0" w:color="auto"/>
        <w:bottom w:val="none" w:sz="0" w:space="0" w:color="auto"/>
        <w:right w:val="none" w:sz="0" w:space="0" w:color="auto"/>
      </w:divBdr>
    </w:div>
    <w:div w:id="375736185">
      <w:bodyDiv w:val="1"/>
      <w:marLeft w:val="0"/>
      <w:marRight w:val="0"/>
      <w:marTop w:val="0"/>
      <w:marBottom w:val="0"/>
      <w:divBdr>
        <w:top w:val="none" w:sz="0" w:space="0" w:color="auto"/>
        <w:left w:val="none" w:sz="0" w:space="0" w:color="auto"/>
        <w:bottom w:val="none" w:sz="0" w:space="0" w:color="auto"/>
        <w:right w:val="none" w:sz="0" w:space="0" w:color="auto"/>
      </w:divBdr>
      <w:divsChild>
        <w:div w:id="731585902">
          <w:marLeft w:val="0"/>
          <w:marRight w:val="0"/>
          <w:marTop w:val="0"/>
          <w:marBottom w:val="0"/>
          <w:divBdr>
            <w:top w:val="none" w:sz="0" w:space="0" w:color="auto"/>
            <w:left w:val="none" w:sz="0" w:space="0" w:color="auto"/>
            <w:bottom w:val="none" w:sz="0" w:space="0" w:color="auto"/>
            <w:right w:val="none" w:sz="0" w:space="0" w:color="auto"/>
          </w:divBdr>
          <w:divsChild>
            <w:div w:id="1998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299">
      <w:bodyDiv w:val="1"/>
      <w:marLeft w:val="0"/>
      <w:marRight w:val="0"/>
      <w:marTop w:val="0"/>
      <w:marBottom w:val="0"/>
      <w:divBdr>
        <w:top w:val="none" w:sz="0" w:space="0" w:color="auto"/>
        <w:left w:val="none" w:sz="0" w:space="0" w:color="auto"/>
        <w:bottom w:val="none" w:sz="0" w:space="0" w:color="auto"/>
        <w:right w:val="none" w:sz="0" w:space="0" w:color="auto"/>
      </w:divBdr>
    </w:div>
    <w:div w:id="594871085">
      <w:bodyDiv w:val="1"/>
      <w:marLeft w:val="0"/>
      <w:marRight w:val="0"/>
      <w:marTop w:val="0"/>
      <w:marBottom w:val="0"/>
      <w:divBdr>
        <w:top w:val="none" w:sz="0" w:space="0" w:color="auto"/>
        <w:left w:val="none" w:sz="0" w:space="0" w:color="auto"/>
        <w:bottom w:val="none" w:sz="0" w:space="0" w:color="auto"/>
        <w:right w:val="none" w:sz="0" w:space="0" w:color="auto"/>
      </w:divBdr>
    </w:div>
    <w:div w:id="658843885">
      <w:bodyDiv w:val="1"/>
      <w:marLeft w:val="0"/>
      <w:marRight w:val="0"/>
      <w:marTop w:val="0"/>
      <w:marBottom w:val="0"/>
      <w:divBdr>
        <w:top w:val="none" w:sz="0" w:space="0" w:color="auto"/>
        <w:left w:val="none" w:sz="0" w:space="0" w:color="auto"/>
        <w:bottom w:val="none" w:sz="0" w:space="0" w:color="auto"/>
        <w:right w:val="none" w:sz="0" w:space="0" w:color="auto"/>
      </w:divBdr>
      <w:divsChild>
        <w:div w:id="518156550">
          <w:marLeft w:val="0"/>
          <w:marRight w:val="0"/>
          <w:marTop w:val="0"/>
          <w:marBottom w:val="0"/>
          <w:divBdr>
            <w:top w:val="none" w:sz="0" w:space="0" w:color="auto"/>
            <w:left w:val="none" w:sz="0" w:space="0" w:color="auto"/>
            <w:bottom w:val="none" w:sz="0" w:space="0" w:color="auto"/>
            <w:right w:val="none" w:sz="0" w:space="0" w:color="auto"/>
          </w:divBdr>
          <w:divsChild>
            <w:div w:id="470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223">
      <w:bodyDiv w:val="1"/>
      <w:marLeft w:val="0"/>
      <w:marRight w:val="0"/>
      <w:marTop w:val="0"/>
      <w:marBottom w:val="0"/>
      <w:divBdr>
        <w:top w:val="none" w:sz="0" w:space="0" w:color="auto"/>
        <w:left w:val="none" w:sz="0" w:space="0" w:color="auto"/>
        <w:bottom w:val="none" w:sz="0" w:space="0" w:color="auto"/>
        <w:right w:val="none" w:sz="0" w:space="0" w:color="auto"/>
      </w:divBdr>
      <w:divsChild>
        <w:div w:id="1589342637">
          <w:marLeft w:val="0"/>
          <w:marRight w:val="0"/>
          <w:marTop w:val="0"/>
          <w:marBottom w:val="0"/>
          <w:divBdr>
            <w:top w:val="none" w:sz="0" w:space="0" w:color="auto"/>
            <w:left w:val="none" w:sz="0" w:space="0" w:color="auto"/>
            <w:bottom w:val="none" w:sz="0" w:space="0" w:color="auto"/>
            <w:right w:val="none" w:sz="0" w:space="0" w:color="auto"/>
          </w:divBdr>
          <w:divsChild>
            <w:div w:id="1795051054">
              <w:marLeft w:val="0"/>
              <w:marRight w:val="0"/>
              <w:marTop w:val="0"/>
              <w:marBottom w:val="0"/>
              <w:divBdr>
                <w:top w:val="none" w:sz="0" w:space="0" w:color="auto"/>
                <w:left w:val="none" w:sz="0" w:space="0" w:color="auto"/>
                <w:bottom w:val="none" w:sz="0" w:space="0" w:color="auto"/>
                <w:right w:val="none" w:sz="0" w:space="0" w:color="auto"/>
              </w:divBdr>
              <w:divsChild>
                <w:div w:id="1637370805">
                  <w:marLeft w:val="0"/>
                  <w:marRight w:val="0"/>
                  <w:marTop w:val="0"/>
                  <w:marBottom w:val="0"/>
                  <w:divBdr>
                    <w:top w:val="none" w:sz="0" w:space="0" w:color="auto"/>
                    <w:left w:val="none" w:sz="0" w:space="0" w:color="auto"/>
                    <w:bottom w:val="none" w:sz="0" w:space="0" w:color="auto"/>
                    <w:right w:val="none" w:sz="0" w:space="0" w:color="auto"/>
                  </w:divBdr>
                  <w:divsChild>
                    <w:div w:id="3558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0092">
      <w:bodyDiv w:val="1"/>
      <w:marLeft w:val="0"/>
      <w:marRight w:val="0"/>
      <w:marTop w:val="0"/>
      <w:marBottom w:val="0"/>
      <w:divBdr>
        <w:top w:val="none" w:sz="0" w:space="0" w:color="auto"/>
        <w:left w:val="none" w:sz="0" w:space="0" w:color="auto"/>
        <w:bottom w:val="none" w:sz="0" w:space="0" w:color="auto"/>
        <w:right w:val="none" w:sz="0" w:space="0" w:color="auto"/>
      </w:divBdr>
      <w:divsChild>
        <w:div w:id="159857079">
          <w:marLeft w:val="0"/>
          <w:marRight w:val="0"/>
          <w:marTop w:val="0"/>
          <w:marBottom w:val="0"/>
          <w:divBdr>
            <w:top w:val="none" w:sz="0" w:space="0" w:color="auto"/>
            <w:left w:val="none" w:sz="0" w:space="0" w:color="auto"/>
            <w:bottom w:val="none" w:sz="0" w:space="0" w:color="auto"/>
            <w:right w:val="none" w:sz="0" w:space="0" w:color="auto"/>
          </w:divBdr>
          <w:divsChild>
            <w:div w:id="17623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877">
      <w:bodyDiv w:val="1"/>
      <w:marLeft w:val="0"/>
      <w:marRight w:val="0"/>
      <w:marTop w:val="0"/>
      <w:marBottom w:val="0"/>
      <w:divBdr>
        <w:top w:val="none" w:sz="0" w:space="0" w:color="auto"/>
        <w:left w:val="none" w:sz="0" w:space="0" w:color="auto"/>
        <w:bottom w:val="none" w:sz="0" w:space="0" w:color="auto"/>
        <w:right w:val="none" w:sz="0" w:space="0" w:color="auto"/>
      </w:divBdr>
      <w:divsChild>
        <w:div w:id="1657685201">
          <w:marLeft w:val="0"/>
          <w:marRight w:val="0"/>
          <w:marTop w:val="0"/>
          <w:marBottom w:val="0"/>
          <w:divBdr>
            <w:top w:val="none" w:sz="0" w:space="0" w:color="auto"/>
            <w:left w:val="none" w:sz="0" w:space="0" w:color="auto"/>
            <w:bottom w:val="none" w:sz="0" w:space="0" w:color="auto"/>
            <w:right w:val="none" w:sz="0" w:space="0" w:color="auto"/>
          </w:divBdr>
        </w:div>
      </w:divsChild>
    </w:div>
    <w:div w:id="838157429">
      <w:bodyDiv w:val="1"/>
      <w:marLeft w:val="0"/>
      <w:marRight w:val="0"/>
      <w:marTop w:val="0"/>
      <w:marBottom w:val="0"/>
      <w:divBdr>
        <w:top w:val="none" w:sz="0" w:space="0" w:color="auto"/>
        <w:left w:val="none" w:sz="0" w:space="0" w:color="auto"/>
        <w:bottom w:val="none" w:sz="0" w:space="0" w:color="auto"/>
        <w:right w:val="none" w:sz="0" w:space="0" w:color="auto"/>
      </w:divBdr>
      <w:divsChild>
        <w:div w:id="1858107752">
          <w:marLeft w:val="0"/>
          <w:marRight w:val="0"/>
          <w:marTop w:val="0"/>
          <w:marBottom w:val="0"/>
          <w:divBdr>
            <w:top w:val="none" w:sz="0" w:space="0" w:color="auto"/>
            <w:left w:val="none" w:sz="0" w:space="0" w:color="auto"/>
            <w:bottom w:val="none" w:sz="0" w:space="0" w:color="auto"/>
            <w:right w:val="none" w:sz="0" w:space="0" w:color="auto"/>
          </w:divBdr>
          <w:divsChild>
            <w:div w:id="461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866">
      <w:bodyDiv w:val="1"/>
      <w:marLeft w:val="0"/>
      <w:marRight w:val="0"/>
      <w:marTop w:val="0"/>
      <w:marBottom w:val="0"/>
      <w:divBdr>
        <w:top w:val="none" w:sz="0" w:space="0" w:color="auto"/>
        <w:left w:val="none" w:sz="0" w:space="0" w:color="auto"/>
        <w:bottom w:val="none" w:sz="0" w:space="0" w:color="auto"/>
        <w:right w:val="none" w:sz="0" w:space="0" w:color="auto"/>
      </w:divBdr>
      <w:divsChild>
        <w:div w:id="1872722080">
          <w:marLeft w:val="0"/>
          <w:marRight w:val="0"/>
          <w:marTop w:val="0"/>
          <w:marBottom w:val="0"/>
          <w:divBdr>
            <w:top w:val="none" w:sz="0" w:space="0" w:color="auto"/>
            <w:left w:val="none" w:sz="0" w:space="0" w:color="auto"/>
            <w:bottom w:val="none" w:sz="0" w:space="0" w:color="auto"/>
            <w:right w:val="none" w:sz="0" w:space="0" w:color="auto"/>
          </w:divBdr>
        </w:div>
      </w:divsChild>
    </w:div>
    <w:div w:id="1075319819">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66772804">
      <w:bodyDiv w:val="1"/>
      <w:marLeft w:val="0"/>
      <w:marRight w:val="0"/>
      <w:marTop w:val="0"/>
      <w:marBottom w:val="0"/>
      <w:divBdr>
        <w:top w:val="none" w:sz="0" w:space="0" w:color="auto"/>
        <w:left w:val="none" w:sz="0" w:space="0" w:color="auto"/>
        <w:bottom w:val="none" w:sz="0" w:space="0" w:color="auto"/>
        <w:right w:val="none" w:sz="0" w:space="0" w:color="auto"/>
      </w:divBdr>
    </w:div>
    <w:div w:id="1488398698">
      <w:bodyDiv w:val="1"/>
      <w:marLeft w:val="0"/>
      <w:marRight w:val="0"/>
      <w:marTop w:val="0"/>
      <w:marBottom w:val="0"/>
      <w:divBdr>
        <w:top w:val="none" w:sz="0" w:space="0" w:color="auto"/>
        <w:left w:val="none" w:sz="0" w:space="0" w:color="auto"/>
        <w:bottom w:val="none" w:sz="0" w:space="0" w:color="auto"/>
        <w:right w:val="none" w:sz="0" w:space="0" w:color="auto"/>
      </w:divBdr>
    </w:div>
    <w:div w:id="19266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products/databriefs/db456.ht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TotalTime>
  <Pages>6</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Sinha</dc:creator>
  <cp:keywords/>
  <dc:description/>
  <cp:lastModifiedBy>Amartya Sinha</cp:lastModifiedBy>
  <cp:revision>471</cp:revision>
  <cp:lastPrinted>2024-01-19T06:17:00Z</cp:lastPrinted>
  <dcterms:created xsi:type="dcterms:W3CDTF">2024-01-14T23:51:00Z</dcterms:created>
  <dcterms:modified xsi:type="dcterms:W3CDTF">2024-02-02T05:37:00Z</dcterms:modified>
</cp:coreProperties>
</file>