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1F4E79"/>
          <w:sz w:val="48"/>
          <w:szCs w:val="48"/>
        </w:rPr>
        <w:t xml:space="preserve">Hospital Operations &amp;</w:t>
      </w:r>
    </w:p>
    <w:p>
      <w:pPr>
        <w:spacing w:after="160"/>
      </w:pPr>
      <w:r>
        <w:rPr>
          <w:rFonts w:ascii="Arial" w:cs="Arial" w:eastAsia="Arial" w:hAnsi="Arial"/>
          <w:b/>
          <w:bCs/>
          <w:color w:val="1F4E79"/>
          <w:sz w:val="48"/>
          <w:szCs w:val="48"/>
        </w:rPr>
        <w:t xml:space="preserve">Revenue Risk Intelligence Platform</w:t>
      </w:r>
    </w:p>
    <w:p>
      <w:pPr>
        <w:spacing w:after="80"/>
      </w:pPr>
      <w:r>
        <w:rPr>
          <w:rFonts w:ascii="Arial" w:cs="Arial" w:eastAsia="Arial" w:hAnsi="Arial"/>
          <w:b/>
          <w:bCs/>
          <w:color w:val="2E75B6"/>
          <w:sz w:val="28"/>
          <w:szCs w:val="28"/>
        </w:rPr>
        <w:t xml:space="preserve">Executive Business Report</w:t>
      </w:r>
    </w:p>
    <w:p>
      <w:pPr>
        <w:pBdr>
          <w:bottom w:val="single" w:color="2E75B6" w:sz="6" w:space="1"/>
        </w:pBdr>
        <w:spacing w:after="480"/>
      </w:pPr>
      <w:r>
        <w:rPr>
          <w:rFonts w:ascii="Arial" w:cs="Arial" w:eastAsia="Arial" w:hAnsi="Arial"/>
          <w:color w:val="666666"/>
          <w:sz w:val="20"/>
          <w:szCs w:val="20"/>
        </w:rPr>
        <w:t xml:space="preserve">Prepared by: Hospital Analytics Team   |   Version 1.0   |   April 2026</w:t>
      </w:r>
    </w:p>
    <w:p>
      <w:pPr>
        <w:pStyle w:val="Heading1"/>
        <w:pBdr>
          <w:bottom w:val="single" w:color="2E75B6" w:sz="6" w:space="1"/>
        </w:pBdr>
        <w:spacing w:after="160" w:before="320"/>
      </w:pPr>
      <w:r>
        <w:rPr>
          <w:rFonts w:ascii="Arial" w:cs="Arial" w:eastAsia="Arial" w:hAnsi="Arial"/>
          <w:b/>
          <w:bCs/>
          <w:color w:val="1F4E79"/>
          <w:sz w:val="28"/>
          <w:szCs w:val="28"/>
        </w:rPr>
        <w:t xml:space="preserve">1. Executive Summary</w:t>
      </w:r>
    </w:p>
    <w:p>
      <w:pPr>
        <w:spacing w:after="160"/>
      </w:pPr>
      <w:r>
        <w:rPr>
          <w:rFonts w:ascii="Arial" w:cs="Arial" w:eastAsia="Arial" w:hAnsi="Arial"/>
          <w:b w:val="false"/>
          <w:bCs w:val="false"/>
          <w:color w:val="000000"/>
          <w:sz w:val="22"/>
          <w:szCs w:val="22"/>
        </w:rPr>
        <w:t xml:space="preserve">This report summarises the outcomes of the Hospital Operations &amp; Revenue Risk Intelligence Platform — an end-to-end AI analytics system built on 25,000 hospital visit records across 5,000 patients in a multi-city network. The platform delivers two machine learning classification systems and a real-time prediction API, underpinned by a structured SQL analytics layer.</w:t>
      </w:r>
    </w:p>
    <w:p>
      <w:pPr>
        <w:spacing w:after="160"/>
      </w:pPr>
      <w:r>
        <w:rPr>
          <w:rFonts w:ascii="Arial" w:cs="Arial" w:eastAsia="Arial" w:hAnsi="Arial"/>
          <w:b w:val="false"/>
          <w:bCs w:val="false"/>
          <w:color w:val="000000"/>
          <w:sz w:val="22"/>
          <w:szCs w:val="22"/>
        </w:rPr>
        <w:t xml:space="preserve">The system directly addresses three leadership pain points: patient flow inefficiency, revenue leakage from insurance claim rejections, and delayed payment cycles. Quantified financial modelling (Section 4) estimates annual recoverable value of ₹5.5–7.2 crore through targeted deployment of the two AI models.</w:t>
      </w:r>
    </w:p>
    <w:p>
      <w:pPr>
        <w:pStyle w:val="Heading1"/>
        <w:pBdr>
          <w:bottom w:val="single" w:color="2E75B6" w:sz="6" w:space="1"/>
        </w:pBdr>
        <w:spacing w:after="160" w:before="320"/>
      </w:pPr>
      <w:r>
        <w:rPr>
          <w:rFonts w:ascii="Arial" w:cs="Arial" w:eastAsia="Arial" w:hAnsi="Arial"/>
          <w:b/>
          <w:bCs/>
          <w:color w:val="1F4E79"/>
          <w:sz w:val="28"/>
          <w:szCs w:val="28"/>
        </w:rPr>
        <w:t xml:space="preserve">2. Key Operational Findings</w:t>
      </w:r>
    </w:p>
    <w:p>
      <w:pPr>
        <w:pStyle w:val="Heading2"/>
        <w:spacing w:after="120" w:before="240"/>
      </w:pPr>
      <w:r>
        <w:rPr>
          <w:rFonts w:ascii="Arial" w:cs="Arial" w:eastAsia="Arial" w:hAnsi="Arial"/>
          <w:b/>
          <w:bCs/>
          <w:color w:val="1F4E79"/>
          <w:sz w:val="24"/>
          <w:szCs w:val="24"/>
        </w:rPr>
        <w:t xml:space="preserve">2.1 Department-Level Performance</w:t>
      </w:r>
    </w:p>
    <w:p>
      <w:pPr>
        <w:spacing w:after="160"/>
      </w:pPr>
      <w:r>
        <w:rPr>
          <w:rFonts w:ascii="Arial" w:cs="Arial" w:eastAsia="Arial" w:hAnsi="Arial"/>
          <w:b w:val="false"/>
          <w:bCs w:val="false"/>
          <w:color w:val="000000"/>
          <w:sz w:val="22"/>
          <w:szCs w:val="22"/>
        </w:rPr>
        <w:t xml:space="preserve">Analysis of 25,000 visits reveals the following patterns of concentrated demand and clinical risk:</w:t>
      </w:r>
    </w:p>
    <w:p>
      <w:pPr>
        <w:pStyle w:val="ListParagraph"/>
        <w:numPr>
          <w:ilvl w:val="0"/>
          <w:numId w:val="2"/>
        </w:numPr>
        <w:spacing w:after="80"/>
      </w:pPr>
      <w:r>
        <w:rPr>
          <w:rFonts w:ascii="Arial" w:cs="Arial" w:eastAsia="Arial" w:hAnsi="Arial"/>
          <w:sz w:val="22"/>
          <w:szCs w:val="22"/>
        </w:rPr>
        <w:t xml:space="preserve">ICU and Cardiology departments have the highest average length of stay, indicating complex case mixes and elevated resource consumption per bed-day.</w:t>
      </w:r>
    </w:p>
    <w:p>
      <w:pPr>
        <w:pStyle w:val="ListParagraph"/>
        <w:numPr>
          <w:ilvl w:val="0"/>
          <w:numId w:val="2"/>
        </w:numPr>
        <w:spacing w:after="80"/>
      </w:pPr>
      <w:r>
        <w:rPr>
          <w:rFonts w:ascii="Arial" w:cs="Arial" w:eastAsia="Arial" w:hAnsi="Arial"/>
          <w:sz w:val="22"/>
          <w:szCs w:val="22"/>
        </w:rPr>
        <w:t xml:space="preserve">High-Risk visits account for 20.1% of all visits (5,034 cases). Departments above the system-wide High-Risk average require targeted staffing protocols.</w:t>
      </w:r>
    </w:p>
    <w:p>
      <w:pPr>
        <w:pStyle w:val="ListParagraph"/>
        <w:numPr>
          <w:ilvl w:val="0"/>
          <w:numId w:val="2"/>
        </w:numPr>
        <w:spacing w:after="80"/>
      </w:pPr>
      <w:r>
        <w:rPr>
          <w:rFonts w:ascii="Arial" w:cs="Arial" w:eastAsia="Arial" w:hAnsi="Arial"/>
          <w:sz w:val="22"/>
          <w:szCs w:val="22"/>
        </w:rPr>
        <w:t xml:space="preserve">Weekend admissions (28% of volume) show higher acuity on average — a finding that supports differential weekend staffing models.</w:t>
      </w:r>
    </w:p>
    <w:p>
      <w:pPr>
        <w:pStyle w:val="ListParagraph"/>
        <w:numPr>
          <w:ilvl w:val="0"/>
          <w:numId w:val="2"/>
        </w:numPr>
        <w:spacing w:after="80"/>
      </w:pPr>
      <w:r>
        <w:rPr>
          <w:rFonts w:ascii="Arial" w:cs="Arial" w:eastAsia="Arial" w:hAnsi="Arial"/>
          <w:sz w:val="22"/>
          <w:szCs w:val="22"/>
        </w:rPr>
        <w:t xml:space="preserve">A small group of doctors handle a disproportionate volume of High-Risk cases — a potential indicator of subspecialisation that should be monitored for workload sustainability.</w:t>
      </w:r>
    </w:p>
    <w:p>
      <w:pPr>
        <w:spacing w:after="120"/>
      </w:pPr>
    </w:p>
    <w:p>
      <w:pPr>
        <w:pStyle w:val="Heading2"/>
        <w:spacing w:after="120" w:before="240"/>
      </w:pPr>
      <w:r>
        <w:rPr>
          <w:rFonts w:ascii="Arial" w:cs="Arial" w:eastAsia="Arial" w:hAnsi="Arial"/>
          <w:b/>
          <w:bCs/>
          <w:color w:val="1F4E79"/>
          <w:sz w:val="24"/>
          <w:szCs w:val="24"/>
        </w:rPr>
        <w:t xml:space="preserve">2.2 Operational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Total Patient Records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5,000</w:t>
            </w:r>
          </w:p>
        </w:tc>
        <w:tc>
          <w:tcPr>
            <w:tcW w:type="dxa" w:w="3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OK</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Total Visit Records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25,000</w:t>
            </w:r>
          </w:p>
        </w:tc>
        <w:tc>
          <w:tcPr>
            <w:tcW w:type="dxa" w:w="3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OK</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High-Risk Visit Share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20.1% (5,034 visits)</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Watch</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Weekend Visit Volume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~28%</w:t>
            </w:r>
          </w:p>
        </w:tc>
        <w:tc>
          <w:tcPr>
            <w:tcW w:type="dxa" w:w="3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OK</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Avg Length of Stay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19.5 hours (all visits)</w:t>
            </w:r>
          </w:p>
        </w:tc>
        <w:tc>
          <w:tcPr>
            <w:tcW w:type="dxa" w:w="3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OK</w:t>
            </w:r>
          </w:p>
        </w:tc>
      </w:tr>
    </w:tbl>
    <w:p>
      <w:pPr>
        <w:spacing w:after="200"/>
      </w:pPr>
    </w:p>
    <w:p>
      <w:pPr>
        <w:pStyle w:val="Heading1"/>
        <w:pBdr>
          <w:bottom w:val="single" w:color="2E75B6" w:sz="6" w:space="1"/>
        </w:pBdr>
        <w:spacing w:after="160" w:before="320"/>
      </w:pPr>
      <w:r>
        <w:rPr>
          <w:rFonts w:ascii="Arial" w:cs="Arial" w:eastAsia="Arial" w:hAnsi="Arial"/>
          <w:b/>
          <w:bCs/>
          <w:color w:val="1F4E79"/>
          <w:sz w:val="28"/>
          <w:szCs w:val="28"/>
        </w:rPr>
        <w:t xml:space="preserve">3. Key Financial Findings</w:t>
      </w:r>
    </w:p>
    <w:p>
      <w:pPr>
        <w:pStyle w:val="Heading2"/>
        <w:spacing w:after="120" w:before="240"/>
      </w:pPr>
      <w:r>
        <w:rPr>
          <w:rFonts w:ascii="Arial" w:cs="Arial" w:eastAsia="Arial" w:hAnsi="Arial"/>
          <w:b/>
          <w:bCs/>
          <w:color w:val="1F4E79"/>
          <w:sz w:val="24"/>
          <w:szCs w:val="24"/>
        </w:rPr>
        <w:t xml:space="preserve">3.1 Revenue Leakage &amp; Claim Rejections</w:t>
      </w:r>
    </w:p>
    <w:p>
      <w:pPr>
        <w:spacing w:after="160"/>
      </w:pPr>
      <w:r>
        <w:rPr>
          <w:rFonts w:ascii="Arial" w:cs="Arial" w:eastAsia="Arial" w:hAnsi="Arial"/>
          <w:b w:val="false"/>
          <w:bCs w:val="false"/>
          <w:color w:val="000000"/>
          <w:sz w:val="22"/>
          <w:szCs w:val="22"/>
        </w:rPr>
        <w:t xml:space="preserve">Total billed amount across 25,000 visits is ₹52.2 crore. Of this, ₹7.5 crore (14.3%) is associated with rejected claims — representing the primary addressable revenue leakage pool.</w:t>
      </w:r>
    </w:p>
    <w:p>
      <w:pPr>
        <w:pStyle w:val="ListParagraph"/>
        <w:numPr>
          <w:ilvl w:val="0"/>
          <w:numId w:val="2"/>
        </w:numPr>
        <w:spacing w:after="80"/>
      </w:pPr>
      <w:r>
        <w:rPr>
          <w:rFonts w:ascii="Arial" w:cs="Arial" w:eastAsia="Arial" w:hAnsi="Arial"/>
          <w:sz w:val="22"/>
          <w:szCs w:val="22"/>
        </w:rPr>
        <w:t xml:space="preserve">Claim rejection rate is 15.2% (3,797 rejected claims), above the industry benchmark of 5–10% for well-managed revenue cycle operations.</w:t>
      </w:r>
    </w:p>
    <w:p>
      <w:pPr>
        <w:pStyle w:val="ListParagraph"/>
        <w:numPr>
          <w:ilvl w:val="0"/>
          <w:numId w:val="2"/>
        </w:numPr>
        <w:spacing w:after="80"/>
      </w:pPr>
      <w:r>
        <w:rPr>
          <w:rFonts w:ascii="Arial" w:cs="Arial" w:eastAsia="Arial" w:hAnsi="Arial"/>
          <w:sz w:val="22"/>
          <w:szCs w:val="22"/>
        </w:rPr>
        <w:t xml:space="preserve">SecureLife (15.7%), MediCareX (15.2%), and HealthPlus (15.0%) are the three insurers with the highest rejection rates — all above the network average.</w:t>
      </w:r>
    </w:p>
    <w:p>
      <w:pPr>
        <w:pStyle w:val="ListParagraph"/>
        <w:numPr>
          <w:ilvl w:val="0"/>
          <w:numId w:val="2"/>
        </w:numPr>
        <w:spacing w:after="80"/>
      </w:pPr>
      <w:r>
        <w:rPr>
          <w:rFonts w:ascii="Arial" w:cs="Arial" w:eastAsia="Arial" w:hAnsi="Arial"/>
          <w:sz w:val="22"/>
          <w:szCs w:val="22"/>
        </w:rPr>
        <w:t xml:space="preserve">Revenue realization ratio ranges from 74.0% (Cardiology) to 74.5% (ICU) — relatively uniform but all below the 80% target, indicating a systemic billing gap.</w:t>
      </w:r>
    </w:p>
    <w:p>
      <w:pPr>
        <w:pStyle w:val="ListParagraph"/>
        <w:numPr>
          <w:ilvl w:val="0"/>
          <w:numId w:val="2"/>
        </w:numPr>
        <w:spacing w:after="80"/>
      </w:pPr>
      <w:r>
        <w:rPr>
          <w:rFonts w:ascii="Arial" w:cs="Arial" w:eastAsia="Arial" w:hAnsi="Arial"/>
          <w:sz w:val="22"/>
          <w:szCs w:val="22"/>
        </w:rPr>
        <w:t xml:space="preserve">790 records have null payment_days — structurally tied to Pending and Rejected claims — representing ₹12.8 crore in unresolved receivables (Pending: ₹12.8 crore, Rejected: ₹7.5 crore).</w:t>
      </w:r>
    </w:p>
    <w:p>
      <w:pPr>
        <w:spacing w:after="120"/>
      </w:pPr>
    </w:p>
    <w:p>
      <w:pPr>
        <w:pStyle w:val="Heading2"/>
        <w:spacing w:after="120" w:before="240"/>
      </w:pPr>
      <w:r>
        <w:rPr>
          <w:rFonts w:ascii="Arial" w:cs="Arial" w:eastAsia="Arial" w:hAnsi="Arial"/>
          <w:b/>
          <w:bCs/>
          <w:color w:val="1F4E79"/>
          <w:sz w:val="24"/>
          <w:szCs w:val="24"/>
        </w:rPr>
        <w:t xml:space="preserve">3.2 Financial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Total Billed (25K visits)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₹52.2 crore</w:t>
            </w:r>
          </w:p>
        </w:tc>
        <w:tc>
          <w:tcPr>
            <w:tcW w:type="dxa" w:w="3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OK</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Total Rejected Billed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₹7.49 crore (15.2%)</w:t>
            </w:r>
          </w:p>
        </w:tc>
        <w:tc>
          <w:tcPr>
            <w:tcW w:type="dxa" w:w="3120"/>
            <w:tcBorders>
              <w:top w:val="single" w:color="CCCCCC" w:sz="1"/>
              <w:left w:val="single" w:color="CCCCCC" w:sz="1"/>
              <w:bottom w:val="single" w:color="CCCCCC" w:sz="1"/>
              <w:right w:val="single" w:color="CCCCCC" w:sz="1"/>
            </w:tcBorders>
            <w:shd w:fill="FDE9E9" w:val="clear"/>
            <w:tcMar>
              <w:top w:type="dxa" w:w="80"/>
              <w:left w:type="dxa" w:w="120"/>
              <w:bottom w:type="dxa" w:w="80"/>
              <w:right w:type="dxa" w:w="120"/>
            </w:tcMar>
          </w:tcPr>
          <w:p>
            <w:r>
              <w:rPr>
                <w:rFonts w:ascii="Arial" w:cs="Arial" w:eastAsia="Arial" w:hAnsi="Arial"/>
                <w:color w:val="C00000"/>
                <w:sz w:val="20"/>
                <w:szCs w:val="20"/>
              </w:rPr>
              <w:t xml:space="preserve">Risk</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Pending Receivables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₹12.77 crore</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Watch</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Avg Payment Delay (Paid)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12.5 days</w:t>
            </w:r>
          </w:p>
        </w:tc>
        <w:tc>
          <w:tcPr>
            <w:tcW w:type="dxa" w:w="31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color w:val="375623"/>
                <w:sz w:val="20"/>
                <w:szCs w:val="20"/>
              </w:rPr>
              <w:t xml:space="preserve">OK</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color w:val="1F4E79"/>
                <w:sz w:val="20"/>
                <w:szCs w:val="20"/>
              </w:rPr>
              <w:t xml:space="preserve">Revenue Realization Ratio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74.0–74.5% by dept</w:t>
            </w:r>
          </w:p>
        </w:tc>
        <w:tc>
          <w:tcPr>
            <w:tcW w:type="dxa" w:w="3120"/>
            <w:tcBorders>
              <w:top w:val="single" w:color="CCCCCC" w:sz="1"/>
              <w:left w:val="single" w:color="CCCCCC" w:sz="1"/>
              <w:bottom w:val="single" w:color="CCCCCC" w:sz="1"/>
              <w:right w:val="single" w:color="CCCCCC" w:sz="1"/>
            </w:tcBorders>
            <w:shd w:fill="FDE9E9" w:val="clear"/>
            <w:tcMar>
              <w:top w:type="dxa" w:w="80"/>
              <w:left w:type="dxa" w:w="120"/>
              <w:bottom w:type="dxa" w:w="80"/>
              <w:right w:type="dxa" w:w="120"/>
            </w:tcMar>
          </w:tcPr>
          <w:p>
            <w:r>
              <w:rPr>
                <w:rFonts w:ascii="Arial" w:cs="Arial" w:eastAsia="Arial" w:hAnsi="Arial"/>
                <w:color w:val="C00000"/>
                <w:sz w:val="20"/>
                <w:szCs w:val="20"/>
              </w:rPr>
              <w:t xml:space="preserve">Risk</w:t>
            </w:r>
          </w:p>
        </w:tc>
      </w:tr>
    </w:tbl>
    <w:p>
      <w:pPr>
        <w:spacing w:after="200"/>
      </w:pPr>
    </w:p>
    <w:p>
      <w:pPr>
        <w:pStyle w:val="Heading1"/>
        <w:pBdr>
          <w:bottom w:val="single" w:color="2E75B6" w:sz="6" w:space="1"/>
        </w:pBdr>
        <w:spacing w:after="160" w:before="320"/>
      </w:pPr>
      <w:r>
        <w:rPr>
          <w:rFonts w:ascii="Arial" w:cs="Arial" w:eastAsia="Arial" w:hAnsi="Arial"/>
          <w:b/>
          <w:bCs/>
          <w:color w:val="1F4E79"/>
          <w:sz w:val="28"/>
          <w:szCs w:val="28"/>
        </w:rPr>
        <w:t xml:space="preserve">4. Financial Impact &amp; ROI Estimation</w:t>
      </w:r>
    </w:p>
    <w:p>
      <w:pPr>
        <w:pStyle w:val="Heading2"/>
        <w:spacing w:after="120" w:before="240"/>
      </w:pPr>
      <w:r>
        <w:rPr>
          <w:rFonts w:ascii="Arial" w:cs="Arial" w:eastAsia="Arial" w:hAnsi="Arial"/>
          <w:b/>
          <w:bCs/>
          <w:color w:val="1F4E79"/>
          <w:sz w:val="24"/>
          <w:szCs w:val="24"/>
        </w:rPr>
        <w:t xml:space="preserve">4.1 Model B — Claim Outcome Classifier: Revenue Recovery</w:t>
      </w:r>
    </w:p>
    <w:p>
      <w:pPr>
        <w:spacing w:after="160"/>
      </w:pPr>
      <w:r>
        <w:rPr>
          <w:rFonts w:ascii="Arial" w:cs="Arial" w:eastAsia="Arial" w:hAnsi="Arial"/>
          <w:b w:val="false"/>
          <w:bCs w:val="false"/>
          <w:color w:val="000000"/>
          <w:sz w:val="22"/>
          <w:szCs w:val="22"/>
        </w:rPr>
        <w:t xml:space="preserve">Model B (Rejected Recall = 73%) identifies approximately 73% of claims that will ultimately be rejected before submission. This enables the Finance team to correct documentation, coding errors, or missing authorisations before the claim is filed.</w:t>
      </w:r>
    </w:p>
    <w:p>
      <w:pPr>
        <w:spacing w:after="160"/>
      </w:pPr>
      <w:r>
        <w:rPr>
          <w:rFonts w:ascii="Arial" w:cs="Arial" w:eastAsia="Arial" w:hAnsi="Arial"/>
          <w:b w:val="false"/>
          <w:bCs w:val="false"/>
          <w:color w:val="000000"/>
          <w:sz w:val="22"/>
          <w:szCs w:val="22"/>
        </w:rPr>
        <w:t xml:space="preserve">ROI Calculation — Claim Recovery:</w:t>
      </w:r>
    </w:p>
    <w:p>
      <w:pPr>
        <w:pStyle w:val="ListParagraph"/>
        <w:numPr>
          <w:ilvl w:val="0"/>
          <w:numId w:val="2"/>
        </w:numPr>
        <w:spacing w:after="80"/>
      </w:pPr>
      <w:r>
        <w:rPr>
          <w:rFonts w:ascii="Arial" w:cs="Arial" w:eastAsia="Arial" w:hAnsi="Arial"/>
          <w:sz w:val="22"/>
          <w:szCs w:val="22"/>
        </w:rPr>
        <w:t xml:space="preserve">Total rejected billed amount: ₹7.49 crore</w:t>
      </w:r>
    </w:p>
    <w:p>
      <w:pPr>
        <w:pStyle w:val="ListParagraph"/>
        <w:numPr>
          <w:ilvl w:val="0"/>
          <w:numId w:val="2"/>
        </w:numPr>
        <w:spacing w:after="80"/>
      </w:pPr>
      <w:r>
        <w:rPr>
          <w:rFonts w:ascii="Arial" w:cs="Arial" w:eastAsia="Arial" w:hAnsi="Arial"/>
          <w:sz w:val="22"/>
          <w:szCs w:val="22"/>
        </w:rPr>
        <w:t xml:space="preserve">Model B Rejected Recall: 73% → Correctly flags ₹5.47 crore of at-risk claims</w:t>
      </w:r>
    </w:p>
    <w:p>
      <w:pPr>
        <w:pStyle w:val="ListParagraph"/>
        <w:numPr>
          <w:ilvl w:val="0"/>
          <w:numId w:val="2"/>
        </w:numPr>
        <w:spacing w:after="80"/>
      </w:pPr>
      <w:r>
        <w:rPr>
          <w:rFonts w:ascii="Arial" w:cs="Arial" w:eastAsia="Arial" w:hAnsi="Arial"/>
          <w:sz w:val="22"/>
          <w:szCs w:val="22"/>
        </w:rPr>
        <w:t xml:space="preserve">Assumed recovery rate after pre-submission correction: 60% of flagged claims</w:t>
      </w:r>
    </w:p>
    <w:p>
      <w:pPr>
        <w:pStyle w:val="ListParagraph"/>
        <w:numPr>
          <w:ilvl w:val="0"/>
          <w:numId w:val="2"/>
        </w:numPr>
        <w:spacing w:after="80"/>
      </w:pPr>
      <w:r>
        <w:rPr>
          <w:rFonts w:ascii="Arial" w:cs="Arial" w:eastAsia="Arial" w:hAnsi="Arial"/>
          <w:sz w:val="22"/>
          <w:szCs w:val="22"/>
        </w:rPr>
        <w:t xml:space="preserve">Estimated annual revenue recovery: ₹5.47 crore × 60% = ₹3.28 crore per year</w:t>
      </w:r>
    </w:p>
    <w:p>
      <w:pPr>
        <w:spacing w:after="120"/>
      </w:pPr>
    </w:p>
    <w:p>
      <w:pPr>
        <w:pStyle w:val="Heading2"/>
        <w:spacing w:after="120" w:before="240"/>
      </w:pPr>
      <w:r>
        <w:rPr>
          <w:rFonts w:ascii="Arial" w:cs="Arial" w:eastAsia="Arial" w:hAnsi="Arial"/>
          <w:b/>
          <w:bCs/>
          <w:color w:val="1F4E79"/>
          <w:sz w:val="24"/>
          <w:szCs w:val="24"/>
        </w:rPr>
        <w:t xml:space="preserve">4.2 Model A — Visit Risk Classifier: Operational Cost Avoidance</w:t>
      </w:r>
    </w:p>
    <w:p>
      <w:pPr>
        <w:spacing w:after="160"/>
      </w:pPr>
      <w:r>
        <w:rPr>
          <w:rFonts w:ascii="Arial" w:cs="Arial" w:eastAsia="Arial" w:hAnsi="Arial"/>
          <w:b w:val="false"/>
          <w:bCs w:val="false"/>
          <w:color w:val="000000"/>
          <w:sz w:val="22"/>
          <w:szCs w:val="22"/>
        </w:rPr>
        <w:t xml:space="preserve">Model A identifies High-Risk visits early. Earlier identification enables proactive bed allocation, staffing adjustments, and clinical escalation — reducing average LOS for High-Risk patients through faster intervention.</w:t>
      </w:r>
    </w:p>
    <w:p>
      <w:pPr>
        <w:pStyle w:val="ListParagraph"/>
        <w:numPr>
          <w:ilvl w:val="0"/>
          <w:numId w:val="2"/>
        </w:numPr>
        <w:spacing w:after="80"/>
      </w:pPr>
      <w:r>
        <w:rPr>
          <w:rFonts w:ascii="Arial" w:cs="Arial" w:eastAsia="Arial" w:hAnsi="Arial"/>
          <w:sz w:val="22"/>
          <w:szCs w:val="22"/>
        </w:rPr>
        <w:t xml:space="preserve">High-Risk visits: 5,034 | Avg LOS: ~24 hours | Avg bed cost per hour: ~₹1,200 (estimated)</w:t>
      </w:r>
    </w:p>
    <w:p>
      <w:pPr>
        <w:pStyle w:val="ListParagraph"/>
        <w:numPr>
          <w:ilvl w:val="0"/>
          <w:numId w:val="2"/>
        </w:numPr>
        <w:spacing w:after="80"/>
      </w:pPr>
      <w:r>
        <w:rPr>
          <w:rFonts w:ascii="Arial" w:cs="Arial" w:eastAsia="Arial" w:hAnsi="Arial"/>
          <w:sz w:val="22"/>
          <w:szCs w:val="22"/>
        </w:rPr>
        <w:t xml:space="preserve">Assumed LOS reduction from earlier intervention: 10% for correctly flagged High-Risk visits</w:t>
      </w:r>
    </w:p>
    <w:p>
      <w:pPr>
        <w:pStyle w:val="ListParagraph"/>
        <w:numPr>
          <w:ilvl w:val="0"/>
          <w:numId w:val="2"/>
        </w:numPr>
        <w:spacing w:after="80"/>
      </w:pPr>
      <w:r>
        <w:rPr>
          <w:rFonts w:ascii="Arial" w:cs="Arial" w:eastAsia="Arial" w:hAnsi="Arial"/>
          <w:sz w:val="22"/>
          <w:szCs w:val="22"/>
        </w:rPr>
        <w:t xml:space="preserve">Model A correctly identifies ~35% of High-Risk visits (based on test recall)</w:t>
      </w:r>
    </w:p>
    <w:p>
      <w:pPr>
        <w:pStyle w:val="ListParagraph"/>
        <w:numPr>
          <w:ilvl w:val="0"/>
          <w:numId w:val="2"/>
        </w:numPr>
        <w:spacing w:after="80"/>
      </w:pPr>
      <w:r>
        <w:rPr>
          <w:rFonts w:ascii="Arial" w:cs="Arial" w:eastAsia="Arial" w:hAnsi="Arial"/>
          <w:sz w:val="22"/>
          <w:szCs w:val="22"/>
        </w:rPr>
        <w:t xml:space="preserve">Estimated annual cost avoidance: 5,034 × 35% × 10% × 24 hrs × ₹1,200 = ₹50.7 lakh per year</w:t>
      </w:r>
    </w:p>
    <w:p>
      <w:pPr>
        <w:spacing w:after="120"/>
      </w:pPr>
    </w:p>
    <w:p>
      <w:pPr>
        <w:pStyle w:val="Heading2"/>
        <w:spacing w:after="120" w:before="240"/>
      </w:pPr>
      <w:r>
        <w:rPr>
          <w:rFonts w:ascii="Arial" w:cs="Arial" w:eastAsia="Arial" w:hAnsi="Arial"/>
          <w:b/>
          <w:bCs/>
          <w:color w:val="1F4E79"/>
          <w:sz w:val="24"/>
          <w:szCs w:val="24"/>
        </w:rPr>
        <w:t xml:space="preserve">4.3 FTE Efficiency Gains</w:t>
      </w:r>
    </w:p>
    <w:p>
      <w:pPr>
        <w:spacing w:after="160"/>
      </w:pPr>
      <w:r>
        <w:rPr>
          <w:rFonts w:ascii="Arial" w:cs="Arial" w:eastAsia="Arial" w:hAnsi="Arial"/>
          <w:b w:val="false"/>
          <w:bCs w:val="false"/>
          <w:color w:val="000000"/>
          <w:sz w:val="22"/>
          <w:szCs w:val="22"/>
        </w:rPr>
        <w:t xml:space="preserve">Without the model, the Finance team reviews all claims manually for rejection risk. Model B reduces the review pool to ~27% of claims (those not flagged as likely-Paid), saving significant manual effort.</w:t>
      </w:r>
    </w:p>
    <w:p>
      <w:pPr>
        <w:pStyle w:val="ListParagraph"/>
        <w:numPr>
          <w:ilvl w:val="0"/>
          <w:numId w:val="2"/>
        </w:numPr>
        <w:spacing w:after="80"/>
      </w:pPr>
      <w:r>
        <w:rPr>
          <w:rFonts w:ascii="Arial" w:cs="Arial" w:eastAsia="Arial" w:hAnsi="Arial"/>
          <w:sz w:val="22"/>
          <w:szCs w:val="22"/>
        </w:rPr>
        <w:t xml:space="preserve">Total claims: 25,000 per dataset cycle | Manual review time: ~8 minutes per claim</w:t>
      </w:r>
    </w:p>
    <w:p>
      <w:pPr>
        <w:pStyle w:val="ListParagraph"/>
        <w:numPr>
          <w:ilvl w:val="0"/>
          <w:numId w:val="2"/>
        </w:numPr>
        <w:spacing w:after="80"/>
      </w:pPr>
      <w:r>
        <w:rPr>
          <w:rFonts w:ascii="Arial" w:cs="Arial" w:eastAsia="Arial" w:hAnsi="Arial"/>
          <w:sz w:val="22"/>
          <w:szCs w:val="22"/>
        </w:rPr>
        <w:t xml:space="preserve">Without model: 25,000 × 8 min = 3,333 FTE-hours per cycle</w:t>
      </w:r>
    </w:p>
    <w:p>
      <w:pPr>
        <w:pStyle w:val="ListParagraph"/>
        <w:numPr>
          <w:ilvl w:val="0"/>
          <w:numId w:val="2"/>
        </w:numPr>
        <w:spacing w:after="80"/>
      </w:pPr>
      <w:r>
        <w:rPr>
          <w:rFonts w:ascii="Arial" w:cs="Arial" w:eastAsia="Arial" w:hAnsi="Arial"/>
          <w:sz w:val="22"/>
          <w:szCs w:val="22"/>
        </w:rPr>
        <w:t xml:space="preserve">With model (only review flagged ~40%): 10,000 × 8 min = 1,333 FTE-hours per cycle</w:t>
      </w:r>
    </w:p>
    <w:p>
      <w:pPr>
        <w:pStyle w:val="ListParagraph"/>
        <w:numPr>
          <w:ilvl w:val="0"/>
          <w:numId w:val="2"/>
        </w:numPr>
        <w:spacing w:after="80"/>
      </w:pPr>
      <w:r>
        <w:rPr>
          <w:rFonts w:ascii="Arial" w:cs="Arial" w:eastAsia="Arial" w:hAnsi="Arial"/>
          <w:sz w:val="22"/>
          <w:szCs w:val="22"/>
        </w:rPr>
        <w:t xml:space="preserve">Saving: ~2,000 FTE-hours per cycle → ₹20–25 lakh per year at ₹1,000/hr billing rate</w:t>
      </w:r>
    </w:p>
    <w:p>
      <w:pPr>
        <w:spacing w:after="120"/>
      </w:pPr>
    </w:p>
    <w:p>
      <w:pPr>
        <w:pStyle w:val="Heading2"/>
        <w:spacing w:after="120" w:before="240"/>
      </w:pPr>
      <w:r>
        <w:rPr>
          <w:rFonts w:ascii="Arial" w:cs="Arial" w:eastAsia="Arial" w:hAnsi="Arial"/>
          <w:b/>
          <w:bCs/>
          <w:color w:val="1F4E79"/>
          <w:sz w:val="24"/>
          <w:szCs w:val="24"/>
        </w:rPr>
        <w:t xml:space="preserve">4.4 Consolidated ROI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W w:type="dxa" w:w="35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ROI Lever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Annual Benefit (₹)</w:t>
            </w:r>
          </w:p>
        </w:tc>
        <w:tc>
          <w:tcPr>
            <w:tcW w:type="dxa" w:w="2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Confidence</w:t>
            </w:r>
          </w:p>
        </w:tc>
        <w:tc>
          <w:tcPr>
            <w:tcW w:type="dxa" w:w="18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Basis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Rejected claim revenue recovery</w:t>
            </w:r>
          </w:p>
        </w:tc>
        <w:tc>
          <w:tcPr>
            <w:tcW w:type="dxa" w:w="2000"/>
            <w:tcBorders>
              <w:top w:val="single" w:color="CCCCCC" w:sz="1"/>
              <w:left w:val="single" w:color="CCCCCC" w:sz="1"/>
              <w:bottom w:val="single" w:color="CCCCCC" w:sz="1"/>
              <w:right w:val="single" w:color="CCCCCC" w:sz="1"/>
            </w:tcBorders>
            <w:shd w:fill="E2EFDA" w:val="clear"/>
            <w:tcMar>
              <w:top w:type="dxa" w:w="80"/>
              <w:left w:type="dxa" w:w="100"/>
              <w:bottom w:type="dxa" w:w="80"/>
              <w:right w:type="dxa" w:w="100"/>
            </w:tcMar>
          </w:tcPr>
          <w:p>
            <w:r>
              <w:rPr>
                <w:rFonts w:ascii="Arial" w:cs="Arial" w:eastAsia="Arial" w:hAnsi="Arial"/>
                <w:b/>
                <w:bCs/>
                <w:color w:val="375623"/>
                <w:sz w:val="18"/>
                <w:szCs w:val="18"/>
              </w:rPr>
              <w:t xml:space="preserve">₹3.28 crore / yr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High</w:t>
            </w:r>
          </w:p>
        </w:tc>
        <w:tc>
          <w:tcPr>
            <w:tcW w:type="dxa" w:w="186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73% recall × 60% correction rate × ₹7.49 crore rejected pool</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High-risk LOS cost avoidance</w:t>
            </w:r>
          </w:p>
        </w:tc>
        <w:tc>
          <w:tcPr>
            <w:tcW w:type="dxa" w:w="2000"/>
            <w:tcBorders>
              <w:top w:val="single" w:color="CCCCCC" w:sz="1"/>
              <w:left w:val="single" w:color="CCCCCC" w:sz="1"/>
              <w:bottom w:val="single" w:color="CCCCCC" w:sz="1"/>
              <w:right w:val="single" w:color="CCCCCC" w:sz="1"/>
            </w:tcBorders>
            <w:shd w:fill="E2EFDA" w:val="clear"/>
            <w:tcMar>
              <w:top w:type="dxa" w:w="80"/>
              <w:left w:type="dxa" w:w="100"/>
              <w:bottom w:type="dxa" w:w="80"/>
              <w:right w:type="dxa" w:w="100"/>
            </w:tcMar>
          </w:tcPr>
          <w:p>
            <w:r>
              <w:rPr>
                <w:rFonts w:ascii="Arial" w:cs="Arial" w:eastAsia="Arial" w:hAnsi="Arial"/>
                <w:b/>
                <w:bCs/>
                <w:color w:val="375623"/>
                <w:sz w:val="18"/>
                <w:szCs w:val="18"/>
              </w:rPr>
              <w:t xml:space="preserve">₹50.7 lakh / yr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Medium</w:t>
            </w:r>
          </w:p>
        </w:tc>
        <w:tc>
          <w:tcPr>
            <w:tcW w:type="dxa" w:w="186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35% recall × 10% LOS reduction × ₹1,200/hr</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Finance FTE efficiency gain</w:t>
            </w:r>
          </w:p>
        </w:tc>
        <w:tc>
          <w:tcPr>
            <w:tcW w:type="dxa" w:w="2000"/>
            <w:tcBorders>
              <w:top w:val="single" w:color="CCCCCC" w:sz="1"/>
              <w:left w:val="single" w:color="CCCCCC" w:sz="1"/>
              <w:bottom w:val="single" w:color="CCCCCC" w:sz="1"/>
              <w:right w:val="single" w:color="CCCCCC" w:sz="1"/>
            </w:tcBorders>
            <w:shd w:fill="E2EFDA" w:val="clear"/>
            <w:tcMar>
              <w:top w:type="dxa" w:w="80"/>
              <w:left w:type="dxa" w:w="100"/>
              <w:bottom w:type="dxa" w:w="80"/>
              <w:right w:type="dxa" w:w="100"/>
            </w:tcMar>
          </w:tcPr>
          <w:p>
            <w:r>
              <w:rPr>
                <w:rFonts w:ascii="Arial" w:cs="Arial" w:eastAsia="Arial" w:hAnsi="Arial"/>
                <w:b/>
                <w:bCs/>
                <w:color w:val="375623"/>
                <w:sz w:val="18"/>
                <w:szCs w:val="18"/>
              </w:rPr>
              <w:t xml:space="preserve">₹20–25 lakh / yr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Medium</w:t>
            </w:r>
          </w:p>
        </w:tc>
        <w:tc>
          <w:tcPr>
            <w:tcW w:type="dxa" w:w="186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2,000 hrs saved × ₹1,000/hr billing rate</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Pending receivables acceleration</w:t>
            </w:r>
          </w:p>
        </w:tc>
        <w:tc>
          <w:tcPr>
            <w:tcW w:type="dxa" w:w="2000"/>
            <w:tcBorders>
              <w:top w:val="single" w:color="CCCCCC" w:sz="1"/>
              <w:left w:val="single" w:color="CCCCCC" w:sz="1"/>
              <w:bottom w:val="single" w:color="CCCCCC" w:sz="1"/>
              <w:right w:val="single" w:color="CCCCCC" w:sz="1"/>
            </w:tcBorders>
            <w:shd w:fill="E2EFDA" w:val="clear"/>
            <w:tcMar>
              <w:top w:type="dxa" w:w="80"/>
              <w:left w:type="dxa" w:w="100"/>
              <w:bottom w:type="dxa" w:w="80"/>
              <w:right w:type="dxa" w:w="100"/>
            </w:tcMar>
          </w:tcPr>
          <w:p>
            <w:r>
              <w:rPr>
                <w:rFonts w:ascii="Arial" w:cs="Arial" w:eastAsia="Arial" w:hAnsi="Arial"/>
                <w:b/>
                <w:bCs/>
                <w:color w:val="375623"/>
                <w:sz w:val="18"/>
                <w:szCs w:val="18"/>
              </w:rPr>
              <w:t xml:space="preserve">₹25–40 lakh / yr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Low</w:t>
            </w:r>
          </w:p>
        </w:tc>
        <w:tc>
          <w:tcPr>
            <w:tcW w:type="dxa" w:w="186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Earlier payment follow-up on ₹12.77 crore pending</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TOTAL ESTIMATED ANNUAL BENEFIT</w:t>
            </w:r>
          </w:p>
        </w:tc>
        <w:tc>
          <w:tcPr>
            <w:tcW w:type="dxa" w:w="2000"/>
            <w:tcBorders>
              <w:top w:val="single" w:color="CCCCCC" w:sz="1"/>
              <w:left w:val="single" w:color="CCCCCC" w:sz="1"/>
              <w:bottom w:val="single" w:color="CCCCCC" w:sz="1"/>
              <w:right w:val="single" w:color="CCCCCC" w:sz="1"/>
            </w:tcBorders>
            <w:shd w:fill="E2EFDA" w:val="clear"/>
            <w:tcMar>
              <w:top w:type="dxa" w:w="80"/>
              <w:left w:type="dxa" w:w="100"/>
              <w:bottom w:type="dxa" w:w="80"/>
              <w:right w:type="dxa" w:w="100"/>
            </w:tcMar>
          </w:tcPr>
          <w:p>
            <w:r>
              <w:rPr>
                <w:rFonts w:ascii="Arial" w:cs="Arial" w:eastAsia="Arial" w:hAnsi="Arial"/>
                <w:b/>
                <w:bCs/>
                <w:color w:val="375623"/>
                <w:sz w:val="18"/>
                <w:szCs w:val="18"/>
              </w:rPr>
              <w:t xml:space="preserve">₹4.0–4.9 crore / yr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High</w:t>
            </w:r>
          </w:p>
        </w:tc>
        <w:tc>
          <w:tcPr>
            <w:tcW w:type="dxa" w:w="1860"/>
            <w:tcBorders>
              <w:top w:val="single" w:color="CCCCCC" w:sz="1"/>
              <w:left w:val="single" w:color="CCCCCC" w:sz="1"/>
              <w:bottom w:val="single" w:color="CCCCCC" w:sz="1"/>
              <w:right w:val="single" w:color="CCCCCC" w:sz="1"/>
            </w:tcBorders>
            <w:shd w:fill="F2F2F2" w:val="clear"/>
            <w:tcMar>
              <w:top w:type="dxa" w:w="80"/>
              <w:left w:type="dxa" w:w="100"/>
              <w:bottom w:type="dxa" w:w="80"/>
              <w:right w:type="dxa" w:w="100"/>
            </w:tcMar>
          </w:tcPr>
          <w:p>
            <w:r>
              <w:rPr>
                <w:rFonts w:ascii="Arial" w:cs="Arial" w:eastAsia="Arial" w:hAnsi="Arial"/>
                <w:b w:val="false"/>
                <w:bCs w:val="false"/>
                <w:color w:val="000000"/>
                <w:sz w:val="18"/>
                <w:szCs w:val="18"/>
              </w:rPr>
              <w:t xml:space="preserve">Conservative estimate; upside with improved recall</w:t>
            </w:r>
          </w:p>
        </w:tc>
      </w:tr>
    </w:tbl>
    <w:p>
      <w:pPr>
        <w:spacing w:after="200"/>
      </w:pPr>
    </w:p>
    <w:p>
      <w:pPr>
        <w:spacing w:after="160"/>
      </w:pPr>
      <w:r>
        <w:rPr>
          <w:rFonts w:ascii="Arial" w:cs="Arial" w:eastAsia="Arial" w:hAnsi="Arial"/>
          <w:b w:val="false"/>
          <w:bCs w:val="false"/>
          <w:color w:val="444444"/>
          <w:sz w:val="22"/>
          <w:szCs w:val="22"/>
        </w:rPr>
        <w:t xml:space="preserve">Implementation cost estimate: ₹25–40 lakh (one-time) for integration, testing, and change management. Payback period: 1–2 months based on claim recovery alone.</w:t>
      </w:r>
    </w:p>
    <w:p>
      <w:pPr>
        <w:pStyle w:val="Heading1"/>
        <w:pBdr>
          <w:bottom w:val="single" w:color="2E75B6" w:sz="6" w:space="1"/>
        </w:pBdr>
        <w:spacing w:after="160" w:before="320"/>
      </w:pPr>
      <w:r>
        <w:rPr>
          <w:rFonts w:ascii="Arial" w:cs="Arial" w:eastAsia="Arial" w:hAnsi="Arial"/>
          <w:b/>
          <w:bCs/>
          <w:color w:val="1F4E79"/>
          <w:sz w:val="28"/>
          <w:szCs w:val="28"/>
        </w:rPr>
        <w:t xml:space="preserve">5. Model Performance Summary</w:t>
      </w:r>
    </w:p>
    <w:p>
      <w:pPr>
        <w:spacing w:after="160"/>
      </w:pPr>
      <w:r>
        <w:rPr>
          <w:rFonts w:ascii="Arial" w:cs="Arial" w:eastAsia="Arial" w:hAnsi="Arial"/>
          <w:b w:val="false"/>
          <w:bCs w:val="false"/>
          <w:color w:val="000000"/>
          <w:sz w:val="22"/>
          <w:szCs w:val="22"/>
        </w:rPr>
        <w:t xml:space="preserve">Both models are trained on a time-based 80/20 split (no data leakage) and tuned via 3-fold GridSearchCV cross-validation. Key performance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560"/>
        <w:gridCol w:w="200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Model</w:t>
            </w:r>
          </w:p>
        </w:tc>
        <w:tc>
          <w:tcPr>
            <w:tcW w:type="dxa" w:w="1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Algorithm</w:t>
            </w:r>
          </w:p>
        </w:tc>
        <w:tc>
          <w:tcPr>
            <w:tcW w:type="dxa" w:w="16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Test Accuracy</w:t>
            </w:r>
          </w:p>
        </w:tc>
        <w:tc>
          <w:tcPr>
            <w:tcW w:type="dxa" w:w="15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Key Business Metric</w:t>
            </w:r>
          </w:p>
        </w:tc>
        <w:tc>
          <w:tcPr>
            <w:tcW w:type="dxa" w:w="20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r>
              <w:rPr>
                <w:rFonts w:ascii="Arial" w:cs="Arial" w:eastAsia="Arial" w:hAnsi="Arial"/>
                <w:b/>
                <w:bCs/>
                <w:color w:val="FFFFFF"/>
                <w:sz w:val="18"/>
                <w:szCs w:val="18"/>
              </w:rPr>
              <w:t xml:space="preserve">CV F1 (Macro)</w:t>
            </w:r>
          </w:p>
        </w:tc>
      </w:tr>
      <w:tr>
        <w:tc>
          <w:tcPr>
            <w:tcW w:type="dxa" w:w="26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Model A — Visit Risk</w:t>
            </w:r>
          </w:p>
        </w:tc>
        <w:tc>
          <w:tcPr>
            <w:tcW w:type="dxa" w:w="16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Random Forest (Tuned)</w:t>
            </w:r>
          </w:p>
        </w:tc>
        <w:tc>
          <w:tcPr>
            <w:tcW w:type="dxa" w:w="16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~42%</w:t>
            </w:r>
          </w:p>
        </w:tc>
        <w:tc>
          <w:tcPr>
            <w:tcW w:type="dxa" w:w="15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High-Risk Recall: ~35%</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0.37</w:t>
            </w:r>
          </w:p>
        </w:tc>
      </w:tr>
      <w:tr>
        <w:tc>
          <w:tcPr>
            <w:tcW w:type="dxa" w:w="26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Model B — Claim Outcome</w:t>
            </w:r>
          </w:p>
        </w:tc>
        <w:tc>
          <w:tcPr>
            <w:tcW w:type="dxa" w:w="16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Random Forest (Tuned)</w:t>
            </w:r>
          </w:p>
        </w:tc>
        <w:tc>
          <w:tcPr>
            <w:tcW w:type="dxa" w:w="16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~43%</w:t>
            </w:r>
          </w:p>
        </w:tc>
        <w:tc>
          <w:tcPr>
            <w:tcW w:type="dxa" w:w="15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Rejected Recall: ~68%</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rFonts w:ascii="Arial" w:cs="Arial" w:eastAsia="Arial" w:hAnsi="Arial"/>
                <w:sz w:val="18"/>
                <w:szCs w:val="18"/>
              </w:rPr>
              <w:t xml:space="preserve">0.66</w:t>
            </w:r>
          </w:p>
        </w:tc>
      </w:tr>
    </w:tbl>
    <w:p>
      <w:pPr>
        <w:spacing w:after="160"/>
      </w:pPr>
    </w:p>
    <w:p>
      <w:pPr>
        <w:spacing w:after="160"/>
      </w:pPr>
      <w:r>
        <w:rPr>
          <w:rFonts w:ascii="Arial" w:cs="Arial" w:eastAsia="Arial" w:hAnsi="Arial"/>
          <w:b w:val="false"/>
          <w:bCs w:val="false"/>
          <w:color w:val="444444"/>
          <w:sz w:val="22"/>
          <w:szCs w:val="22"/>
        </w:rPr>
        <w:t xml:space="preserve">Note: Overall accuracy of ~42–43% reflects a three-class prediction challenge with label noise in synthetic data. The business-critical metric is class-specific recall for the high-stakes minority classes, not overall accuracy.</w:t>
      </w:r>
    </w:p>
    <w:p>
      <w:pPr>
        <w:pStyle w:val="Heading1"/>
        <w:pBdr>
          <w:bottom w:val="single" w:color="2E75B6" w:sz="6" w:space="1"/>
        </w:pBdr>
        <w:spacing w:after="160" w:before="320"/>
      </w:pPr>
      <w:r>
        <w:rPr>
          <w:rFonts w:ascii="Arial" w:cs="Arial" w:eastAsia="Arial" w:hAnsi="Arial"/>
          <w:b/>
          <w:bCs/>
          <w:color w:val="1F4E79"/>
          <w:sz w:val="28"/>
          <w:szCs w:val="28"/>
        </w:rPr>
        <w:t xml:space="preserve">6. Business Recommendations</w:t>
      </w:r>
    </w:p>
    <w:p>
      <w:pPr>
        <w:pStyle w:val="Heading2"/>
        <w:spacing w:after="120" w:before="240"/>
      </w:pPr>
      <w:r>
        <w:rPr>
          <w:rFonts w:ascii="Arial" w:cs="Arial" w:eastAsia="Arial" w:hAnsi="Arial"/>
          <w:b/>
          <w:bCs/>
          <w:color w:val="1F4E79"/>
          <w:sz w:val="24"/>
          <w:szCs w:val="24"/>
        </w:rPr>
        <w:t xml:space="preserve">6.1 Immediate Actions (0–30 days)</w:t>
      </w:r>
    </w:p>
    <w:p>
      <w:pPr>
        <w:pStyle w:val="ListParagraph"/>
        <w:numPr>
          <w:ilvl w:val="0"/>
          <w:numId w:val="2"/>
        </w:numPr>
        <w:spacing w:after="80"/>
      </w:pPr>
      <w:r>
        <w:rPr>
          <w:rFonts w:ascii="Arial" w:cs="Arial" w:eastAsia="Arial" w:hAnsi="Arial"/>
          <w:sz w:val="22"/>
          <w:szCs w:val="22"/>
        </w:rPr>
        <w:t xml:space="preserve">Deploy Model B into the billing workflow as a pre-submission flag. All claims predicted as Rejected with billed_amount &gt; ₹20,000 should be routed for mandatory Finance review — estimated to prevent ₹3.28 crore in annual write-offs.</w:t>
      </w:r>
    </w:p>
    <w:p>
      <w:pPr>
        <w:pStyle w:val="ListParagraph"/>
        <w:numPr>
          <w:ilvl w:val="0"/>
          <w:numId w:val="2"/>
        </w:numPr>
        <w:spacing w:after="80"/>
      </w:pPr>
      <w:r>
        <w:rPr>
          <w:rFonts w:ascii="Arial" w:cs="Arial" w:eastAsia="Arial" w:hAnsi="Arial"/>
          <w:sz w:val="22"/>
          <w:szCs w:val="22"/>
        </w:rPr>
        <w:t xml:space="preserve">Engage SecureLife, MediCareX, and HealthPlus (top 3 rejection-rate insurers) for documentation and coding alignment workshops.</w:t>
      </w:r>
    </w:p>
    <w:p>
      <w:pPr>
        <w:pStyle w:val="ListParagraph"/>
        <w:numPr>
          <w:ilvl w:val="0"/>
          <w:numId w:val="2"/>
        </w:numPr>
        <w:spacing w:after="80"/>
      </w:pPr>
      <w:r>
        <w:rPr>
          <w:rFonts w:ascii="Arial" w:cs="Arial" w:eastAsia="Arial" w:hAnsi="Arial"/>
          <w:sz w:val="22"/>
          <w:szCs w:val="22"/>
        </w:rPr>
        <w:t xml:space="preserve">Audit all high-value visits (top-quartile billed) with zero approved amount — these represent immediately recoverable revenue within the current financial year.</w:t>
      </w:r>
    </w:p>
    <w:p>
      <w:pPr>
        <w:pStyle w:val="Heading2"/>
        <w:spacing w:after="120" w:before="240"/>
      </w:pPr>
      <w:r>
        <w:rPr>
          <w:rFonts w:ascii="Arial" w:cs="Arial" w:eastAsia="Arial" w:hAnsi="Arial"/>
          <w:b/>
          <w:bCs/>
          <w:color w:val="1F4E79"/>
          <w:sz w:val="24"/>
          <w:szCs w:val="24"/>
        </w:rPr>
        <w:t xml:space="preserve">6.2 Medium-Term Actions (30–90 days)</w:t>
      </w:r>
    </w:p>
    <w:p>
      <w:pPr>
        <w:pStyle w:val="ListParagraph"/>
        <w:numPr>
          <w:ilvl w:val="0"/>
          <w:numId w:val="2"/>
        </w:numPr>
        <w:spacing w:after="80"/>
      </w:pPr>
      <w:r>
        <w:rPr>
          <w:rFonts w:ascii="Arial" w:cs="Arial" w:eastAsia="Arial" w:hAnsi="Arial"/>
          <w:sz w:val="22"/>
          <w:szCs w:val="22"/>
        </w:rPr>
        <w:t xml:space="preserve">Deploy Model A into clinical admissions workflow to support bed allocation and staffing decisions. Prioritise High-Risk patients for early senior physician review.</w:t>
      </w:r>
    </w:p>
    <w:p>
      <w:pPr>
        <w:pStyle w:val="ListParagraph"/>
        <w:numPr>
          <w:ilvl w:val="0"/>
          <w:numId w:val="2"/>
        </w:numPr>
        <w:spacing w:after="80"/>
      </w:pPr>
      <w:r>
        <w:rPr>
          <w:rFonts w:ascii="Arial" w:cs="Arial" w:eastAsia="Arial" w:hAnsi="Arial"/>
          <w:sz w:val="22"/>
          <w:szCs w:val="22"/>
        </w:rPr>
        <w:t xml:space="preserve">Implement the monitoring dashboard to track PSI drift and prediction distribution weekly. Set automated alerts for PSI &gt; 0.20.</w:t>
      </w:r>
    </w:p>
    <w:p>
      <w:pPr>
        <w:pStyle w:val="ListParagraph"/>
        <w:numPr>
          <w:ilvl w:val="0"/>
          <w:numId w:val="2"/>
        </w:numPr>
        <w:spacing w:after="80"/>
      </w:pPr>
      <w:r>
        <w:rPr>
          <w:rFonts w:ascii="Arial" w:cs="Arial" w:eastAsia="Arial" w:hAnsi="Arial"/>
          <w:sz w:val="22"/>
          <w:szCs w:val="22"/>
        </w:rPr>
        <w:t xml:space="preserve">Launch a revenue realization improvement programme for departments below 74.5% — targeting 80% realization as the 12-month goal (estimated uplift: ₹3.1 crore additional recoveries).</w:t>
      </w:r>
    </w:p>
    <w:p>
      <w:pPr>
        <w:pStyle w:val="Heading2"/>
        <w:spacing w:after="120" w:before="240"/>
      </w:pPr>
      <w:r>
        <w:rPr>
          <w:rFonts w:ascii="Arial" w:cs="Arial" w:eastAsia="Arial" w:hAnsi="Arial"/>
          <w:b/>
          <w:bCs/>
          <w:color w:val="1F4E79"/>
          <w:sz w:val="24"/>
          <w:szCs w:val="24"/>
        </w:rPr>
        <w:t xml:space="preserve">6.3 Strategic Actions (90+ days)</w:t>
      </w:r>
    </w:p>
    <w:p>
      <w:pPr>
        <w:pStyle w:val="ListParagraph"/>
        <w:numPr>
          <w:ilvl w:val="0"/>
          <w:numId w:val="2"/>
        </w:numPr>
        <w:spacing w:after="80"/>
      </w:pPr>
      <w:r>
        <w:rPr>
          <w:rFonts w:ascii="Arial" w:cs="Arial" w:eastAsia="Arial" w:hAnsi="Arial"/>
          <w:sz w:val="22"/>
          <w:szCs w:val="22"/>
        </w:rPr>
        <w:t xml:space="preserve">Retrain both models quarterly on a rolling 12-month window with GridSearchCV tuning. Use 2-week shadow mode before production promotion.</w:t>
      </w:r>
    </w:p>
    <w:p>
      <w:pPr>
        <w:pStyle w:val="ListParagraph"/>
        <w:numPr>
          <w:ilvl w:val="0"/>
          <w:numId w:val="2"/>
        </w:numPr>
        <w:spacing w:after="80"/>
      </w:pPr>
      <w:r>
        <w:rPr>
          <w:rFonts w:ascii="Arial" w:cs="Arial" w:eastAsia="Arial" w:hAnsi="Arial"/>
          <w:sz w:val="22"/>
          <w:szCs w:val="22"/>
        </w:rPr>
        <w:t xml:space="preserve">Integrate the FastAPI service with the HIS and billing dashboards for real-time predictions at point of care and billing entry.</w:t>
      </w:r>
    </w:p>
    <w:p>
      <w:pPr>
        <w:pStyle w:val="ListParagraph"/>
        <w:numPr>
          <w:ilvl w:val="0"/>
          <w:numId w:val="2"/>
        </w:numPr>
        <w:spacing w:after="80"/>
      </w:pPr>
      <w:r>
        <w:rPr>
          <w:rFonts w:ascii="Arial" w:cs="Arial" w:eastAsia="Arial" w:hAnsi="Arial"/>
          <w:sz w:val="22"/>
          <w:szCs w:val="22"/>
        </w:rPr>
        <w:t xml:space="preserve">Expand the platform with a length-of-stay regression model and readmission risk classifier to build a comprehensive clinical intelligence suite — estimated additional ROI: ₹1.5–2.0 crore from LOS optimisation.</w:t>
      </w:r>
    </w:p>
    <w:p>
      <w:pPr>
        <w:pStyle w:val="Heading1"/>
        <w:pBdr>
          <w:bottom w:val="single" w:color="2E75B6" w:sz="6" w:space="1"/>
        </w:pBdr>
        <w:spacing w:after="160" w:before="320"/>
      </w:pPr>
      <w:r>
        <w:rPr>
          <w:rFonts w:ascii="Arial" w:cs="Arial" w:eastAsia="Arial" w:hAnsi="Arial"/>
          <w:b/>
          <w:bCs/>
          <w:color w:val="1F4E79"/>
          <w:sz w:val="28"/>
          <w:szCs w:val="28"/>
        </w:rPr>
        <w:t xml:space="preserve">7. Deployment &amp; Governance</w:t>
      </w:r>
    </w:p>
    <w:p>
      <w:pPr>
        <w:spacing w:after="160"/>
      </w:pPr>
      <w:r>
        <w:rPr>
          <w:rFonts w:ascii="Arial" w:cs="Arial" w:eastAsia="Arial" w:hAnsi="Arial"/>
          <w:b w:val="false"/>
          <w:bCs w:val="false"/>
          <w:color w:val="000000"/>
          <w:sz w:val="22"/>
          <w:szCs w:val="22"/>
        </w:rPr>
        <w:t xml:space="preserve">The platform is containerised (Docker + FastAPI) for deployment to any cloud or on-premises environment. All predictions are logged with timestamp, model version, and input hash. A dedicated Governance &amp; Compliance Document covers assumptions, limitations, retraining triggers, fairness obligations, and incident response procedures.</w:t>
      </w:r>
    </w:p>
    <w:p>
      <w:pPr>
        <w:pStyle w:val="ListParagraph"/>
        <w:numPr>
          <w:ilvl w:val="0"/>
          <w:numId w:val="2"/>
        </w:numPr>
        <w:spacing w:after="80"/>
      </w:pPr>
      <w:r>
        <w:rPr>
          <w:rFonts w:ascii="Arial" w:cs="Arial" w:eastAsia="Arial" w:hAnsi="Arial"/>
          <w:sz w:val="22"/>
          <w:szCs w:val="22"/>
        </w:rPr>
        <w:t xml:space="preserve">Model Card: documents performance, limitations, and assumptions for each model version.</w:t>
      </w:r>
    </w:p>
    <w:p>
      <w:pPr>
        <w:pStyle w:val="ListParagraph"/>
        <w:numPr>
          <w:ilvl w:val="0"/>
          <w:numId w:val="2"/>
        </w:numPr>
        <w:spacing w:after="80"/>
      </w:pPr>
      <w:r>
        <w:rPr>
          <w:rFonts w:ascii="Arial" w:cs="Arial" w:eastAsia="Arial" w:hAnsi="Arial"/>
          <w:sz w:val="22"/>
          <w:szCs w:val="22"/>
        </w:rPr>
        <w:t xml:space="preserve">Drift monitoring: PSI-based feature drift detection with quarterly retraining trigger.</w:t>
      </w:r>
    </w:p>
    <w:p>
      <w:pPr>
        <w:pStyle w:val="ListParagraph"/>
        <w:numPr>
          <w:ilvl w:val="0"/>
          <w:numId w:val="2"/>
        </w:numPr>
        <w:spacing w:after="80"/>
      </w:pPr>
      <w:r>
        <w:rPr>
          <w:rFonts w:ascii="Arial" w:cs="Arial" w:eastAsia="Arial" w:hAnsi="Arial"/>
          <w:sz w:val="22"/>
          <w:szCs w:val="22"/>
        </w:rPr>
        <w:t xml:space="preserve">Fairness audits: quarterly segmentation by gender, city, and insurance provider.</w:t>
      </w:r>
    </w:p>
    <w:p>
      <w:pPr>
        <w:pStyle w:val="ListParagraph"/>
        <w:numPr>
          <w:ilvl w:val="0"/>
          <w:numId w:val="2"/>
        </w:numPr>
        <w:spacing w:after="80"/>
      </w:pPr>
      <w:r>
        <w:rPr>
          <w:rFonts w:ascii="Arial" w:cs="Arial" w:eastAsia="Arial" w:hAnsi="Arial"/>
          <w:sz w:val="22"/>
          <w:szCs w:val="22"/>
        </w:rPr>
        <w:t xml:space="preserve">Decision-support only: no clinical or financial decision may be made solely on AI output without human review.</w:t>
      </w:r>
    </w:p>
    <w:p>
      <w:pPr>
        <w:pStyle w:val="ListParagraph"/>
        <w:numPr>
          <w:ilvl w:val="0"/>
          <w:numId w:val="2"/>
        </w:numPr>
        <w:spacing w:after="80"/>
      </w:pPr>
      <w:r>
        <w:rPr>
          <w:rFonts w:ascii="Arial" w:cs="Arial" w:eastAsia="Arial" w:hAnsi="Arial"/>
          <w:sz w:val="22"/>
          <w:szCs w:val="22"/>
        </w:rPr>
        <w:t xml:space="preserve">Payback period: estimated 1–2 months based on claim recovery savings alone.</w:t>
      </w:r>
    </w:p>
    <w:p>
      <w:pPr>
        <w:spacing w:after="80" w:before="400"/>
      </w:pPr>
      <w:r>
        <w:rPr>
          <w:rFonts w:ascii="Arial" w:cs="Arial" w:eastAsia="Arial" w:hAnsi="Arial"/>
          <w:i/>
          <w:iCs/>
          <w:color w:val="888888"/>
          <w:sz w:val="16"/>
          <w:szCs w:val="16"/>
        </w:rPr>
        <w:t xml:space="preserve">This report is produced from synthetic healthcare data for educational demonstration. All financial estimates are illustrative projections based on the analytical pipeline and should be validated against live operational data before clinical or financial deployment decisions are made.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Hospital Analytics Team  |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6"/>
        <w:szCs w:val="16"/>
      </w:rPr>
      <w:t xml:space="preserve">CONFIDENTIAL — Hospital Operations &amp; Revenue Risk Intelligence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2026-04-14T07:56:44.395Z</dcterms:created>
  <dcterms:modified xsi:type="dcterms:W3CDTF">2026-04-14T07:56:44.397Z</dcterms:modified>
</cp:coreProperties>
</file>

<file path=docProps/custom.xml><?xml version="1.0" encoding="utf-8"?>
<Properties xmlns="http://schemas.openxmlformats.org/officeDocument/2006/custom-properties" xmlns:vt="http://schemas.openxmlformats.org/officeDocument/2006/docPropsVTypes"/>
</file>