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81E3" w14:textId="77777777" w:rsidR="003B6D8D" w:rsidRDefault="00000000">
      <w:pPr>
        <w:spacing w:before="480" w:after="80"/>
      </w:pPr>
      <w:r>
        <w:rPr>
          <w:b/>
          <w:bCs/>
          <w:color w:val="1F4E79"/>
          <w:sz w:val="48"/>
          <w:szCs w:val="48"/>
        </w:rPr>
        <w:t>Hospital Operations &amp;</w:t>
      </w:r>
    </w:p>
    <w:p w14:paraId="62E9BBC0" w14:textId="77777777" w:rsidR="003B6D8D" w:rsidRDefault="00000000">
      <w:pPr>
        <w:spacing w:after="160"/>
      </w:pPr>
      <w:r>
        <w:rPr>
          <w:b/>
          <w:bCs/>
          <w:color w:val="1F4E79"/>
          <w:sz w:val="48"/>
          <w:szCs w:val="48"/>
        </w:rPr>
        <w:t>Revenue Risk Intelligence Platform</w:t>
      </w:r>
    </w:p>
    <w:p w14:paraId="3BD4B03B" w14:textId="77777777" w:rsidR="003B6D8D" w:rsidRDefault="00000000">
      <w:pPr>
        <w:spacing w:after="80"/>
      </w:pPr>
      <w:r>
        <w:rPr>
          <w:b/>
          <w:bCs/>
          <w:color w:val="2E75B6"/>
          <w:sz w:val="28"/>
          <w:szCs w:val="28"/>
        </w:rPr>
        <w:t>Executive Business Report</w:t>
      </w:r>
    </w:p>
    <w:p w14:paraId="6979AE75" w14:textId="77777777" w:rsidR="003B6D8D" w:rsidRDefault="00000000">
      <w:pPr>
        <w:pBdr>
          <w:bottom w:val="single" w:sz="6" w:space="1" w:color="2E75B6"/>
        </w:pBdr>
        <w:spacing w:after="480"/>
      </w:pPr>
      <w:r>
        <w:rPr>
          <w:color w:val="666666"/>
          <w:sz w:val="20"/>
          <w:szCs w:val="20"/>
        </w:rPr>
        <w:t>Prepared by: Amarendranadh Veerepalli   |   Version 1.0   |   April 2026</w:t>
      </w:r>
    </w:p>
    <w:p w14:paraId="7C26B556" w14:textId="77777777" w:rsidR="003B6D8D" w:rsidRDefault="00000000">
      <w:pPr>
        <w:pStyle w:val="Heading1"/>
        <w:pBdr>
          <w:bottom w:val="single" w:sz="6" w:space="1" w:color="2E75B6"/>
        </w:pBdr>
      </w:pPr>
      <w:r>
        <w:t>1. Executive Summary</w:t>
      </w:r>
    </w:p>
    <w:p w14:paraId="7407A797" w14:textId="77777777" w:rsidR="003B6D8D" w:rsidRDefault="00000000">
      <w:pPr>
        <w:spacing w:after="160"/>
      </w:pPr>
      <w:r>
        <w:rPr>
          <w:color w:val="000000"/>
        </w:rPr>
        <w:t>This report summarises the outcomes of the Hospital Operations &amp; Revenue Risk Intelligence Platform — an end-to-end AI analytics system built on 25,000 hospital visit records across 5,000 patients in a multi-city network. The platform delivers two machine learning classification systems and a real-time prediction API, underpinned by a structured SQL analytics layer.</w:t>
      </w:r>
    </w:p>
    <w:p w14:paraId="64B535BA" w14:textId="77777777" w:rsidR="003B6D8D" w:rsidRDefault="00000000">
      <w:pPr>
        <w:spacing w:after="160"/>
      </w:pPr>
      <w:r>
        <w:rPr>
          <w:color w:val="000000"/>
        </w:rPr>
        <w:t>The system directly addresses three leadership pain points: patient flow inefficiency, revenue leakage from insurance claim rejections, and delayed payment cycles. Quantified financial modelling (Section 4) estimates annual recoverable value of ₹4.0–4.9 crore through targeted deployment of the two AI models.</w:t>
      </w:r>
    </w:p>
    <w:p w14:paraId="16DB13BD" w14:textId="77777777" w:rsidR="003B6D8D" w:rsidRDefault="00000000">
      <w:pPr>
        <w:pStyle w:val="Heading1"/>
        <w:pBdr>
          <w:bottom w:val="single" w:sz="6" w:space="1" w:color="2E75B6"/>
        </w:pBdr>
      </w:pPr>
      <w:r>
        <w:t>2. Key Operational Findings</w:t>
      </w:r>
    </w:p>
    <w:p w14:paraId="6D90F41A" w14:textId="77777777" w:rsidR="003B6D8D" w:rsidRDefault="00000000">
      <w:pPr>
        <w:pStyle w:val="Heading2"/>
      </w:pPr>
      <w:r>
        <w:t>2.1 Department-Level Performance</w:t>
      </w:r>
    </w:p>
    <w:p w14:paraId="6CF17D5B" w14:textId="77777777" w:rsidR="003B6D8D" w:rsidRDefault="00000000">
      <w:pPr>
        <w:spacing w:after="160"/>
      </w:pPr>
      <w:r>
        <w:rPr>
          <w:color w:val="000000"/>
        </w:rPr>
        <w:t>Analysis of 25,000 visits reveals the following patterns of concentrated demand and clinical risk:</w:t>
      </w:r>
    </w:p>
    <w:p w14:paraId="07630C44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ICU and Cardiology departments have the highest average length of stay, indicating complex case mixes and elevated resource consumption per bed-day.</w:t>
      </w:r>
    </w:p>
    <w:p w14:paraId="7DDA3815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High-Risk visits account for 20.1% of all visits (5,034 cases). Departments above the system-wide High-Risk average require targeted staffing protocols.</w:t>
      </w:r>
    </w:p>
    <w:p w14:paraId="37A6845A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Weekend admissions (28% of volume) show higher acuity on average — a finding that supports differential weekend staffing models.</w:t>
      </w:r>
    </w:p>
    <w:p w14:paraId="0A303ACE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A small group of doctors handle a disproportionate volume of High-Risk cases — a potential indicator of subspecialisation that should be monitored for workload sustainability.</w:t>
      </w:r>
    </w:p>
    <w:p w14:paraId="774C9699" w14:textId="77777777" w:rsidR="003B6D8D" w:rsidRDefault="003B6D8D">
      <w:pPr>
        <w:spacing w:after="120"/>
      </w:pPr>
    </w:p>
    <w:p w14:paraId="503A5A66" w14:textId="77777777" w:rsidR="003B6D8D" w:rsidRDefault="00000000">
      <w:pPr>
        <w:pStyle w:val="Heading2"/>
      </w:pPr>
      <w:r>
        <w:t>2.2 Operational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6D8D" w14:paraId="588D4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EDC5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Total Patient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7BED" w14:textId="77777777" w:rsidR="003B6D8D" w:rsidRDefault="00000000">
            <w:r>
              <w:rPr>
                <w:b/>
                <w:bCs/>
                <w:sz w:val="20"/>
                <w:szCs w:val="20"/>
              </w:rPr>
              <w:t>5,000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1960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  <w:tr w:rsidR="003B6D8D" w14:paraId="347A91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8F29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Total Visit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FDF2" w14:textId="77777777" w:rsidR="003B6D8D" w:rsidRDefault="00000000">
            <w:r>
              <w:rPr>
                <w:b/>
                <w:bCs/>
                <w:sz w:val="20"/>
                <w:szCs w:val="20"/>
              </w:rPr>
              <w:t>25,000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15E5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  <w:tr w:rsidR="003B6D8D" w14:paraId="2F0C27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E553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High-Risk Visit Share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CB8" w14:textId="77777777" w:rsidR="003B6D8D" w:rsidRDefault="00000000">
            <w:r>
              <w:rPr>
                <w:b/>
                <w:bCs/>
                <w:sz w:val="20"/>
                <w:szCs w:val="20"/>
              </w:rPr>
              <w:t>20.1% (5,034 visits)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50F8" w14:textId="77777777" w:rsidR="003B6D8D" w:rsidRDefault="00000000">
            <w:r>
              <w:rPr>
                <w:color w:val="000000"/>
                <w:sz w:val="20"/>
                <w:szCs w:val="20"/>
              </w:rPr>
              <w:t>Watch</w:t>
            </w:r>
          </w:p>
        </w:tc>
      </w:tr>
      <w:tr w:rsidR="003B6D8D" w14:paraId="1F14BC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473B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Weekend Visit Volume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438D" w14:textId="77777777" w:rsidR="003B6D8D" w:rsidRDefault="00000000">
            <w:r>
              <w:rPr>
                <w:b/>
                <w:bCs/>
                <w:sz w:val="20"/>
                <w:szCs w:val="20"/>
              </w:rPr>
              <w:t>~28%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5D01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  <w:tr w:rsidR="003B6D8D" w14:paraId="45575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16A4" w14:textId="77777777" w:rsidR="003B6D8D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Length of Stay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7E87" w14:textId="77777777" w:rsidR="003B6D8D" w:rsidRDefault="00000000">
            <w:r>
              <w:rPr>
                <w:b/>
                <w:bCs/>
                <w:sz w:val="20"/>
                <w:szCs w:val="20"/>
              </w:rPr>
              <w:t>19.5 hours (all visits)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B890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</w:tbl>
    <w:p w14:paraId="4397DBDC" w14:textId="77777777" w:rsidR="003B6D8D" w:rsidRDefault="003B6D8D">
      <w:pPr>
        <w:spacing w:after="200"/>
      </w:pPr>
    </w:p>
    <w:p w14:paraId="33DA615D" w14:textId="77777777" w:rsidR="003B6D8D" w:rsidRDefault="00000000">
      <w:pPr>
        <w:pStyle w:val="Heading1"/>
        <w:pBdr>
          <w:bottom w:val="single" w:sz="6" w:space="1" w:color="2E75B6"/>
        </w:pBdr>
      </w:pPr>
      <w:r>
        <w:t>3. Key Financial Findings</w:t>
      </w:r>
    </w:p>
    <w:p w14:paraId="5BD5E97A" w14:textId="77777777" w:rsidR="003B6D8D" w:rsidRDefault="00000000">
      <w:pPr>
        <w:pStyle w:val="Heading2"/>
      </w:pPr>
      <w:r>
        <w:lastRenderedPageBreak/>
        <w:t>3.1 Revenue Leakage &amp; Claim Rejections</w:t>
      </w:r>
    </w:p>
    <w:p w14:paraId="386ACC1B" w14:textId="77777777" w:rsidR="003B6D8D" w:rsidRDefault="00000000">
      <w:pPr>
        <w:spacing w:after="160"/>
      </w:pPr>
      <w:r>
        <w:rPr>
          <w:color w:val="000000"/>
        </w:rPr>
        <w:t>Total billed amount across 25,000 visits is ₹52.2 crore. Of this, ₹7.5 crore (14.3%) is associated with rejected claims — representing the primary addressable revenue leakage pool.</w:t>
      </w:r>
    </w:p>
    <w:p w14:paraId="7424F907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Claim rejection rate is 15.2% (3,797 rejected claims), above the industry benchmark of 5–10% for well-managed revenue cycle operations.</w:t>
      </w:r>
    </w:p>
    <w:p w14:paraId="49727DD9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SecureLife</w:t>
      </w:r>
      <w:proofErr w:type="spellEnd"/>
      <w:r>
        <w:t xml:space="preserve"> (15.7%), </w:t>
      </w:r>
      <w:proofErr w:type="spellStart"/>
      <w:r>
        <w:t>MediCareX</w:t>
      </w:r>
      <w:proofErr w:type="spellEnd"/>
      <w:r>
        <w:t xml:space="preserve"> (15.2%), and </w:t>
      </w:r>
      <w:proofErr w:type="spellStart"/>
      <w:r>
        <w:t>HealthPlus</w:t>
      </w:r>
      <w:proofErr w:type="spellEnd"/>
      <w:r>
        <w:t xml:space="preserve"> (15.0%) are the three insurers with the highest rejection rates — all above the network average.</w:t>
      </w:r>
    </w:p>
    <w:p w14:paraId="4852D4DC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Revenue realization ratio ranges from 74.0% (Cardiology) to 74.5% (ICU) — relatively uniform but all below the 80% target, indicating a systemic billing gap.</w:t>
      </w:r>
    </w:p>
    <w:p w14:paraId="2CBCCC65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790 records have null </w:t>
      </w:r>
      <w:proofErr w:type="spellStart"/>
      <w:r>
        <w:t>payment_days</w:t>
      </w:r>
      <w:proofErr w:type="spellEnd"/>
      <w:r>
        <w:t xml:space="preserve"> — structurally tied to Pending and Rejected claims — representing ₹12.8 crore in unresolved receivables (Pending: ₹12.8 crore, Rejected: ₹7.5 crore).</w:t>
      </w:r>
    </w:p>
    <w:p w14:paraId="61FA1BAD" w14:textId="77777777" w:rsidR="003B6D8D" w:rsidRDefault="003B6D8D">
      <w:pPr>
        <w:spacing w:after="120"/>
      </w:pPr>
    </w:p>
    <w:p w14:paraId="5304A5A5" w14:textId="77777777" w:rsidR="003B6D8D" w:rsidRDefault="00000000">
      <w:pPr>
        <w:pStyle w:val="Heading2"/>
      </w:pPr>
      <w:r>
        <w:t>3.2 Financial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6D8D" w14:paraId="511F84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970F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Total Billed (25K visits)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1EC6" w14:textId="77777777" w:rsidR="003B6D8D" w:rsidRDefault="00000000">
            <w:r>
              <w:rPr>
                <w:b/>
                <w:bCs/>
                <w:sz w:val="20"/>
                <w:szCs w:val="20"/>
              </w:rPr>
              <w:t>₹52.2 crore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633A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  <w:tr w:rsidR="003B6D8D" w14:paraId="21B49B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7404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Total Rejected Billed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8754" w14:textId="77777777" w:rsidR="003B6D8D" w:rsidRDefault="00000000">
            <w:r>
              <w:rPr>
                <w:b/>
                <w:bCs/>
                <w:sz w:val="20"/>
                <w:szCs w:val="20"/>
              </w:rPr>
              <w:t>₹7.49 crore (15.2%)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A578" w14:textId="77777777" w:rsidR="003B6D8D" w:rsidRDefault="00000000">
            <w:r>
              <w:rPr>
                <w:color w:val="C00000"/>
                <w:sz w:val="20"/>
                <w:szCs w:val="20"/>
              </w:rPr>
              <w:t>Risk</w:t>
            </w:r>
          </w:p>
        </w:tc>
      </w:tr>
      <w:tr w:rsidR="003B6D8D" w14:paraId="56FAB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ECC0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Pending Receivables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383A" w14:textId="77777777" w:rsidR="003B6D8D" w:rsidRDefault="00000000">
            <w:r>
              <w:rPr>
                <w:b/>
                <w:bCs/>
                <w:sz w:val="20"/>
                <w:szCs w:val="20"/>
              </w:rPr>
              <w:t>₹12.77 crore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BE93" w14:textId="77777777" w:rsidR="003B6D8D" w:rsidRDefault="00000000">
            <w:r>
              <w:rPr>
                <w:color w:val="000000"/>
                <w:sz w:val="20"/>
                <w:szCs w:val="20"/>
              </w:rPr>
              <w:t>Watch</w:t>
            </w:r>
          </w:p>
        </w:tc>
      </w:tr>
      <w:tr w:rsidR="003B6D8D" w14:paraId="137C76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2C38" w14:textId="77777777" w:rsidR="003B6D8D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Payment Delay (Paid)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4AF9" w14:textId="77777777" w:rsidR="003B6D8D" w:rsidRDefault="00000000">
            <w:r>
              <w:rPr>
                <w:b/>
                <w:bCs/>
                <w:sz w:val="20"/>
                <w:szCs w:val="20"/>
              </w:rPr>
              <w:t>12.5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1DB" w14:textId="77777777" w:rsidR="003B6D8D" w:rsidRDefault="00000000">
            <w:r>
              <w:rPr>
                <w:color w:val="375623"/>
                <w:sz w:val="20"/>
                <w:szCs w:val="20"/>
              </w:rPr>
              <w:t>OK</w:t>
            </w:r>
          </w:p>
        </w:tc>
      </w:tr>
      <w:tr w:rsidR="003B6D8D" w14:paraId="5F3F6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B955" w14:textId="77777777" w:rsidR="003B6D8D" w:rsidRDefault="00000000">
            <w:r>
              <w:rPr>
                <w:b/>
                <w:bCs/>
                <w:color w:val="1F4E79"/>
                <w:sz w:val="20"/>
                <w:szCs w:val="20"/>
              </w:rPr>
              <w:t>Revenue Realization Ratio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B712" w14:textId="77777777" w:rsidR="003B6D8D" w:rsidRDefault="00000000">
            <w:r>
              <w:rPr>
                <w:b/>
                <w:bCs/>
                <w:sz w:val="20"/>
                <w:szCs w:val="20"/>
              </w:rPr>
              <w:t>74.0–74.5% by dept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3725" w14:textId="77777777" w:rsidR="003B6D8D" w:rsidRDefault="00000000">
            <w:r>
              <w:rPr>
                <w:color w:val="C00000"/>
                <w:sz w:val="20"/>
                <w:szCs w:val="20"/>
              </w:rPr>
              <w:t>Risk</w:t>
            </w:r>
          </w:p>
        </w:tc>
      </w:tr>
    </w:tbl>
    <w:p w14:paraId="1DD63666" w14:textId="77777777" w:rsidR="003B6D8D" w:rsidRDefault="003B6D8D">
      <w:pPr>
        <w:spacing w:after="200"/>
      </w:pPr>
    </w:p>
    <w:p w14:paraId="3DF1ACD0" w14:textId="77777777" w:rsidR="003B6D8D" w:rsidRDefault="00000000">
      <w:pPr>
        <w:pStyle w:val="Heading1"/>
        <w:pBdr>
          <w:bottom w:val="single" w:sz="6" w:space="1" w:color="2E75B6"/>
        </w:pBdr>
      </w:pPr>
      <w:r>
        <w:t>4. Financial Impact &amp; ROI Estimation</w:t>
      </w:r>
    </w:p>
    <w:p w14:paraId="7B7F8585" w14:textId="77777777" w:rsidR="003B6D8D" w:rsidRDefault="00000000">
      <w:pPr>
        <w:pStyle w:val="Heading2"/>
      </w:pPr>
      <w:r>
        <w:t>4.1 Model B — Claim Outcome Classifier: Revenue Recovery</w:t>
      </w:r>
    </w:p>
    <w:p w14:paraId="663236FA" w14:textId="77777777" w:rsidR="003B6D8D" w:rsidRDefault="00000000">
      <w:pPr>
        <w:spacing w:after="160"/>
      </w:pPr>
      <w:r>
        <w:rPr>
          <w:color w:val="000000"/>
        </w:rPr>
        <w:t>Model B (Rejected Recall = 76.4%) identifies approximately 76% of claims that will ultimately be rejected before submission. This enables the Finance team to correct documentation, coding errors, or missing authorisations before the claim is filed.</w:t>
      </w:r>
    </w:p>
    <w:p w14:paraId="2F73F1CF" w14:textId="77777777" w:rsidR="003B6D8D" w:rsidRDefault="00000000">
      <w:pPr>
        <w:spacing w:after="160"/>
      </w:pPr>
      <w:r>
        <w:rPr>
          <w:color w:val="000000"/>
        </w:rPr>
        <w:t>ROI Calculation — Claim Recovery:</w:t>
      </w:r>
    </w:p>
    <w:p w14:paraId="0E1055A3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Total rejected billed amount: ₹7.49 crore</w:t>
      </w:r>
    </w:p>
    <w:p w14:paraId="23B213FA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Model B Rejected Recall: 76.4% → Correctly flags ₹5.73 crore of at-risk claims</w:t>
      </w:r>
    </w:p>
    <w:p w14:paraId="01B5156C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Assumed recovery rate after pre-submission correction: 60% of flagged claims</w:t>
      </w:r>
    </w:p>
    <w:p w14:paraId="1B037B2C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Estimated annual revenue recovery: ₹5.47 crore × 60% = ₹3.28 crore per year</w:t>
      </w:r>
    </w:p>
    <w:p w14:paraId="6F98FD88" w14:textId="77777777" w:rsidR="003B6D8D" w:rsidRDefault="003B6D8D">
      <w:pPr>
        <w:spacing w:after="120"/>
      </w:pPr>
    </w:p>
    <w:p w14:paraId="5B43443D" w14:textId="77777777" w:rsidR="003B6D8D" w:rsidRDefault="00000000">
      <w:pPr>
        <w:pStyle w:val="Heading2"/>
      </w:pPr>
      <w:r>
        <w:t>4.2 Model A — Visit Risk Classifier: Operational Cost Avoidance</w:t>
      </w:r>
    </w:p>
    <w:p w14:paraId="3E9DBF56" w14:textId="77777777" w:rsidR="003B6D8D" w:rsidRDefault="00000000">
      <w:pPr>
        <w:spacing w:after="160"/>
      </w:pPr>
      <w:r>
        <w:rPr>
          <w:color w:val="000000"/>
        </w:rPr>
        <w:t>Model A identifies High-Risk visits early. Earlier identification enables proactive bed allocation, staffing adjustments, and clinical escalation — reducing average LOS for High-Risk patients through faster intervention.</w:t>
      </w:r>
    </w:p>
    <w:p w14:paraId="44C224A7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High-Risk visits: 5,034 | </w:t>
      </w:r>
      <w:proofErr w:type="spellStart"/>
      <w:r>
        <w:t>Avg</w:t>
      </w:r>
      <w:proofErr w:type="spellEnd"/>
      <w:r>
        <w:t xml:space="preserve"> LOS: ~24 hours | </w:t>
      </w:r>
      <w:proofErr w:type="spellStart"/>
      <w:r>
        <w:t>Avg</w:t>
      </w:r>
      <w:proofErr w:type="spellEnd"/>
      <w:r>
        <w:t xml:space="preserve"> bed cost per hour: ~₹1,200 (estimated)</w:t>
      </w:r>
    </w:p>
    <w:p w14:paraId="6704EF69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Assumed LOS reduction from earlier intervention: 10% for correctly flagged High-Risk visits</w:t>
      </w:r>
    </w:p>
    <w:p w14:paraId="436179B1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Model A correctly identifies ~28% of High-Risk visits (based on test recall)</w:t>
      </w:r>
    </w:p>
    <w:p w14:paraId="0D866062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Estimated annual cost avoidance: 5,034 × 28% × 10% × 24 hrs × ₹1,200 = ₹40.6 lakh per year</w:t>
      </w:r>
    </w:p>
    <w:p w14:paraId="772C4459" w14:textId="77777777" w:rsidR="003B6D8D" w:rsidRDefault="003B6D8D">
      <w:pPr>
        <w:spacing w:after="120"/>
      </w:pPr>
    </w:p>
    <w:p w14:paraId="784705BC" w14:textId="77777777" w:rsidR="003B6D8D" w:rsidRDefault="00000000">
      <w:pPr>
        <w:pStyle w:val="Heading2"/>
      </w:pPr>
      <w:r>
        <w:t>4.3 FTE Efficiency Gains</w:t>
      </w:r>
    </w:p>
    <w:p w14:paraId="57B403CB" w14:textId="77777777" w:rsidR="003B6D8D" w:rsidRDefault="00000000">
      <w:pPr>
        <w:spacing w:after="160"/>
      </w:pPr>
      <w:r>
        <w:rPr>
          <w:color w:val="000000"/>
        </w:rPr>
        <w:t>Without the model, the Finance team reviews all claims manually for rejection risk. Model B reduces the review pool to ~27% of claims (those not flagged as likely-Paid), saving significant manual effort.</w:t>
      </w:r>
    </w:p>
    <w:p w14:paraId="30025E62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Total claims: 25,000 per dataset cycle | Manual review time: ~8 minutes per claim</w:t>
      </w:r>
    </w:p>
    <w:p w14:paraId="65EBB50F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Without model: 25,000 × 8 min = 3,333 FTE-hours per cycle</w:t>
      </w:r>
    </w:p>
    <w:p w14:paraId="1E8DEA07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With model (only review flagged ~40%): 10,000 × 8 min = 1,333 FTE-hours per cycle</w:t>
      </w:r>
    </w:p>
    <w:p w14:paraId="4557BF65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Saving: ~2,000 FTE-hours per cycle → ₹20–25 lakh per year at ₹1,000/hr billing rate</w:t>
      </w:r>
    </w:p>
    <w:p w14:paraId="52567004" w14:textId="77777777" w:rsidR="003B6D8D" w:rsidRDefault="003B6D8D">
      <w:pPr>
        <w:spacing w:after="120"/>
      </w:pPr>
    </w:p>
    <w:p w14:paraId="591419A0" w14:textId="77777777" w:rsidR="003B6D8D" w:rsidRDefault="00000000">
      <w:pPr>
        <w:pStyle w:val="Heading2"/>
      </w:pPr>
      <w:r>
        <w:t>4.4 Consolidated ROI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60"/>
      </w:tblGrid>
      <w:tr w:rsidR="003B6D8D" w14:paraId="2B5DFE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7F699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ROI Lever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C45DD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Benefit (₹)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19E9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C554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3B6D8D" w14:paraId="540E1B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96A5" w14:textId="77777777" w:rsidR="003B6D8D" w:rsidRDefault="00000000">
            <w:r>
              <w:rPr>
                <w:color w:val="000000"/>
                <w:sz w:val="18"/>
                <w:szCs w:val="18"/>
              </w:rPr>
              <w:t>Rejected claim revenue recovery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147B" w14:textId="77777777" w:rsidR="003B6D8D" w:rsidRDefault="00000000">
            <w:r>
              <w:rPr>
                <w:b/>
                <w:bCs/>
                <w:color w:val="375623"/>
                <w:sz w:val="18"/>
                <w:szCs w:val="18"/>
              </w:rPr>
              <w:t>₹3.28 crore / yr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72AD" w14:textId="77777777" w:rsidR="003B6D8D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F0EF8" w14:textId="77777777" w:rsidR="003B6D8D" w:rsidRDefault="00000000">
            <w:r>
              <w:rPr>
                <w:color w:val="000000"/>
                <w:sz w:val="18"/>
                <w:szCs w:val="18"/>
              </w:rPr>
              <w:t>76.4% recall × 60% correction rate × ₹7.49 crore rejected pool</w:t>
            </w:r>
          </w:p>
        </w:tc>
      </w:tr>
      <w:tr w:rsidR="003B6D8D" w14:paraId="6AE403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D9443" w14:textId="77777777" w:rsidR="003B6D8D" w:rsidRDefault="00000000">
            <w:r>
              <w:rPr>
                <w:color w:val="000000"/>
                <w:sz w:val="18"/>
                <w:szCs w:val="18"/>
              </w:rPr>
              <w:t>High-risk LOS cost avoidance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B3CC" w14:textId="77777777" w:rsidR="003B6D8D" w:rsidRDefault="00000000">
            <w:r>
              <w:rPr>
                <w:b/>
                <w:bCs/>
                <w:color w:val="375623"/>
                <w:sz w:val="18"/>
                <w:szCs w:val="18"/>
              </w:rPr>
              <w:t>₹40.6 lakh / yr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4A56" w14:textId="77777777" w:rsidR="003B6D8D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BAC0C" w14:textId="77777777" w:rsidR="003B6D8D" w:rsidRDefault="00000000">
            <w:r>
              <w:rPr>
                <w:color w:val="000000"/>
                <w:sz w:val="18"/>
                <w:szCs w:val="18"/>
              </w:rPr>
              <w:t>28% recall × 10% LOS reduction × ₹1,200/hr</w:t>
            </w:r>
          </w:p>
        </w:tc>
      </w:tr>
      <w:tr w:rsidR="003B6D8D" w14:paraId="4BF57C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78472" w14:textId="77777777" w:rsidR="003B6D8D" w:rsidRDefault="00000000">
            <w:r>
              <w:rPr>
                <w:color w:val="000000"/>
                <w:sz w:val="18"/>
                <w:szCs w:val="18"/>
              </w:rPr>
              <w:t>Finance FTE efficiency gain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0F217" w14:textId="77777777" w:rsidR="003B6D8D" w:rsidRDefault="00000000">
            <w:r>
              <w:rPr>
                <w:b/>
                <w:bCs/>
                <w:color w:val="375623"/>
                <w:sz w:val="18"/>
                <w:szCs w:val="18"/>
              </w:rPr>
              <w:t>₹20–25 lakh / yr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42CAF" w14:textId="77777777" w:rsidR="003B6D8D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DE42" w14:textId="77777777" w:rsidR="003B6D8D" w:rsidRDefault="00000000">
            <w:r>
              <w:rPr>
                <w:color w:val="000000"/>
                <w:sz w:val="18"/>
                <w:szCs w:val="18"/>
              </w:rPr>
              <w:t>2,000 hrs saved × ₹1,000/hr billing rate</w:t>
            </w:r>
          </w:p>
        </w:tc>
      </w:tr>
      <w:tr w:rsidR="003B6D8D" w14:paraId="26EB4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90D4" w14:textId="77777777" w:rsidR="003B6D8D" w:rsidRDefault="00000000">
            <w:r>
              <w:rPr>
                <w:color w:val="000000"/>
                <w:sz w:val="18"/>
                <w:szCs w:val="18"/>
              </w:rPr>
              <w:t>Pending receivables acceleration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D3A8" w14:textId="77777777" w:rsidR="003B6D8D" w:rsidRDefault="00000000">
            <w:r>
              <w:rPr>
                <w:b/>
                <w:bCs/>
                <w:color w:val="375623"/>
                <w:sz w:val="18"/>
                <w:szCs w:val="18"/>
              </w:rPr>
              <w:t>₹25–40 lakh / yr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A82D" w14:textId="77777777" w:rsidR="003B6D8D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9F83" w14:textId="77777777" w:rsidR="003B6D8D" w:rsidRDefault="00000000">
            <w:r>
              <w:rPr>
                <w:color w:val="000000"/>
                <w:sz w:val="18"/>
                <w:szCs w:val="18"/>
              </w:rPr>
              <w:t>Earlier payment follow-up on ₹12.77 crore pending</w:t>
            </w:r>
          </w:p>
        </w:tc>
      </w:tr>
      <w:tr w:rsidR="003B6D8D" w14:paraId="12E9EB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7098C" w14:textId="77777777" w:rsidR="003B6D8D" w:rsidRDefault="00000000">
            <w:r>
              <w:rPr>
                <w:color w:val="000000"/>
                <w:sz w:val="18"/>
                <w:szCs w:val="18"/>
              </w:rPr>
              <w:t>TOTAL ESTIMATED ANNUAL BENEFIT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60AB6" w14:textId="77777777" w:rsidR="003B6D8D" w:rsidRDefault="00000000">
            <w:r>
              <w:rPr>
                <w:b/>
                <w:bCs/>
                <w:color w:val="375623"/>
                <w:sz w:val="18"/>
                <w:szCs w:val="18"/>
              </w:rPr>
              <w:t>₹4.0–4.9 crore / yr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5D390" w14:textId="77777777" w:rsidR="003B6D8D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22748" w14:textId="77777777" w:rsidR="003B6D8D" w:rsidRDefault="00000000">
            <w:r>
              <w:rPr>
                <w:color w:val="000000"/>
                <w:sz w:val="18"/>
                <w:szCs w:val="18"/>
              </w:rPr>
              <w:t>Conservative estimate; upside with improved recall</w:t>
            </w:r>
          </w:p>
        </w:tc>
      </w:tr>
    </w:tbl>
    <w:p w14:paraId="3300ECE8" w14:textId="77777777" w:rsidR="003B6D8D" w:rsidRDefault="003B6D8D">
      <w:pPr>
        <w:spacing w:after="200"/>
      </w:pPr>
    </w:p>
    <w:p w14:paraId="458D5852" w14:textId="77777777" w:rsidR="003B6D8D" w:rsidRDefault="00000000">
      <w:pPr>
        <w:spacing w:after="160"/>
      </w:pPr>
      <w:r>
        <w:rPr>
          <w:color w:val="444444"/>
        </w:rPr>
        <w:t>Implementation cost estimate: ₹25–40 lakh (one-time) for integration, testing, and change management. Payback period: 1–2 months based on claim recovery alone.</w:t>
      </w:r>
    </w:p>
    <w:p w14:paraId="5A822C09" w14:textId="77777777" w:rsidR="003B6D8D" w:rsidRDefault="00000000">
      <w:pPr>
        <w:pStyle w:val="Heading1"/>
        <w:pBdr>
          <w:bottom w:val="single" w:sz="6" w:space="1" w:color="2E75B6"/>
        </w:pBdr>
      </w:pPr>
      <w:r>
        <w:t>5. Model Performance Summary</w:t>
      </w:r>
    </w:p>
    <w:p w14:paraId="4EE044D6" w14:textId="77777777" w:rsidR="003B6D8D" w:rsidRDefault="00000000">
      <w:pPr>
        <w:spacing w:after="160"/>
      </w:pPr>
      <w:r>
        <w:rPr>
          <w:color w:val="000000"/>
        </w:rPr>
        <w:t xml:space="preserve">Both models are trained on a time-based 80/20 split (no data leakage) and tuned via 3-fold </w:t>
      </w:r>
      <w:proofErr w:type="spellStart"/>
      <w:r>
        <w:rPr>
          <w:color w:val="000000"/>
        </w:rPr>
        <w:t>GridSearchCV</w:t>
      </w:r>
      <w:proofErr w:type="spellEnd"/>
      <w:r>
        <w:rPr>
          <w:color w:val="000000"/>
        </w:rPr>
        <w:t xml:space="preserve"> cross-validation. Key performance metrics: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560"/>
        <w:gridCol w:w="2000"/>
      </w:tblGrid>
      <w:tr w:rsidR="003B6D8D" w14:paraId="3D0C0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DB158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92A26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2E1F3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Accuracy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30191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Key Business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FECCC" w14:textId="77777777" w:rsidR="003B6D8D" w:rsidRDefault="00000000">
            <w:r>
              <w:rPr>
                <w:b/>
                <w:bCs/>
                <w:color w:val="FFFFFF"/>
                <w:sz w:val="18"/>
                <w:szCs w:val="18"/>
              </w:rPr>
              <w:t>CV F1 (Macro)</w:t>
            </w:r>
          </w:p>
        </w:tc>
      </w:tr>
      <w:tr w:rsidR="003B6D8D" w14:paraId="5C7B2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9268" w14:textId="77777777" w:rsidR="003B6D8D" w:rsidRDefault="00000000">
            <w:r>
              <w:rPr>
                <w:sz w:val="18"/>
                <w:szCs w:val="18"/>
              </w:rPr>
              <w:t>Model A — Visit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5668" w14:textId="77777777" w:rsidR="003B6D8D" w:rsidRDefault="00000000">
            <w:r>
              <w:rPr>
                <w:sz w:val="18"/>
                <w:szCs w:val="18"/>
              </w:rPr>
              <w:t>Random Forest (Tuned)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F9739" w14:textId="77777777" w:rsidR="003B6D8D" w:rsidRDefault="00000000">
            <w:r>
              <w:rPr>
                <w:sz w:val="18"/>
                <w:szCs w:val="18"/>
              </w:rPr>
              <w:t>45.6%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9051A" w14:textId="77777777" w:rsidR="003B6D8D" w:rsidRDefault="00000000">
            <w:r>
              <w:rPr>
                <w:sz w:val="18"/>
                <w:szCs w:val="18"/>
              </w:rPr>
              <w:t>High-Risk Recall: 28.3%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59468" w14:textId="77777777" w:rsidR="003B6D8D" w:rsidRDefault="00000000">
            <w:r>
              <w:rPr>
                <w:sz w:val="18"/>
                <w:szCs w:val="18"/>
              </w:rPr>
              <w:t>0.37</w:t>
            </w:r>
          </w:p>
        </w:tc>
      </w:tr>
      <w:tr w:rsidR="003B6D8D" w14:paraId="75BF4B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7B2C" w14:textId="77777777" w:rsidR="003B6D8D" w:rsidRDefault="00000000">
            <w:r>
              <w:rPr>
                <w:sz w:val="18"/>
                <w:szCs w:val="18"/>
              </w:rPr>
              <w:t>Model B — Claim Outcome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502D" w14:textId="77777777" w:rsidR="003B6D8D" w:rsidRDefault="00000000">
            <w:r>
              <w:rPr>
                <w:sz w:val="18"/>
                <w:szCs w:val="18"/>
              </w:rPr>
              <w:t>Random Forest (Tuned)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ABEAA" w14:textId="77777777" w:rsidR="003B6D8D" w:rsidRDefault="00000000">
            <w:r>
              <w:rPr>
                <w:sz w:val="18"/>
                <w:szCs w:val="18"/>
              </w:rPr>
              <w:t>44.0%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16462" w14:textId="77777777" w:rsidR="003B6D8D" w:rsidRDefault="00000000">
            <w:r>
              <w:rPr>
                <w:sz w:val="18"/>
                <w:szCs w:val="18"/>
              </w:rPr>
              <w:t>Rejected Recall: 76.4%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501B5" w14:textId="77777777" w:rsidR="003B6D8D" w:rsidRDefault="00000000">
            <w:r>
              <w:rPr>
                <w:sz w:val="18"/>
                <w:szCs w:val="18"/>
              </w:rPr>
              <w:t>0.66</w:t>
            </w:r>
          </w:p>
        </w:tc>
      </w:tr>
    </w:tbl>
    <w:p w14:paraId="46B20AAD" w14:textId="77777777" w:rsidR="003B6D8D" w:rsidRDefault="003B6D8D">
      <w:pPr>
        <w:spacing w:after="160"/>
      </w:pPr>
    </w:p>
    <w:p w14:paraId="37507906" w14:textId="77777777" w:rsidR="003B6D8D" w:rsidRDefault="00000000">
      <w:pPr>
        <w:spacing w:after="160"/>
      </w:pPr>
      <w:r>
        <w:rPr>
          <w:color w:val="444444"/>
        </w:rPr>
        <w:t>Note: Overall accuracy of 45.6% (Model A) and 44.0% (Model B) reflects a three-class prediction challenge with label noise in synthetic data. The business-critical metric is class-specific recall for the high-stakes minority classes, not overall accuracy.</w:t>
      </w:r>
    </w:p>
    <w:p w14:paraId="253F9D6B" w14:textId="77777777" w:rsidR="003B6D8D" w:rsidRDefault="00000000">
      <w:pPr>
        <w:pStyle w:val="Heading1"/>
        <w:pBdr>
          <w:bottom w:val="single" w:sz="6" w:space="1" w:color="2E75B6"/>
        </w:pBdr>
      </w:pPr>
      <w:r>
        <w:lastRenderedPageBreak/>
        <w:t>6. Business Recommendations</w:t>
      </w:r>
    </w:p>
    <w:p w14:paraId="1486DB3B" w14:textId="77777777" w:rsidR="003B6D8D" w:rsidRDefault="00000000">
      <w:pPr>
        <w:pStyle w:val="Heading2"/>
      </w:pPr>
      <w:r>
        <w:t>6.1 Immediate Actions (0–30 days)</w:t>
      </w:r>
    </w:p>
    <w:p w14:paraId="1495133E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 Model B into the billing workflow as a pre-submission flag. All claims predicted as Rejected with </w:t>
      </w:r>
      <w:proofErr w:type="spellStart"/>
      <w:r>
        <w:t>billed_amount</w:t>
      </w:r>
      <w:proofErr w:type="spellEnd"/>
      <w:r>
        <w:t xml:space="preserve"> &gt; ₹20,000 should be routed for mandatory Finance review — estimated to prevent ₹3.28 crore in annual write-offs.</w:t>
      </w:r>
    </w:p>
    <w:p w14:paraId="360FFCD4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Engage </w:t>
      </w:r>
      <w:proofErr w:type="spellStart"/>
      <w:r>
        <w:t>SecureLife</w:t>
      </w:r>
      <w:proofErr w:type="spellEnd"/>
      <w:r>
        <w:t xml:space="preserve">, </w:t>
      </w:r>
      <w:proofErr w:type="spellStart"/>
      <w:r>
        <w:t>MediCareX</w:t>
      </w:r>
      <w:proofErr w:type="spellEnd"/>
      <w:r>
        <w:t xml:space="preserve">, and </w:t>
      </w:r>
      <w:proofErr w:type="spellStart"/>
      <w:r>
        <w:t>HealthPlus</w:t>
      </w:r>
      <w:proofErr w:type="spellEnd"/>
      <w:r>
        <w:t xml:space="preserve"> (top 3 rejection-rate insurers) for documentation and coding alignment workshops.</w:t>
      </w:r>
    </w:p>
    <w:p w14:paraId="1E63198C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Audit all high-value visits (top-quartile billed) with zero approved amount — these represent immediately recoverable revenue within the current financial year.</w:t>
      </w:r>
    </w:p>
    <w:p w14:paraId="5AD7E31A" w14:textId="77777777" w:rsidR="003B6D8D" w:rsidRDefault="00000000">
      <w:pPr>
        <w:pStyle w:val="Heading2"/>
      </w:pPr>
      <w:r>
        <w:t>6.2 Medium-Term Actions (30–90 days)</w:t>
      </w:r>
    </w:p>
    <w:p w14:paraId="27305515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Deploy Model A into clinical admissions workflow to support bed allocation and staffing decisions. Prioritise High-Risk patients for early senior physician review.</w:t>
      </w:r>
    </w:p>
    <w:p w14:paraId="043CCB0B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Implement the monitoring dashboard to track PSI drift and prediction distribution weekly. Set automated alerts for PSI &gt; 0.20.</w:t>
      </w:r>
    </w:p>
    <w:p w14:paraId="2B461241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Launch a revenue realization improvement programme for departments below 74.5% — targeting 80% realization as the 12-month goal (estimated uplift: ₹3.1 crore additional recoveries).</w:t>
      </w:r>
    </w:p>
    <w:p w14:paraId="3A37165D" w14:textId="77777777" w:rsidR="003B6D8D" w:rsidRDefault="00000000">
      <w:pPr>
        <w:pStyle w:val="Heading2"/>
      </w:pPr>
      <w:r>
        <w:t>6.3 Strategic Actions (90+ days)</w:t>
      </w:r>
    </w:p>
    <w:p w14:paraId="6E61C3F3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Retrain both models quarterly on a rolling 12-month window with </w:t>
      </w:r>
      <w:proofErr w:type="spellStart"/>
      <w:r>
        <w:t>GridSearchCV</w:t>
      </w:r>
      <w:proofErr w:type="spellEnd"/>
      <w:r>
        <w:t xml:space="preserve"> tuning. Use 2-week shadow mode before production promotion.</w:t>
      </w:r>
    </w:p>
    <w:p w14:paraId="37A73D22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Integrate the </w:t>
      </w:r>
      <w:proofErr w:type="spellStart"/>
      <w:r>
        <w:t>FastAPI</w:t>
      </w:r>
      <w:proofErr w:type="spellEnd"/>
      <w:r>
        <w:t xml:space="preserve"> service with the HIS and billing dashboards for real-time predictions at point of care and billing entry.</w:t>
      </w:r>
    </w:p>
    <w:p w14:paraId="25E124EF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Expand the platform with a length-of-stay regression model and readmission risk classifier to build a comprehensive clinical intelligence suite — estimated additional ROI: ₹1.5–2.0 crore from LOS optimisation.</w:t>
      </w:r>
    </w:p>
    <w:p w14:paraId="4952A7A9" w14:textId="77777777" w:rsidR="003B6D8D" w:rsidRDefault="00000000">
      <w:pPr>
        <w:pStyle w:val="Heading1"/>
        <w:pBdr>
          <w:bottom w:val="single" w:sz="6" w:space="1" w:color="2E75B6"/>
        </w:pBdr>
      </w:pPr>
      <w:r>
        <w:t>7. Deployment &amp; Governance</w:t>
      </w:r>
    </w:p>
    <w:p w14:paraId="02F6D923" w14:textId="77777777" w:rsidR="003B6D8D" w:rsidRDefault="00000000">
      <w:pPr>
        <w:spacing w:after="160"/>
      </w:pPr>
      <w:r>
        <w:rPr>
          <w:color w:val="000000"/>
        </w:rPr>
        <w:t xml:space="preserve">The platform is containerised (Docker +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) for deployment to any cloud or on-premises environment. All predictions are logged with timestamp, model version, and input hash. A dedicated Governance &amp; Compliance Document covers assumptions, limitations, retraining triggers, fairness obligations, and incident response procedures.</w:t>
      </w:r>
    </w:p>
    <w:p w14:paraId="52F4C5EA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Model Card: documents performance, limitations, and assumptions for each model version.</w:t>
      </w:r>
    </w:p>
    <w:p w14:paraId="135996AD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Drift monitoring: PSI-based feature drift detection with quarterly retraining trigger.</w:t>
      </w:r>
    </w:p>
    <w:p w14:paraId="6EF62E35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Fairness audits: quarterly segmentation by gender, city, and insurance provider.</w:t>
      </w:r>
    </w:p>
    <w:p w14:paraId="75578C67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Decision-support only: no clinical or financial decision may be made solely on AI output without human review.</w:t>
      </w:r>
    </w:p>
    <w:p w14:paraId="3AB253DD" w14:textId="77777777" w:rsidR="003B6D8D" w:rsidRDefault="00000000">
      <w:pPr>
        <w:pStyle w:val="ListParagraph"/>
        <w:numPr>
          <w:ilvl w:val="0"/>
          <w:numId w:val="2"/>
        </w:numPr>
        <w:spacing w:after="80"/>
      </w:pPr>
      <w:r>
        <w:t>Payback period: estimated 1–2 months based on claim recovery savings alone.</w:t>
      </w:r>
    </w:p>
    <w:p w14:paraId="66481648" w14:textId="3501218A" w:rsidR="003B6D8D" w:rsidRDefault="003B6D8D">
      <w:pPr>
        <w:spacing w:before="400" w:after="80"/>
      </w:pPr>
    </w:p>
    <w:sectPr w:rsidR="003B6D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6046" w14:textId="77777777" w:rsidR="004518D5" w:rsidRDefault="004518D5">
      <w:r>
        <w:separator/>
      </w:r>
    </w:p>
  </w:endnote>
  <w:endnote w:type="continuationSeparator" w:id="0">
    <w:p w14:paraId="63205371" w14:textId="77777777" w:rsidR="004518D5" w:rsidRDefault="00451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C51B" w14:textId="77777777" w:rsidR="003B6D8D" w:rsidRDefault="00000000">
    <w:pPr>
      <w:jc w:val="center"/>
    </w:pPr>
    <w:r>
      <w:rPr>
        <w:color w:val="888888"/>
        <w:sz w:val="16"/>
        <w:szCs w:val="16"/>
      </w:rPr>
      <w:t xml:space="preserve">Amarendranadh Veerepalli  |  Capstone Project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5656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5656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63F4" w14:textId="77777777" w:rsidR="004518D5" w:rsidRDefault="004518D5">
      <w:r>
        <w:separator/>
      </w:r>
    </w:p>
  </w:footnote>
  <w:footnote w:type="continuationSeparator" w:id="0">
    <w:p w14:paraId="601A39FE" w14:textId="77777777" w:rsidR="004518D5" w:rsidRDefault="00451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81529" w14:textId="18E2F5B1" w:rsidR="003B6D8D" w:rsidRDefault="003B6D8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588"/>
    <w:multiLevelType w:val="hybridMultilevel"/>
    <w:tmpl w:val="2C2A8BF2"/>
    <w:lvl w:ilvl="0" w:tplc="6C985C32">
      <w:start w:val="1"/>
      <w:numFmt w:val="bullet"/>
      <w:lvlText w:val="●"/>
      <w:lvlJc w:val="left"/>
      <w:pPr>
        <w:ind w:left="720" w:hanging="360"/>
      </w:pPr>
    </w:lvl>
    <w:lvl w:ilvl="1" w:tplc="431021DC">
      <w:start w:val="1"/>
      <w:numFmt w:val="bullet"/>
      <w:lvlText w:val="○"/>
      <w:lvlJc w:val="left"/>
      <w:pPr>
        <w:ind w:left="1440" w:hanging="360"/>
      </w:pPr>
    </w:lvl>
    <w:lvl w:ilvl="2" w:tplc="6288901E">
      <w:start w:val="1"/>
      <w:numFmt w:val="bullet"/>
      <w:lvlText w:val="■"/>
      <w:lvlJc w:val="left"/>
      <w:pPr>
        <w:ind w:left="2160" w:hanging="360"/>
      </w:pPr>
    </w:lvl>
    <w:lvl w:ilvl="3" w:tplc="4170C7E4">
      <w:start w:val="1"/>
      <w:numFmt w:val="bullet"/>
      <w:lvlText w:val="●"/>
      <w:lvlJc w:val="left"/>
      <w:pPr>
        <w:ind w:left="2880" w:hanging="360"/>
      </w:pPr>
    </w:lvl>
    <w:lvl w:ilvl="4" w:tplc="2472886A">
      <w:start w:val="1"/>
      <w:numFmt w:val="bullet"/>
      <w:lvlText w:val="○"/>
      <w:lvlJc w:val="left"/>
      <w:pPr>
        <w:ind w:left="3600" w:hanging="360"/>
      </w:pPr>
    </w:lvl>
    <w:lvl w:ilvl="5" w:tplc="F2D684E8">
      <w:start w:val="1"/>
      <w:numFmt w:val="bullet"/>
      <w:lvlText w:val="■"/>
      <w:lvlJc w:val="left"/>
      <w:pPr>
        <w:ind w:left="4320" w:hanging="360"/>
      </w:pPr>
    </w:lvl>
    <w:lvl w:ilvl="6" w:tplc="255E0790">
      <w:start w:val="1"/>
      <w:numFmt w:val="bullet"/>
      <w:lvlText w:val="●"/>
      <w:lvlJc w:val="left"/>
      <w:pPr>
        <w:ind w:left="5040" w:hanging="360"/>
      </w:pPr>
    </w:lvl>
    <w:lvl w:ilvl="7" w:tplc="9962F0F2">
      <w:start w:val="1"/>
      <w:numFmt w:val="bullet"/>
      <w:lvlText w:val="●"/>
      <w:lvlJc w:val="left"/>
      <w:pPr>
        <w:ind w:left="5760" w:hanging="360"/>
      </w:pPr>
    </w:lvl>
    <w:lvl w:ilvl="8" w:tplc="FA124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BA223A"/>
    <w:multiLevelType w:val="hybridMultilevel"/>
    <w:tmpl w:val="7CA09558"/>
    <w:lvl w:ilvl="0" w:tplc="D53E5896">
      <w:start w:val="1"/>
      <w:numFmt w:val="bullet"/>
      <w:lvlText w:val="•"/>
      <w:lvlJc w:val="left"/>
      <w:pPr>
        <w:ind w:left="720" w:hanging="360"/>
      </w:pPr>
    </w:lvl>
    <w:lvl w:ilvl="1" w:tplc="EBEA0572">
      <w:numFmt w:val="decimal"/>
      <w:lvlText w:val=""/>
      <w:lvlJc w:val="left"/>
    </w:lvl>
    <w:lvl w:ilvl="2" w:tplc="47FABFFA">
      <w:numFmt w:val="decimal"/>
      <w:lvlText w:val=""/>
      <w:lvlJc w:val="left"/>
    </w:lvl>
    <w:lvl w:ilvl="3" w:tplc="5EF07574">
      <w:numFmt w:val="decimal"/>
      <w:lvlText w:val=""/>
      <w:lvlJc w:val="left"/>
    </w:lvl>
    <w:lvl w:ilvl="4" w:tplc="79565532">
      <w:numFmt w:val="decimal"/>
      <w:lvlText w:val=""/>
      <w:lvlJc w:val="left"/>
    </w:lvl>
    <w:lvl w:ilvl="5" w:tplc="ED9ADBCC">
      <w:numFmt w:val="decimal"/>
      <w:lvlText w:val=""/>
      <w:lvlJc w:val="left"/>
    </w:lvl>
    <w:lvl w:ilvl="6" w:tplc="D90AFAA6">
      <w:numFmt w:val="decimal"/>
      <w:lvlText w:val=""/>
      <w:lvlJc w:val="left"/>
    </w:lvl>
    <w:lvl w:ilvl="7" w:tplc="6F125E3A">
      <w:numFmt w:val="decimal"/>
      <w:lvlText w:val=""/>
      <w:lvlJc w:val="left"/>
    </w:lvl>
    <w:lvl w:ilvl="8" w:tplc="61DA42DC">
      <w:numFmt w:val="decimal"/>
      <w:lvlText w:val=""/>
      <w:lvlJc w:val="left"/>
    </w:lvl>
  </w:abstractNum>
  <w:num w:numId="1" w16cid:durableId="1035739964">
    <w:abstractNumId w:val="0"/>
    <w:lvlOverride w:ilvl="0">
      <w:startOverride w:val="1"/>
    </w:lvlOverride>
  </w:num>
  <w:num w:numId="2" w16cid:durableId="1488474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D8D"/>
    <w:rsid w:val="00356567"/>
    <w:rsid w:val="003B6D8D"/>
    <w:rsid w:val="004518D5"/>
    <w:rsid w:val="008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D891E"/>
  <w15:docId w15:val="{6FA6E693-30EB-8649-B792-2A8498E8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5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567"/>
  </w:style>
  <w:style w:type="paragraph" w:styleId="Footer">
    <w:name w:val="footer"/>
    <w:basedOn w:val="Normal"/>
    <w:link w:val="FooterChar"/>
    <w:uiPriority w:val="99"/>
    <w:unhideWhenUsed/>
    <w:rsid w:val="003565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1238</Words>
  <Characters>7360</Characters>
  <Application>Microsoft Office Word</Application>
  <DocSecurity>0</DocSecurity>
  <Lines>198</Lines>
  <Paragraphs>153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Amarendranadh Veerepalli</cp:lastModifiedBy>
  <cp:revision>2</cp:revision>
  <dcterms:created xsi:type="dcterms:W3CDTF">2026-04-14T07:56:00Z</dcterms:created>
  <dcterms:modified xsi:type="dcterms:W3CDTF">2026-04-18T09:24:00Z</dcterms:modified>
</cp:coreProperties>
</file>