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E5155"/>
          <w:sz w:val="40"/>
          <w:szCs w:val="40"/>
        </w:rPr>
        <w:t xml:space="preserve">MODEL EXPLAINABILITY SUMMARY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F6E70"/>
          <w:sz w:val="26"/>
          <w:szCs w:val="26"/>
        </w:rPr>
        <w:t xml:space="preserve">Hospital Operations &amp; Revenue Risk Intelligence Platform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Amarendranadh Veerepalli  |  April 2026  |  Phase 4 Deliverable</w:t>
      </w:r>
    </w:p>
    <w:p>
      <w:pPr>
        <w:pBdr>
          <w:bottom w:val="single" w:color="1E5155" w:sz="4" w:space="1"/>
        </w:pBdr>
        <w:spacing w:after="120" w:before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5155"/>
          <w:sz w:val="32"/>
          <w:szCs w:val="32"/>
        </w:rPr>
        <w:t xml:space="preserve">1. Overview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This document explains which input features drive predictions for the two classification models deployed in the Hospital Operations &amp; Revenue Risk Intelligence Platform. Feature importance is extracted from the tuned Random Forest models and translated into business language for clinical and finance stakeholders.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1E5155" w:sz="1"/>
              <w:left w:val="single" w:color="1E5155" w:sz="1"/>
              <w:bottom w:val="single" w:color="1E5155" w:sz="1"/>
              <w:right w:val="single" w:color="1E5155" w:sz="1"/>
            </w:tcBorders>
            <w:shd w:fill="1E5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560"/>
            <w:tcBorders>
              <w:top w:val="single" w:color="1E5155" w:sz="1"/>
              <w:left w:val="single" w:color="1E5155" w:sz="1"/>
              <w:bottom w:val="single" w:color="1E5155" w:sz="1"/>
              <w:right w:val="single" w:color="1E5155" w:sz="1"/>
            </w:tcBorders>
            <w:shd w:fill="1E5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Variable</w:t>
            </w:r>
          </w:p>
        </w:tc>
        <w:tc>
          <w:tcPr>
            <w:tcW w:type="dxa" w:w="1560"/>
            <w:tcBorders>
              <w:top w:val="single" w:color="1E5155" w:sz="1"/>
              <w:left w:val="single" w:color="1E5155" w:sz="1"/>
              <w:bottom w:val="single" w:color="1E5155" w:sz="1"/>
              <w:right w:val="single" w:color="1E5155" w:sz="1"/>
            </w:tcBorders>
            <w:shd w:fill="1E5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Classes</w:t>
            </w:r>
          </w:p>
        </w:tc>
        <w:tc>
          <w:tcPr>
            <w:tcW w:type="dxa" w:w="1560"/>
            <w:tcBorders>
              <w:top w:val="single" w:color="1E5155" w:sz="1"/>
              <w:left w:val="single" w:color="1E5155" w:sz="1"/>
              <w:bottom w:val="single" w:color="1E5155" w:sz="1"/>
              <w:right w:val="single" w:color="1E5155" w:sz="1"/>
            </w:tcBorders>
            <w:shd w:fill="1E5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1560"/>
            <w:tcBorders>
              <w:top w:val="single" w:color="1E5155" w:sz="1"/>
              <w:left w:val="single" w:color="1E5155" w:sz="1"/>
              <w:bottom w:val="single" w:color="1E5155" w:sz="1"/>
              <w:right w:val="single" w:color="1E5155" w:sz="1"/>
            </w:tcBorders>
            <w:shd w:fill="1E5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Business Recall</w:t>
            </w:r>
          </w:p>
        </w:tc>
        <w:tc>
          <w:tcPr>
            <w:tcW w:type="dxa" w:w="1560"/>
            <w:tcBorders>
              <w:top w:val="single" w:color="1E5155" w:sz="1"/>
              <w:left w:val="single" w:color="1E5155" w:sz="1"/>
              <w:bottom w:val="single" w:color="1E5155" w:sz="1"/>
              <w:right w:val="single" w:color="1E5155" w:sz="1"/>
            </w:tcBorders>
            <w:shd w:fill="1E5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Drivers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A — Visit Risk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risk_score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 / Medium / 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Random Forest (Tuned)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28.3%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LOS-based features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B — Claim Outcome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claim_status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Paid / Pending / Rejected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Random Forest (Tuned)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76.4% 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Insurer &amp; billing features</w:t>
            </w:r>
          </w:p>
        </w:tc>
      </w:tr>
    </w:tbl>
    <w:p>
      <w:pPr>
        <w:pBdr>
          <w:bottom w:val="single" w:color="1E5155" w:sz="4" w:space="1"/>
        </w:pBdr>
        <w:spacing w:after="120" w:before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5155"/>
          <w:sz w:val="32"/>
          <w:szCs w:val="32"/>
        </w:rPr>
        <w:t xml:space="preserve">2. Model A — Visit Risk Classifier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5155"/>
          <w:sz w:val="26"/>
          <w:szCs w:val="26"/>
        </w:rPr>
        <w:t xml:space="preserve">2.1 Top Feature Drivers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following features are the strongest predictors of whether a hospital visit will be classified as Low, Medium, or High risk. Rankings are based on Random Forest feature importance (Gini impurity reduction).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1E5155" w:sz="1"/>
              <w:left w:val="single" w:color="1E5155" w:sz="1"/>
              <w:bottom w:val="single" w:color="1E5155" w:sz="1"/>
              <w:right w:val="single" w:color="1E5155" w:sz="1"/>
            </w:tcBorders>
            <w:shd w:fill="1E5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1872"/>
            <w:tcBorders>
              <w:top w:val="single" w:color="1E5155" w:sz="1"/>
              <w:left w:val="single" w:color="1E5155" w:sz="1"/>
              <w:bottom w:val="single" w:color="1E5155" w:sz="1"/>
              <w:right w:val="single" w:color="1E5155" w:sz="1"/>
            </w:tcBorders>
            <w:shd w:fill="1E5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872"/>
            <w:tcBorders>
              <w:top w:val="single" w:color="1E5155" w:sz="1"/>
              <w:left w:val="single" w:color="1E5155" w:sz="1"/>
              <w:bottom w:val="single" w:color="1E5155" w:sz="1"/>
              <w:right w:val="single" w:color="1E5155" w:sz="1"/>
            </w:tcBorders>
            <w:shd w:fill="1E5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72"/>
            <w:tcBorders>
              <w:top w:val="single" w:color="1E5155" w:sz="1"/>
              <w:left w:val="single" w:color="1E5155" w:sz="1"/>
              <w:bottom w:val="single" w:color="1E5155" w:sz="1"/>
              <w:right w:val="single" w:color="1E5155" w:sz="1"/>
            </w:tcBorders>
            <w:shd w:fill="1E5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Importance</w:t>
            </w:r>
          </w:p>
        </w:tc>
        <w:tc>
          <w:tcPr>
            <w:tcW w:type="dxa" w:w="1872"/>
            <w:tcBorders>
              <w:top w:val="single" w:color="1E5155" w:sz="1"/>
              <w:left w:val="single" w:color="1E5155" w:sz="1"/>
              <w:bottom w:val="single" w:color="1E5155" w:sz="1"/>
              <w:right w:val="single" w:color="1E5155" w:sz="1"/>
            </w:tcBorders>
            <w:shd w:fill="1E5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Explanation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length_of_stay_hours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Numeric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Longer stays directly indicate clinical complexity — the single strongest signal available at point of admission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los_vs_dept_avg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Numeric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Visits exceeding their department average LOS signal disproportionate complexity relative to peers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patient_avg_los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Numeric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patient's historical LOS pattern is a strong predictor of current visit complexity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chronic_flag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Binary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Chronic conditions directly elevate clinical risk — strong binary discriminator between Low and High classes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department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ICU and Cardiology inherently carry higher risk profiles than OPD or General Medicine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days_since_registration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Numeric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Newer patients have less care history, increasing prediction uncertainty and risk classification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Numeric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Older patients carry higher baseline clinical risk across all departments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visit_type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Low–Medium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Emergency visits face higher acuity than routine OPD — but less discriminatory than LOS features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patient_visit_freq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Numeric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Low–Medium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Frequent visitors often have complex chronic conditions, correlating with higher risk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dept_avg_los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Numeric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Department baseline LOS — used as denominator for los_vs_dept_avg; moderate direct importance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5155"/>
          <w:sz w:val="26"/>
          <w:szCs w:val="26"/>
        </w:rPr>
        <w:t xml:space="preserve">2.2 Clinical Interpretation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model is primarily driven by LOS-related features (ranks 1–3), confirming that duration of stay is the best available proxy for visit complexity in operational data without clinical vitals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chronic_flag (rank 4) adds strong binary signal — patients with chronic conditions are systematically more likely to be High-Risk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department (rank 5) captures structural risk differences — ICU/Cardiology patients face inherently higher clinical complexity than OPD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days_since_registration drift (PSI = 1.27 in Phase 6) means this feature must be monitored carefully — its importance makes the model sensitive to registration data quality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Features absent from top 10: gender, city, is_weekend — these carry minimal predictive power for visit risk in this dataset, confirming risk is driven by clinical complexity, not demographics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5155"/>
          <w:sz w:val="26"/>
          <w:szCs w:val="26"/>
        </w:rPr>
        <w:t xml:space="preserve">2.3 Fairness Analysis — High-Risk Recall by Segment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High-Risk Recall is the business-critical metric for Model A. The table below shows how recall varies across demographic segments. Values below the 0.65 production threshold are highlighted.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F6E70"/>
          <w:sz w:val="22"/>
          <w:szCs w:val="22"/>
        </w:rPr>
        <w:t xml:space="preserve">By Gender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160"/>
        <w:gridCol w:w="3600"/>
      </w:tblGrid>
      <w:tr>
        <w:tc>
          <w:tcPr>
            <w:tcW w:type="dxa" w:w="1800"/>
            <w:tcBorders>
              <w:top w:val="single" w:color="1E5155" w:sz="1"/>
              <w:left w:val="single" w:color="1E5155" w:sz="1"/>
              <w:bottom w:val="single" w:color="1E5155" w:sz="1"/>
              <w:right w:val="single" w:color="1E5155" w:sz="1"/>
            </w:tcBorders>
            <w:shd w:fill="1E5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Gender</w:t>
            </w:r>
          </w:p>
        </w:tc>
        <w:tc>
          <w:tcPr>
            <w:tcW w:type="dxa" w:w="1800"/>
            <w:tcBorders>
              <w:top w:val="single" w:color="1E5155" w:sz="1"/>
              <w:left w:val="single" w:color="1E5155" w:sz="1"/>
              <w:bottom w:val="single" w:color="1E5155" w:sz="1"/>
              <w:right w:val="single" w:color="1E5155" w:sz="1"/>
            </w:tcBorders>
            <w:shd w:fill="1E5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Sample (n)</w:t>
            </w:r>
          </w:p>
        </w:tc>
        <w:tc>
          <w:tcPr>
            <w:tcW w:type="dxa" w:w="2160"/>
            <w:tcBorders>
              <w:top w:val="single" w:color="1E5155" w:sz="1"/>
              <w:left w:val="single" w:color="1E5155" w:sz="1"/>
              <w:bottom w:val="single" w:color="1E5155" w:sz="1"/>
              <w:right w:val="single" w:color="1E5155" w:sz="1"/>
            </w:tcBorders>
            <w:shd w:fill="1E5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High-Risk Recall</w:t>
            </w:r>
          </w:p>
        </w:tc>
        <w:tc>
          <w:tcPr>
            <w:tcW w:type="dxa" w:w="3600"/>
            <w:tcBorders>
              <w:top w:val="single" w:color="1E5155" w:sz="1"/>
              <w:left w:val="single" w:color="1E5155" w:sz="1"/>
              <w:bottom w:val="single" w:color="1E5155" w:sz="1"/>
              <w:right w:val="single" w:color="1E5155" w:sz="1"/>
            </w:tcBorders>
            <w:shd w:fill="1E5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5155"/>
                <w:sz w:val="20"/>
                <w:szCs w:val="20"/>
              </w:rPr>
              <w:t xml:space="preserve">2470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0.36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Above average — acceptable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Female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5155"/>
                <w:sz w:val="20"/>
                <w:szCs w:val="20"/>
              </w:rPr>
              <w:t xml:space="preserve">2530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0.212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Below average — equity gap identified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F6E70"/>
          <w:sz w:val="22"/>
          <w:szCs w:val="22"/>
        </w:rPr>
        <w:t xml:space="preserve">By City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160"/>
        <w:gridCol w:w="3600"/>
      </w:tblGrid>
      <w:tr>
        <w:tc>
          <w:tcPr>
            <w:tcW w:type="dxa" w:w="1800"/>
            <w:tcBorders>
              <w:top w:val="single" w:color="1E5155" w:sz="1"/>
              <w:left w:val="single" w:color="1E5155" w:sz="1"/>
              <w:bottom w:val="single" w:color="1E5155" w:sz="1"/>
              <w:right w:val="single" w:color="1E5155" w:sz="1"/>
            </w:tcBorders>
            <w:shd w:fill="1E5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City</w:t>
            </w:r>
          </w:p>
        </w:tc>
        <w:tc>
          <w:tcPr>
            <w:tcW w:type="dxa" w:w="1800"/>
            <w:tcBorders>
              <w:top w:val="single" w:color="1E5155" w:sz="1"/>
              <w:left w:val="single" w:color="1E5155" w:sz="1"/>
              <w:bottom w:val="single" w:color="1E5155" w:sz="1"/>
              <w:right w:val="single" w:color="1E5155" w:sz="1"/>
            </w:tcBorders>
            <w:shd w:fill="1E5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Sample (n)</w:t>
            </w:r>
          </w:p>
        </w:tc>
        <w:tc>
          <w:tcPr>
            <w:tcW w:type="dxa" w:w="2160"/>
            <w:tcBorders>
              <w:top w:val="single" w:color="1E5155" w:sz="1"/>
              <w:left w:val="single" w:color="1E5155" w:sz="1"/>
              <w:bottom w:val="single" w:color="1E5155" w:sz="1"/>
              <w:right w:val="single" w:color="1E5155" w:sz="1"/>
            </w:tcBorders>
            <w:shd w:fill="1E5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High-Risk Recall</w:t>
            </w:r>
          </w:p>
        </w:tc>
        <w:tc>
          <w:tcPr>
            <w:tcW w:type="dxa" w:w="3600"/>
            <w:tcBorders>
              <w:top w:val="single" w:color="1E5155" w:sz="1"/>
              <w:left w:val="single" w:color="1E5155" w:sz="1"/>
              <w:bottom w:val="single" w:color="1E5155" w:sz="1"/>
              <w:right w:val="single" w:color="1E5155" w:sz="1"/>
            </w:tcBorders>
            <w:shd w:fill="1E5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Delhi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5155"/>
                <w:sz w:val="20"/>
                <w:szCs w:val="20"/>
              </w:rPr>
              <w:t xml:space="preserve">849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0.63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Strong — above threshold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5155"/>
                <w:sz w:val="20"/>
                <w:szCs w:val="20"/>
              </w:rPr>
              <w:t xml:space="preserve">789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0.552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Moderate — below threshold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Hyderabad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5155"/>
                <w:sz w:val="20"/>
                <w:szCs w:val="20"/>
              </w:rPr>
              <w:t xml:space="preserve">893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0.339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Weak — significant gap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Bangalore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5155"/>
                <w:sz w:val="20"/>
                <w:szCs w:val="20"/>
              </w:rPr>
              <w:t xml:space="preserve">829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0.046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Very low — equity concern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Mumbai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5155"/>
                <w:sz w:val="20"/>
                <w:szCs w:val="20"/>
              </w:rPr>
              <w:t xml:space="preserve">816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0.036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Very low — equity concern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Chennai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5155"/>
                <w:sz w:val="20"/>
                <w:szCs w:val="20"/>
              </w:rPr>
              <w:t xml:space="preserve">824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0.036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Very low — equity concern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F6E70"/>
          <w:sz w:val="22"/>
          <w:szCs w:val="22"/>
        </w:rPr>
        <w:t xml:space="preserve">By Insurance Provider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00"/>
        <w:gridCol w:w="2160"/>
        <w:gridCol w:w="3060"/>
      </w:tblGrid>
      <w:tr>
        <w:tc>
          <w:tcPr>
            <w:tcW w:type="dxa" w:w="2340"/>
            <w:tcBorders>
              <w:top w:val="single" w:color="1E5155" w:sz="1"/>
              <w:left w:val="single" w:color="1E5155" w:sz="1"/>
              <w:bottom w:val="single" w:color="1E5155" w:sz="1"/>
              <w:right w:val="single" w:color="1E5155" w:sz="1"/>
            </w:tcBorders>
            <w:shd w:fill="1E5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Insurance Provider</w:t>
            </w:r>
          </w:p>
        </w:tc>
        <w:tc>
          <w:tcPr>
            <w:tcW w:type="dxa" w:w="1800"/>
            <w:tcBorders>
              <w:top w:val="single" w:color="1E5155" w:sz="1"/>
              <w:left w:val="single" w:color="1E5155" w:sz="1"/>
              <w:bottom w:val="single" w:color="1E5155" w:sz="1"/>
              <w:right w:val="single" w:color="1E5155" w:sz="1"/>
            </w:tcBorders>
            <w:shd w:fill="1E5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Sample (n)</w:t>
            </w:r>
          </w:p>
        </w:tc>
        <w:tc>
          <w:tcPr>
            <w:tcW w:type="dxa" w:w="2160"/>
            <w:tcBorders>
              <w:top w:val="single" w:color="1E5155" w:sz="1"/>
              <w:left w:val="single" w:color="1E5155" w:sz="1"/>
              <w:bottom w:val="single" w:color="1E5155" w:sz="1"/>
              <w:right w:val="single" w:color="1E5155" w:sz="1"/>
            </w:tcBorders>
            <w:shd w:fill="1E5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High-Risk Recall</w:t>
            </w:r>
          </w:p>
        </w:tc>
        <w:tc>
          <w:tcPr>
            <w:tcW w:type="dxa" w:w="3060"/>
            <w:tcBorders>
              <w:top w:val="single" w:color="1E5155" w:sz="1"/>
              <w:left w:val="single" w:color="1E5155" w:sz="1"/>
              <w:bottom w:val="single" w:color="1E5155" w:sz="1"/>
              <w:right w:val="single" w:color="1E5155" w:sz="1"/>
            </w:tcBorders>
            <w:shd w:fill="1E5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CareOne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5155"/>
                <w:sz w:val="20"/>
                <w:szCs w:val="20"/>
              </w:rPr>
              <w:t xml:space="preserve">1235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0.306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Below threshold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SecureLife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5155"/>
                <w:sz w:val="20"/>
                <w:szCs w:val="20"/>
              </w:rPr>
              <w:t xml:space="preserve">1200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0.305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Below threshold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MediCareX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5155"/>
                <w:sz w:val="20"/>
                <w:szCs w:val="20"/>
              </w:rPr>
              <w:t xml:space="preserve">1368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0.269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Below threshold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HealthPlus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5155"/>
                <w:sz w:val="20"/>
                <w:szCs w:val="20"/>
              </w:rPr>
              <w:t xml:space="preserve">1197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0.257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Below threshold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0"/>
          <w:szCs w:val="20"/>
        </w:rPr>
        <w:t xml:space="preserve">⚠️  Action required: All cities except Delhi and all insurers are below the 0.65 production threshold for High-Risk Recall. Model A should not be deployed in production for clinical decisions without retraining on enriched data with real clinical features (vitals, lab results, triage scores).</w:t>
      </w:r>
    </w:p>
    <w:p>
      <w:pPr>
        <w:pBdr>
          <w:bottom w:val="single" w:color="1E5155" w:sz="4" w:space="1"/>
        </w:pBdr>
        <w:spacing w:after="120" w:before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5155"/>
          <w:sz w:val="32"/>
          <w:szCs w:val="32"/>
        </w:rPr>
        <w:t xml:space="preserve">3. Model B — Claim Outcome Classifier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5155"/>
          <w:sz w:val="26"/>
          <w:szCs w:val="26"/>
        </w:rPr>
        <w:t xml:space="preserve">3.1 Top Feature Drivers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following features drive prediction of whether a claim will be Paid, Pending, or Rejected before submission. Rankings are based on Random Forest feature importance from the tuned model (depth=12, 200 estimators).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1E5155" w:sz="1"/>
              <w:left w:val="single" w:color="1E5155" w:sz="1"/>
              <w:bottom w:val="single" w:color="1E5155" w:sz="1"/>
              <w:right w:val="single" w:color="1E5155" w:sz="1"/>
            </w:tcBorders>
            <w:shd w:fill="1E5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1872"/>
            <w:tcBorders>
              <w:top w:val="single" w:color="1E5155" w:sz="1"/>
              <w:left w:val="single" w:color="1E5155" w:sz="1"/>
              <w:bottom w:val="single" w:color="1E5155" w:sz="1"/>
              <w:right w:val="single" w:color="1E5155" w:sz="1"/>
            </w:tcBorders>
            <w:shd w:fill="1E5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872"/>
            <w:tcBorders>
              <w:top w:val="single" w:color="1E5155" w:sz="1"/>
              <w:left w:val="single" w:color="1E5155" w:sz="1"/>
              <w:bottom w:val="single" w:color="1E5155" w:sz="1"/>
              <w:right w:val="single" w:color="1E5155" w:sz="1"/>
            </w:tcBorders>
            <w:shd w:fill="1E5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72"/>
            <w:tcBorders>
              <w:top w:val="single" w:color="1E5155" w:sz="1"/>
              <w:left w:val="single" w:color="1E5155" w:sz="1"/>
              <w:bottom w:val="single" w:color="1E5155" w:sz="1"/>
              <w:right w:val="single" w:color="1E5155" w:sz="1"/>
            </w:tcBorders>
            <w:shd w:fill="1E5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Importance</w:t>
            </w:r>
          </w:p>
        </w:tc>
        <w:tc>
          <w:tcPr>
            <w:tcW w:type="dxa" w:w="1872"/>
            <w:tcBorders>
              <w:top w:val="single" w:color="1E5155" w:sz="1"/>
              <w:left w:val="single" w:color="1E5155" w:sz="1"/>
              <w:bottom w:val="single" w:color="1E5155" w:sz="1"/>
              <w:right w:val="single" w:color="1E5155" w:sz="1"/>
            </w:tcBorders>
            <w:shd w:fill="1E5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Explanation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insurer_rejection_rate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Numeric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Very High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Historical rejection rate per insurer — the dominant signal; some insurers systematically reject more claims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billed_amount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Numeric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Higher billed amounts attract greater insurer scrutiny and face elevated rejection risk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bill_per_los_hour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Numeric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Billing intensity per LOS hour — unusually high values raise insurer red flags for overbilling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log_billed_amount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Numeric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Medium–High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Log-transformed billing reduces skew and captures non-linear rejection risk at extreme billing amounts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payment_days_missing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Binary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Structural signal — absent payment data strongly indicates the claim was not paid (Rejected or Pending)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insurance_provider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Insurer identity captures provider-specific policies, documentation requirements, and approval criteria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department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Some departments have more complex billing codes (e.g. ICU, Cardiology) with higher rejection likelihood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visit_type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Low–Medium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 claims face different insurer scrutiny than OPD — emergency billing codes are more frequently challenged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chronic_flag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Binary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Low–Medium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Chronic condition patients have complex billing histories — some insurers apply additional scrutiny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length_of_stay_hours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Numeric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Longer stays correlate with higher billing complexity but effect is already captured in bill_per_los_hour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5155"/>
          <w:sz w:val="26"/>
          <w:szCs w:val="26"/>
        </w:rPr>
        <w:t xml:space="preserve">3.2 Finance Interpretation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insurer_rejection_rate (rank 1) is the dominant driver — this confirms that claim rejection is primarily an insurer behaviour problem, not a patient complexity problem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billed_amount and bill_per_los_hour (ranks 2–3) confirm billing intensity is the second key driver — pre-submission review should focus on high-value claims with unusual billing ratios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payment_days_missing (rank 5) acts as a structural flag — its presence as a top feature confirms the feature engineering in Phase 2 added genuine predictive signal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Absence of demographics (gender, city) from top drivers confirms the model is making financially grounded predictions based on billing behaviour, not demographic proxies — reducing fairness risk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approved_amount is correctly absent — its exclusion prevents data leakage and is verified by this importance analysis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5155"/>
          <w:sz w:val="26"/>
          <w:szCs w:val="26"/>
        </w:rPr>
        <w:t xml:space="preserve">3.3 Business Impact of Key Drivers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E5155" w:sz="1"/>
              <w:left w:val="single" w:color="1E5155" w:sz="1"/>
              <w:bottom w:val="single" w:color="1E5155" w:sz="1"/>
              <w:right w:val="single" w:color="1E5155" w:sz="1"/>
            </w:tcBorders>
            <w:shd w:fill="1E5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Driver Pattern</w:t>
            </w:r>
          </w:p>
        </w:tc>
        <w:tc>
          <w:tcPr>
            <w:tcW w:type="dxa" w:w="3120"/>
            <w:tcBorders>
              <w:top w:val="single" w:color="1E5155" w:sz="1"/>
              <w:left w:val="single" w:color="1E5155" w:sz="1"/>
              <w:bottom w:val="single" w:color="1E5155" w:sz="1"/>
              <w:right w:val="single" w:color="1E5155" w:sz="1"/>
            </w:tcBorders>
            <w:shd w:fill="1E5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Affected Records / Insurers</w:t>
            </w:r>
          </w:p>
        </w:tc>
        <w:tc>
          <w:tcPr>
            <w:tcW w:type="dxa" w:w="3120"/>
            <w:tcBorders>
              <w:top w:val="single" w:color="1E5155" w:sz="1"/>
              <w:left w:val="single" w:color="1E5155" w:sz="1"/>
              <w:bottom w:val="single" w:color="1E5155" w:sz="1"/>
              <w:right w:val="single" w:color="1E5155" w:sz="1"/>
            </w:tcBorders>
            <w:shd w:fill="1E5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Action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insurer_rejection_rate &gt; 15%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SecureLife (15.7%), MediCareX (15.2%), HealthPlus (15.0%)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Prioritise documentation workshops with these three insurers first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billed_amount &gt; 75th percentile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Top-quartile claims (&gt; ~₹28,000)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 all high-value claims for mandatory pre-submission Finance review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bill_per_los_hour anomaly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Billing intensity &gt; 2× department average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Flag for coding audit before submission — most likely source of overbilling errors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payment_days_missing =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~790 records (~3.2% of all visits)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These records represent ₹12.77 crore in unresolved receivables — priority for collections follow-up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5155"/>
          <w:sz w:val="26"/>
          <w:szCs w:val="26"/>
        </w:rPr>
        <w:t xml:space="preserve">3.4 Fairness Analysis — Rejected Recall by Segment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Model B meets both performance and fairness targets. Rejected Recall is consistent across all insurers and cities — confirming the model does not discriminate by geography or insurer identity.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F6E70"/>
          <w:sz w:val="22"/>
          <w:szCs w:val="22"/>
        </w:rPr>
        <w:t xml:space="preserve">By Insurance Provider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00"/>
        <w:gridCol w:w="2160"/>
        <w:gridCol w:w="3060"/>
      </w:tblGrid>
      <w:tr>
        <w:tc>
          <w:tcPr>
            <w:tcW w:type="dxa" w:w="2340"/>
            <w:tcBorders>
              <w:top w:val="single" w:color="1E5155" w:sz="1"/>
              <w:left w:val="single" w:color="1E5155" w:sz="1"/>
              <w:bottom w:val="single" w:color="1E5155" w:sz="1"/>
              <w:right w:val="single" w:color="1E5155" w:sz="1"/>
            </w:tcBorders>
            <w:shd w:fill="1E5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Insurance Provider</w:t>
            </w:r>
          </w:p>
        </w:tc>
        <w:tc>
          <w:tcPr>
            <w:tcW w:type="dxa" w:w="1800"/>
            <w:tcBorders>
              <w:top w:val="single" w:color="1E5155" w:sz="1"/>
              <w:left w:val="single" w:color="1E5155" w:sz="1"/>
              <w:bottom w:val="single" w:color="1E5155" w:sz="1"/>
              <w:right w:val="single" w:color="1E5155" w:sz="1"/>
            </w:tcBorders>
            <w:shd w:fill="1E5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Sample (n)</w:t>
            </w:r>
          </w:p>
        </w:tc>
        <w:tc>
          <w:tcPr>
            <w:tcW w:type="dxa" w:w="2160"/>
            <w:tcBorders>
              <w:top w:val="single" w:color="1E5155" w:sz="1"/>
              <w:left w:val="single" w:color="1E5155" w:sz="1"/>
              <w:bottom w:val="single" w:color="1E5155" w:sz="1"/>
              <w:right w:val="single" w:color="1E5155" w:sz="1"/>
            </w:tcBorders>
            <w:shd w:fill="1E5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Rejected Recall</w:t>
            </w:r>
          </w:p>
        </w:tc>
        <w:tc>
          <w:tcPr>
            <w:tcW w:type="dxa" w:w="3060"/>
            <w:tcBorders>
              <w:top w:val="single" w:color="1E5155" w:sz="1"/>
              <w:left w:val="single" w:color="1E5155" w:sz="1"/>
              <w:bottom w:val="single" w:color="1E5155" w:sz="1"/>
              <w:right w:val="single" w:color="1E5155" w:sz="1"/>
            </w:tcBorders>
            <w:shd w:fill="1E5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SecureLife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5155"/>
                <w:sz w:val="20"/>
                <w:szCs w:val="20"/>
              </w:rPr>
              <w:t xml:space="preserve">1200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5155"/>
                <w:sz w:val="20"/>
                <w:szCs w:val="20"/>
              </w:rPr>
              <w:t xml:space="preserve">0.777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Above threshold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HealthPlus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5155"/>
                <w:sz w:val="20"/>
                <w:szCs w:val="20"/>
              </w:rPr>
              <w:t xml:space="preserve">1197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5155"/>
                <w:sz w:val="20"/>
                <w:szCs w:val="20"/>
              </w:rPr>
              <w:t xml:space="preserve">0.762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Above threshold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CareOne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5155"/>
                <w:sz w:val="20"/>
                <w:szCs w:val="20"/>
              </w:rPr>
              <w:t xml:space="preserve">1235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5155"/>
                <w:sz w:val="20"/>
                <w:szCs w:val="20"/>
              </w:rPr>
              <w:t xml:space="preserve">0.76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Above threshold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MediCareX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5155"/>
                <w:sz w:val="20"/>
                <w:szCs w:val="20"/>
              </w:rPr>
              <w:t xml:space="preserve">1368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5155"/>
                <w:sz w:val="20"/>
                <w:szCs w:val="20"/>
              </w:rPr>
              <w:t xml:space="preserve">0.758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Above threshold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F6E70"/>
          <w:sz w:val="22"/>
          <w:szCs w:val="22"/>
        </w:rPr>
        <w:t xml:space="preserve">By City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160"/>
        <w:gridCol w:w="3600"/>
      </w:tblGrid>
      <w:tr>
        <w:tc>
          <w:tcPr>
            <w:tcW w:type="dxa" w:w="1800"/>
            <w:tcBorders>
              <w:top w:val="single" w:color="1E5155" w:sz="1"/>
              <w:left w:val="single" w:color="1E5155" w:sz="1"/>
              <w:bottom w:val="single" w:color="1E5155" w:sz="1"/>
              <w:right w:val="single" w:color="1E5155" w:sz="1"/>
            </w:tcBorders>
            <w:shd w:fill="1E5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City</w:t>
            </w:r>
          </w:p>
        </w:tc>
        <w:tc>
          <w:tcPr>
            <w:tcW w:type="dxa" w:w="1800"/>
            <w:tcBorders>
              <w:top w:val="single" w:color="1E5155" w:sz="1"/>
              <w:left w:val="single" w:color="1E5155" w:sz="1"/>
              <w:bottom w:val="single" w:color="1E5155" w:sz="1"/>
              <w:right w:val="single" w:color="1E5155" w:sz="1"/>
            </w:tcBorders>
            <w:shd w:fill="1E5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Sample (n)</w:t>
            </w:r>
          </w:p>
        </w:tc>
        <w:tc>
          <w:tcPr>
            <w:tcW w:type="dxa" w:w="2160"/>
            <w:tcBorders>
              <w:top w:val="single" w:color="1E5155" w:sz="1"/>
              <w:left w:val="single" w:color="1E5155" w:sz="1"/>
              <w:bottom w:val="single" w:color="1E5155" w:sz="1"/>
              <w:right w:val="single" w:color="1E5155" w:sz="1"/>
            </w:tcBorders>
            <w:shd w:fill="1E5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Rejected Recall</w:t>
            </w:r>
          </w:p>
        </w:tc>
        <w:tc>
          <w:tcPr>
            <w:tcW w:type="dxa" w:w="3600"/>
            <w:tcBorders>
              <w:top w:val="single" w:color="1E5155" w:sz="1"/>
              <w:left w:val="single" w:color="1E5155" w:sz="1"/>
              <w:bottom w:val="single" w:color="1E5155" w:sz="1"/>
              <w:right w:val="single" w:color="1E5155" w:sz="1"/>
            </w:tcBorders>
            <w:shd w:fill="1E5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Chennai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5155"/>
                <w:sz w:val="20"/>
                <w:szCs w:val="20"/>
              </w:rPr>
              <w:t xml:space="preserve">824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5155"/>
                <w:sz w:val="20"/>
                <w:szCs w:val="20"/>
              </w:rPr>
              <w:t xml:space="preserve">0.821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Above threshold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Hyderabad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5155"/>
                <w:sz w:val="20"/>
                <w:szCs w:val="20"/>
              </w:rPr>
              <w:t xml:space="preserve">893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5155"/>
                <w:sz w:val="20"/>
                <w:szCs w:val="20"/>
              </w:rPr>
              <w:t xml:space="preserve">0.789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Above threshold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5155"/>
                <w:sz w:val="20"/>
                <w:szCs w:val="20"/>
              </w:rPr>
              <w:t xml:space="preserve">789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5155"/>
                <w:sz w:val="20"/>
                <w:szCs w:val="20"/>
              </w:rPr>
              <w:t xml:space="preserve">0.766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Above threshold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Mumbai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5155"/>
                <w:sz w:val="20"/>
                <w:szCs w:val="20"/>
              </w:rPr>
              <w:t xml:space="preserve">816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5155"/>
                <w:sz w:val="20"/>
                <w:szCs w:val="20"/>
              </w:rPr>
              <w:t xml:space="preserve">0.764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Above threshold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Delhi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5155"/>
                <w:sz w:val="20"/>
                <w:szCs w:val="20"/>
              </w:rPr>
              <w:t xml:space="preserve">849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5155"/>
                <w:sz w:val="20"/>
                <w:szCs w:val="20"/>
              </w:rPr>
              <w:t xml:space="preserve">0.743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Above threshold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Bangalore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5155"/>
                <w:sz w:val="20"/>
                <w:szCs w:val="20"/>
              </w:rPr>
              <w:t xml:space="preserve">829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5155"/>
                <w:sz w:val="20"/>
                <w:szCs w:val="20"/>
              </w:rPr>
              <w:t xml:space="preserve">0.69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⚠️ Just below — monitor closely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1E5155"/>
          <w:sz w:val="20"/>
          <w:szCs w:val="20"/>
        </w:rPr>
        <w:t xml:space="preserve">✅  Model B meets the ≥ 0.65 production threshold across all insurers and all cities except Bangalore (0.690 — marginally below). Bangalore should be monitored quarterly.</w:t>
      </w:r>
    </w:p>
    <w:p>
      <w:pPr>
        <w:pBdr>
          <w:bottom w:val="single" w:color="1E5155" w:sz="4" w:space="1"/>
        </w:pBdr>
        <w:spacing w:after="120" w:before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5155"/>
          <w:sz w:val="32"/>
          <w:szCs w:val="32"/>
        </w:rPr>
        <w:t xml:space="preserve">4. Data Leakage Verification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following features were explicitly excluded from model inputs to prevent data leakage. Their absence from the feature importance rankings confirms no leakage occurred.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E5155" w:sz="1"/>
              <w:left w:val="single" w:color="1E5155" w:sz="1"/>
              <w:bottom w:val="single" w:color="1E5155" w:sz="1"/>
              <w:right w:val="single" w:color="1E5155" w:sz="1"/>
            </w:tcBorders>
            <w:shd w:fill="1E5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Excluded Feature</w:t>
            </w:r>
          </w:p>
        </w:tc>
        <w:tc>
          <w:tcPr>
            <w:tcW w:type="dxa" w:w="2340"/>
            <w:tcBorders>
              <w:top w:val="single" w:color="1E5155" w:sz="1"/>
              <w:left w:val="single" w:color="1E5155" w:sz="1"/>
              <w:bottom w:val="single" w:color="1E5155" w:sz="1"/>
              <w:right w:val="single" w:color="1E5155" w:sz="1"/>
            </w:tcBorders>
            <w:shd w:fill="1E5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340"/>
            <w:tcBorders>
              <w:top w:val="single" w:color="1E5155" w:sz="1"/>
              <w:left w:val="single" w:color="1E5155" w:sz="1"/>
              <w:bottom w:val="single" w:color="1E5155" w:sz="1"/>
              <w:right w:val="single" w:color="1E5155" w:sz="1"/>
            </w:tcBorders>
            <w:shd w:fill="1E5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 for Exclusion</w:t>
            </w:r>
          </w:p>
        </w:tc>
        <w:tc>
          <w:tcPr>
            <w:tcW w:type="dxa" w:w="2340"/>
            <w:tcBorders>
              <w:top w:val="single" w:color="1E5155" w:sz="1"/>
              <w:left w:val="single" w:color="1E5155" w:sz="1"/>
              <w:bottom w:val="single" w:color="1E5155" w:sz="1"/>
              <w:right w:val="single" w:color="1E5155" w:sz="1"/>
            </w:tcBorders>
            <w:shd w:fill="1E5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 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approved_amount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Available only after claim settlement — the event being predicted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Confirmed absent from top features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approval_ratio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Derived from approved_amount — same leakage risk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Confirmed absent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payment_days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Only known after payment is received — post-outcome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Confirmed absent (payment_days_missing used instead)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risk_score (target)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Target variable cannot be a predictor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Confirmed absent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claim_status (target)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Target variable cannot be a predictor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Confirmed absent</w:t>
            </w:r>
          </w:p>
        </w:tc>
      </w:tr>
    </w:tbl>
    <w:p>
      <w:pPr>
        <w:pBdr>
          <w:bottom w:val="single" w:color="1E5155" w:sz="4" w:space="1"/>
        </w:pBdr>
        <w:spacing w:after="120" w:before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5155"/>
          <w:sz w:val="32"/>
          <w:szCs w:val="32"/>
        </w:rPr>
        <w:t xml:space="preserve">5. Recommendations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5155"/>
          <w:sz w:val="26"/>
          <w:szCs w:val="26"/>
        </w:rPr>
        <w:t xml:space="preserve">5.1 Model A — Immediate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Do not deploy Model A for clinical decisions until High-Risk Recall exceeds 0.65 — current recall (0.283) is below the production gate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Enrich features with real clinical data: triage scores, primary diagnosis codes, vital signs at admission — these are the missing signals for High-Risk classification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Apply city-level class weights in next retraining cycle to address the significant recall gap in Bangalore, Mumbai, and Chennai (all below 0.10)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Address the gender fairness gap: Male recall (0.36) is 70% higher than Female (0.212) — investigate whether this reflects a feature interaction with department or visit_type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5155"/>
          <w:sz w:val="26"/>
          <w:szCs w:val="26"/>
        </w:rPr>
        <w:t xml:space="preserve">5.2 Model B — Immediate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Deploy Model B into the billing workflow as a pre-submission flag — Rejected Recall of 76.4% exceeds the production threshold and is consistent across all segments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Prioritise documentation alignment workshops with SecureLife, MediCareX, and HealthPlus — these three insurers have the highest rejection rates AND are the top features driving the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Route all claims with billed_amount above the 75th percentile (~₹28,000) and bill_per_los_hour anomaly flag for mandatory Finance review before submission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Monitor Bangalore Rejected Recall (0.690) quarterly — it is the only city below threshold and should trigger investigation if it falls further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Improve Pending class recall (currently 11%) in next retraining cycle by adding insurer SLA data and days-since-submission features</w:t>
      </w:r>
    </w:p>
    <w:p>
      <w:pPr>
        <w:pBdr>
          <w:bottom w:val="single" w:color="1E5155" w:sz="4" w:space="1"/>
        </w:pBdr>
        <w:spacing w:after="120" w:before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5155"/>
          <w:sz w:val="32"/>
          <w:szCs w:val="32"/>
        </w:rPr>
        <w:t xml:space="preserve">6. Explainability Summary Table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E5155" w:sz="1"/>
              <w:left w:val="single" w:color="1E5155" w:sz="1"/>
              <w:bottom w:val="single" w:color="1E5155" w:sz="1"/>
              <w:right w:val="single" w:color="1E5155" w:sz="1"/>
            </w:tcBorders>
            <w:shd w:fill="1E5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120"/>
            <w:tcBorders>
              <w:top w:val="single" w:color="1E5155" w:sz="1"/>
              <w:left w:val="single" w:color="1E5155" w:sz="1"/>
              <w:bottom w:val="single" w:color="1E5155" w:sz="1"/>
              <w:right w:val="single" w:color="1E5155" w:sz="1"/>
            </w:tcBorders>
            <w:shd w:fill="1E5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 A — Visit Risk</w:t>
            </w:r>
          </w:p>
        </w:tc>
        <w:tc>
          <w:tcPr>
            <w:tcW w:type="dxa" w:w="3120"/>
            <w:tcBorders>
              <w:top w:val="single" w:color="1E5155" w:sz="1"/>
              <w:left w:val="single" w:color="1E5155" w:sz="1"/>
              <w:bottom w:val="single" w:color="1E5155" w:sz="1"/>
              <w:right w:val="single" w:color="1E5155" w:sz="1"/>
            </w:tcBorders>
            <w:shd w:fill="1E5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 B — Claim Outcome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Accuracy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45.6%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44.0%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Macro F1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0.317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0.375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Business Recall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28.3% (High-Risk) ⚠️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76.4% (Rejected) 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Production Ready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— below 0.65 gate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— meets 0.65 gate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 Driver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length_of_stay_hours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insurer_rejection_rate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Second Driver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los_vs_dept_avg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billed_amount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Third Driver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patient_avg_los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bill_per_los_hour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Leakage 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 detected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 detected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Fairness 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Gaps in city &amp; gender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Consistent across segments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Estimated Annual 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₹40.6 lakh (cost avoidance)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₹3.28 crore (revenue recovery)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0"/>
          <w:szCs w:val="20"/>
        </w:rPr>
        <w:t xml:space="preserve">Document version: 1.0  |  Generated: April 2026  |  Next review: July 2026 (post-retraining)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Hospital Operations &amp; Revenue Risk Intelligence Platform  |  Explainability Summary  |  Amarendranadh Veerepalli  |  April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E515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515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F6E7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2026-04-18T18:12:14.748Z</dcterms:created>
  <dcterms:modified xsi:type="dcterms:W3CDTF">2026-04-18T18:12:14.749Z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