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Alert 模块（需要配合web模块一起进行使用）</w:t>
      </w:r>
    </w:p>
    <w:p>
      <w:pPr>
        <w:rPr>
          <w:rFonts w:hint="eastAsia"/>
          <w:sz w:val="32"/>
          <w:szCs w:val="32"/>
          <w:lang w:val="en-US" w:eastAsia="zh-CN"/>
        </w:rPr>
      </w:pPr>
    </w:p>
    <w:p>
      <w:pPr>
        <w:numPr>
          <w:ilvl w:val="0"/>
          <w:numId w:val="1"/>
        </w:numPr>
        <w:rPr>
          <w:rFonts w:hint="eastAsia"/>
          <w:sz w:val="28"/>
          <w:szCs w:val="28"/>
          <w:lang w:val="en-US" w:eastAsia="zh-CN"/>
        </w:rPr>
      </w:pPr>
      <w:r>
        <w:rPr>
          <w:rFonts w:hint="eastAsia"/>
          <w:sz w:val="28"/>
          <w:szCs w:val="28"/>
          <w:lang w:val="en-US" w:eastAsia="zh-CN"/>
        </w:rPr>
        <w:t>需求软件</w:t>
      </w:r>
    </w:p>
    <w:p>
      <w:pPr>
        <w:numPr>
          <w:numId w:val="0"/>
        </w:numPr>
        <w:rPr>
          <w:rFonts w:hint="eastAsia"/>
          <w:sz w:val="28"/>
          <w:szCs w:val="28"/>
          <w:lang w:val="en-US" w:eastAsia="zh-CN"/>
        </w:rPr>
      </w:pPr>
      <w:r>
        <w:rPr>
          <w:rFonts w:hint="eastAsia"/>
          <w:sz w:val="28"/>
          <w:szCs w:val="28"/>
          <w:lang w:val="en-US" w:eastAsia="zh-CN"/>
        </w:rPr>
        <w:t>Mongodb、Opentsdb、Python3</w:t>
      </w:r>
    </w:p>
    <w:p>
      <w:pPr>
        <w:numPr>
          <w:numId w:val="0"/>
        </w:numPr>
        <w:rPr>
          <w:rFonts w:hint="eastAsia"/>
          <w:sz w:val="28"/>
          <w:szCs w:val="28"/>
          <w:lang w:val="en-US" w:eastAsia="zh-CN"/>
        </w:rPr>
      </w:pPr>
    </w:p>
    <w:p>
      <w:pPr>
        <w:numPr>
          <w:ilvl w:val="0"/>
          <w:numId w:val="1"/>
        </w:numPr>
        <w:rPr>
          <w:rFonts w:hint="eastAsia"/>
          <w:sz w:val="28"/>
          <w:szCs w:val="28"/>
          <w:lang w:val="en-US" w:eastAsia="zh-CN"/>
        </w:rPr>
      </w:pPr>
      <w:r>
        <w:rPr>
          <w:rFonts w:hint="eastAsia"/>
          <w:sz w:val="28"/>
          <w:szCs w:val="28"/>
          <w:lang w:val="en-US" w:eastAsia="zh-CN"/>
        </w:rPr>
        <w:t>告警架构设计</w:t>
      </w:r>
    </w:p>
    <w:p>
      <w:pPr>
        <w:numPr>
          <w:numId w:val="0"/>
        </w:numPr>
        <w:rPr>
          <w:rFonts w:hint="eastAsia"/>
          <w:sz w:val="21"/>
          <w:szCs w:val="21"/>
          <w:lang w:val="en-US" w:eastAsia="zh-CN"/>
        </w:rPr>
      </w:pPr>
      <w:r>
        <w:rPr>
          <w:rFonts w:hint="eastAsia"/>
          <w:sz w:val="21"/>
          <w:szCs w:val="21"/>
          <w:lang w:val="en-US" w:eastAsia="zh-CN"/>
        </w:rPr>
        <w:t>架构图如下所示，下面会详细解析</w:t>
      </w:r>
    </w:p>
    <w:p>
      <w:pPr>
        <w:numPr>
          <w:numId w:val="0"/>
        </w:numPr>
        <w:rPr>
          <w:rFonts w:hint="eastAsia"/>
          <w:sz w:val="21"/>
          <w:szCs w:val="21"/>
          <w:lang w:val="en-US" w:eastAsia="zh-CN"/>
        </w:rPr>
      </w:pPr>
      <w:r>
        <w:rPr>
          <w:rFonts w:hint="eastAsia"/>
          <w:sz w:val="21"/>
          <w:szCs w:val="21"/>
          <w:lang w:val="en-US" w:eastAsia="zh-CN"/>
        </w:rPr>
        <w:drawing>
          <wp:inline distT="0" distB="0" distL="114300" distR="114300">
            <wp:extent cx="5267325" cy="3950970"/>
            <wp:effectExtent l="0" t="0" r="0" b="0"/>
            <wp:docPr id="8" name="图片 8" descr="告警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告警架构"/>
                    <pic:cNvPicPr>
                      <a:picLocks noChangeAspect="1"/>
                    </pic:cNvPicPr>
                  </pic:nvPicPr>
                  <pic:blipFill>
                    <a:blip r:embed="rId4"/>
                    <a:stretch>
                      <a:fillRect/>
                    </a:stretch>
                  </pic:blipFill>
                  <pic:spPr>
                    <a:xfrm>
                      <a:off x="0" y="0"/>
                      <a:ext cx="5267325" cy="3950970"/>
                    </a:xfrm>
                    <a:prstGeom prst="rect">
                      <a:avLst/>
                    </a:prstGeom>
                  </pic:spPr>
                </pic:pic>
              </a:graphicData>
            </a:graphic>
          </wp:inline>
        </w:drawing>
      </w:r>
    </w:p>
    <w:p>
      <w:pPr>
        <w:numPr>
          <w:numId w:val="0"/>
        </w:numPr>
        <w:rPr>
          <w:rFonts w:hint="eastAsia"/>
          <w:sz w:val="21"/>
          <w:szCs w:val="21"/>
          <w:lang w:val="en-US" w:eastAsia="zh-CN"/>
        </w:rPr>
      </w:pPr>
    </w:p>
    <w:p>
      <w:pPr>
        <w:numPr>
          <w:numId w:val="0"/>
        </w:numPr>
        <w:rPr>
          <w:rFonts w:hint="eastAsia"/>
          <w:sz w:val="21"/>
          <w:szCs w:val="21"/>
          <w:lang w:val="en-US" w:eastAsia="zh-CN"/>
        </w:rPr>
      </w:pPr>
    </w:p>
    <w:p>
      <w:pPr>
        <w:numPr>
          <w:numId w:val="0"/>
        </w:numPr>
        <w:rPr>
          <w:rFonts w:hint="eastAsia"/>
          <w:sz w:val="21"/>
          <w:szCs w:val="21"/>
          <w:lang w:val="en-US" w:eastAsia="zh-CN"/>
        </w:rPr>
      </w:pPr>
      <w:bookmarkStart w:id="0" w:name="_GoBack"/>
      <w:bookmarkEnd w:id="0"/>
    </w:p>
    <w:p>
      <w:pPr>
        <w:numPr>
          <w:numId w:val="0"/>
        </w:numPr>
        <w:rPr>
          <w:rFonts w:hint="eastAsia"/>
          <w:sz w:val="21"/>
          <w:szCs w:val="21"/>
          <w:lang w:val="en-US" w:eastAsia="zh-CN"/>
        </w:rPr>
      </w:pPr>
      <w:r>
        <w:rPr>
          <w:rFonts w:hint="eastAsia"/>
          <w:sz w:val="21"/>
          <w:szCs w:val="21"/>
          <w:lang w:val="en-US" w:eastAsia="zh-CN"/>
        </w:rPr>
        <w:t>Driver（策略读取者）：从Mongodb中进行策略规则的读取，并且把读取到的策略放置到一个全局的队列中</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Exector（策略执行者）：从全局队列中读取告警策略，然后去采集器存储数据的数据库中进行数据的读取，获取到的数据与策略中的阈值进行对比，如告警状态发生变化（从健康-&gt;告警；或者从告警-&gt;健康），会发送到对应告警的推送通道中。</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Notifyer（通知者）：从队列中进行订阅对应通道，并且进行对应通道的信息的发送和告警记录的持久化存储。如订阅到微信通道的，会推送到微信的通道上面。</w:t>
      </w:r>
    </w:p>
    <w:p>
      <w:pPr>
        <w:numPr>
          <w:numId w:val="0"/>
        </w:numPr>
        <w:rPr>
          <w:rFonts w:hint="eastAsia"/>
          <w:sz w:val="21"/>
          <w:szCs w:val="21"/>
          <w:lang w:val="en-US" w:eastAsia="zh-CN"/>
        </w:rPr>
      </w:pPr>
    </w:p>
    <w:p>
      <w:pPr>
        <w:numPr>
          <w:ilvl w:val="0"/>
          <w:numId w:val="1"/>
        </w:numPr>
        <w:rPr>
          <w:rFonts w:hint="eastAsia"/>
          <w:sz w:val="28"/>
          <w:szCs w:val="28"/>
          <w:lang w:val="en-US" w:eastAsia="zh-CN"/>
        </w:rPr>
      </w:pPr>
      <w:r>
        <w:rPr>
          <w:rFonts w:hint="eastAsia"/>
          <w:sz w:val="28"/>
          <w:szCs w:val="28"/>
          <w:lang w:val="en-US" w:eastAsia="zh-CN"/>
        </w:rPr>
        <w:t>告警策略</w:t>
      </w:r>
    </w:p>
    <w:p>
      <w:pPr>
        <w:numPr>
          <w:numId w:val="0"/>
        </w:numPr>
        <w:rPr>
          <w:rFonts w:hint="eastAsia"/>
          <w:sz w:val="21"/>
          <w:szCs w:val="21"/>
          <w:lang w:val="en-US" w:eastAsia="zh-CN"/>
        </w:rPr>
      </w:pPr>
      <w:r>
        <w:rPr>
          <w:rFonts w:hint="eastAsia"/>
          <w:sz w:val="21"/>
          <w:szCs w:val="21"/>
          <w:lang w:val="en-US" w:eastAsia="zh-CN"/>
        </w:rPr>
        <w:t>目前支持两种大类型：1.基础类型；2.环比类型</w:t>
      </w:r>
    </w:p>
    <w:p>
      <w:pPr>
        <w:numPr>
          <w:numId w:val="0"/>
        </w:numPr>
        <w:rPr>
          <w:rFonts w:hint="eastAsia"/>
          <w:sz w:val="21"/>
          <w:szCs w:val="21"/>
          <w:lang w:val="en-US" w:eastAsia="zh-CN"/>
        </w:rPr>
      </w:pPr>
      <w:r>
        <w:rPr>
          <w:rFonts w:hint="eastAsia"/>
          <w:sz w:val="21"/>
          <w:szCs w:val="21"/>
          <w:lang w:val="en-US" w:eastAsia="zh-CN"/>
        </w:rPr>
        <w:t>前设：</w:t>
      </w:r>
    </w:p>
    <w:p>
      <w:pPr>
        <w:numPr>
          <w:numId w:val="0"/>
        </w:numPr>
        <w:rPr>
          <w:rFonts w:hint="eastAsia"/>
          <w:sz w:val="21"/>
          <w:szCs w:val="21"/>
          <w:lang w:val="en-US" w:eastAsia="zh-CN"/>
        </w:rPr>
      </w:pPr>
      <w:r>
        <w:rPr>
          <w:rFonts w:hint="eastAsia"/>
          <w:sz w:val="21"/>
          <w:szCs w:val="21"/>
          <w:lang w:val="en-US" w:eastAsia="zh-CN"/>
        </w:rPr>
        <w:t xml:space="preserve">检测区间： </w:t>
      </w:r>
    </w:p>
    <w:p>
      <w:pPr>
        <w:numPr>
          <w:numId w:val="0"/>
        </w:numPr>
        <w:rPr>
          <w:rFonts w:hint="eastAsia"/>
          <w:sz w:val="21"/>
          <w:szCs w:val="21"/>
          <w:lang w:val="en-US" w:eastAsia="zh-CN"/>
        </w:rPr>
      </w:pPr>
      <w:r>
        <w:drawing>
          <wp:inline distT="0" distB="0" distL="114300" distR="114300">
            <wp:extent cx="5263515" cy="2084070"/>
            <wp:effectExtent l="0" t="0" r="952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3515" cy="2084070"/>
                    </a:xfrm>
                    <a:prstGeom prst="rect">
                      <a:avLst/>
                    </a:prstGeom>
                    <a:noFill/>
                    <a:ln w="9525">
                      <a:noFill/>
                    </a:ln>
                  </pic:spPr>
                </pic:pic>
              </a:graphicData>
            </a:graphic>
          </wp:inline>
        </w:drawing>
      </w:r>
    </w:p>
    <w:p>
      <w:pPr>
        <w:numPr>
          <w:numId w:val="0"/>
        </w:numPr>
        <w:ind w:firstLine="2940" w:firstLineChars="1400"/>
        <w:rPr>
          <w:rFonts w:hint="eastAsia"/>
          <w:sz w:val="21"/>
          <w:szCs w:val="21"/>
          <w:lang w:val="en-US" w:eastAsia="zh-CN"/>
        </w:rPr>
      </w:pPr>
      <w:r>
        <w:rPr>
          <w:rFonts w:hint="eastAsia"/>
          <w:sz w:val="21"/>
          <w:szCs w:val="21"/>
          <w:lang w:val="en-US" w:eastAsia="zh-CN"/>
        </w:rPr>
        <w:t>图二.规则描述_时间区间</w:t>
      </w:r>
    </w:p>
    <w:p>
      <w:pPr>
        <w:numPr>
          <w:numId w:val="0"/>
        </w:numPr>
        <w:rPr>
          <w:rFonts w:hint="eastAsia"/>
          <w:sz w:val="21"/>
          <w:szCs w:val="21"/>
          <w:lang w:val="en-US" w:eastAsia="zh-CN"/>
        </w:rPr>
      </w:pPr>
      <w:r>
        <w:rPr>
          <w:rFonts w:hint="eastAsia"/>
          <w:sz w:val="21"/>
          <w:szCs w:val="21"/>
          <w:lang w:val="en-US" w:eastAsia="zh-CN"/>
        </w:rPr>
        <w:t>检测区间是指图二中红色圈起的部分，其意义为指由每次告警被运行时，获取当前时间戳之前的规则间隔的时间到当前时间戳这个时间区间中的数据</w:t>
      </w:r>
    </w:p>
    <w:p>
      <w:pPr>
        <w:numPr>
          <w:numId w:val="0"/>
        </w:numPr>
        <w:rPr>
          <w:rFonts w:hint="eastAsia"/>
          <w:sz w:val="21"/>
          <w:szCs w:val="21"/>
          <w:lang w:val="en-US" w:eastAsia="zh-CN"/>
        </w:rPr>
      </w:pPr>
    </w:p>
    <w:p>
      <w:pPr>
        <w:numPr>
          <w:numId w:val="0"/>
        </w:numPr>
      </w:pPr>
      <w:r>
        <w:drawing>
          <wp:inline distT="0" distB="0" distL="114300" distR="114300">
            <wp:extent cx="5269865" cy="1993265"/>
            <wp:effectExtent l="0" t="0" r="317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9865" cy="1993265"/>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val="en-US" w:eastAsia="zh-CN"/>
        </w:rPr>
        <w:t xml:space="preserve">                             图三.规则描述值</w:t>
      </w:r>
    </w:p>
    <w:p>
      <w:pPr>
        <w:numPr>
          <w:numId w:val="0"/>
        </w:numPr>
        <w:rPr>
          <w:rFonts w:hint="eastAsia"/>
          <w:sz w:val="21"/>
          <w:szCs w:val="21"/>
          <w:lang w:val="en-US" w:eastAsia="zh-CN"/>
        </w:rPr>
      </w:pPr>
      <w:r>
        <w:rPr>
          <w:rFonts w:hint="eastAsia"/>
          <w:sz w:val="21"/>
          <w:szCs w:val="21"/>
          <w:lang w:val="en-US" w:eastAsia="zh-CN"/>
        </w:rPr>
        <w:t>每个类型都支持下列几种值的对比</w:t>
      </w:r>
    </w:p>
    <w:p>
      <w:pPr>
        <w:numPr>
          <w:ilvl w:val="0"/>
          <w:numId w:val="2"/>
        </w:numPr>
        <w:rPr>
          <w:rFonts w:hint="eastAsia"/>
          <w:sz w:val="21"/>
          <w:szCs w:val="21"/>
          <w:lang w:val="en-US" w:eastAsia="zh-CN"/>
        </w:rPr>
      </w:pPr>
      <w:r>
        <w:rPr>
          <w:rFonts w:hint="eastAsia"/>
          <w:sz w:val="21"/>
          <w:szCs w:val="21"/>
          <w:lang w:val="en-US" w:eastAsia="zh-CN"/>
        </w:rPr>
        <w:t>平均值：是指在聚合同一个指标多个数据时，通过数据库获取到在指定检测区间内的多个有效值的平均值与阈值进行对比。</w:t>
      </w:r>
    </w:p>
    <w:p>
      <w:pPr>
        <w:numPr>
          <w:ilvl w:val="0"/>
          <w:numId w:val="2"/>
        </w:numPr>
        <w:rPr>
          <w:rFonts w:hint="eastAsia"/>
          <w:sz w:val="21"/>
          <w:szCs w:val="21"/>
          <w:lang w:val="en-US" w:eastAsia="zh-CN"/>
        </w:rPr>
      </w:pPr>
      <w:r>
        <w:rPr>
          <w:rFonts w:hint="eastAsia"/>
          <w:sz w:val="21"/>
          <w:szCs w:val="21"/>
          <w:lang w:val="en-US" w:eastAsia="zh-CN"/>
        </w:rPr>
        <w:t>最大值：是指在聚合同一指标多个数据时，通过数据库获取到在指定检测区间内的多个有效值的最大值与阈值进行对比。</w:t>
      </w:r>
    </w:p>
    <w:p>
      <w:pPr>
        <w:numPr>
          <w:ilvl w:val="0"/>
          <w:numId w:val="2"/>
        </w:numPr>
        <w:rPr>
          <w:rFonts w:hint="eastAsia"/>
          <w:sz w:val="21"/>
          <w:szCs w:val="21"/>
          <w:lang w:val="en-US" w:eastAsia="zh-CN"/>
        </w:rPr>
      </w:pPr>
      <w:r>
        <w:rPr>
          <w:rFonts w:hint="eastAsia"/>
          <w:sz w:val="21"/>
          <w:szCs w:val="21"/>
          <w:lang w:val="en-US" w:eastAsia="zh-CN"/>
        </w:rPr>
        <w:t>最小值：是指在聚合同一指标的多个数据时，通过数据库获取到在指定检测区间内的多个有效值的最小值与阈值进行对比</w:t>
      </w:r>
    </w:p>
    <w:p>
      <w:pPr>
        <w:numPr>
          <w:ilvl w:val="0"/>
          <w:numId w:val="2"/>
        </w:numPr>
        <w:rPr>
          <w:rFonts w:hint="eastAsia"/>
          <w:sz w:val="21"/>
          <w:szCs w:val="21"/>
          <w:lang w:val="en-US" w:eastAsia="zh-CN"/>
        </w:rPr>
      </w:pPr>
      <w:r>
        <w:rPr>
          <w:rFonts w:hint="eastAsia"/>
          <w:sz w:val="21"/>
          <w:szCs w:val="21"/>
          <w:lang w:val="en-US" w:eastAsia="zh-CN"/>
        </w:rPr>
        <w:t>总和：是指在聚合同一个指标的多个数据时，通过数据库把所有在检测区间的值进行求和与阈值进行对比</w:t>
      </w:r>
    </w:p>
    <w:p>
      <w:pPr>
        <w:widowControl w:val="0"/>
        <w:numPr>
          <w:numId w:val="0"/>
        </w:numPr>
        <w:jc w:val="both"/>
        <w:rPr>
          <w:rFonts w:hint="eastAsia"/>
          <w:sz w:val="21"/>
          <w:szCs w:val="21"/>
          <w:lang w:val="en-US" w:eastAsia="zh-CN"/>
        </w:rPr>
      </w:pPr>
    </w:p>
    <w:p>
      <w:pPr>
        <w:widowControl w:val="0"/>
        <w:numPr>
          <w:numId w:val="0"/>
        </w:numPr>
        <w:jc w:val="both"/>
        <w:rPr>
          <w:rFonts w:hint="eastAsia"/>
          <w:sz w:val="21"/>
          <w:szCs w:val="21"/>
          <w:lang w:val="en-US" w:eastAsia="zh-CN"/>
        </w:rPr>
      </w:pPr>
      <w:r>
        <w:rPr>
          <w:rFonts w:hint="eastAsia"/>
          <w:sz w:val="21"/>
          <w:szCs w:val="21"/>
          <w:lang w:val="en-US" w:eastAsia="zh-CN"/>
        </w:rPr>
        <w:t>而基础类型还支持最新值的对比：</w:t>
      </w:r>
    </w:p>
    <w:p>
      <w:pPr>
        <w:widowControl w:val="0"/>
        <w:numPr>
          <w:numId w:val="0"/>
        </w:numPr>
        <w:jc w:val="both"/>
        <w:rPr>
          <w:rFonts w:hint="eastAsia"/>
          <w:sz w:val="21"/>
          <w:szCs w:val="21"/>
          <w:lang w:val="en-US" w:eastAsia="zh-CN"/>
        </w:rPr>
      </w:pPr>
      <w:r>
        <w:rPr>
          <w:rFonts w:hint="eastAsia"/>
          <w:sz w:val="21"/>
          <w:szCs w:val="21"/>
          <w:lang w:val="en-US" w:eastAsia="zh-CN"/>
        </w:rPr>
        <w:t>最新值：是指只获取这个指标在数据库中最新的一个值与阈值进行对比，与上面不同的是，每次只获取到一个值并且能带上时间，如果有效值不在检测区间之内，则直接报警。</w:t>
      </w:r>
    </w:p>
    <w:p>
      <w:pPr>
        <w:widowControl w:val="0"/>
        <w:numPr>
          <w:numId w:val="0"/>
        </w:numPr>
        <w:jc w:val="both"/>
        <w:rPr>
          <w:rFonts w:hint="eastAsia"/>
          <w:sz w:val="21"/>
          <w:szCs w:val="21"/>
          <w:lang w:val="en-US" w:eastAsia="zh-CN"/>
        </w:rPr>
      </w:pPr>
    </w:p>
    <w:p>
      <w:pPr>
        <w:widowControl w:val="0"/>
        <w:numPr>
          <w:numId w:val="0"/>
        </w:numPr>
        <w:jc w:val="both"/>
        <w:rPr>
          <w:rFonts w:hint="eastAsia"/>
          <w:sz w:val="21"/>
          <w:szCs w:val="21"/>
          <w:lang w:val="en-US" w:eastAsia="zh-CN"/>
        </w:rPr>
      </w:pPr>
      <w:r>
        <w:rPr>
          <w:rFonts w:hint="eastAsia"/>
          <w:sz w:val="21"/>
          <w:szCs w:val="21"/>
          <w:lang w:val="en-US" w:eastAsia="zh-CN"/>
        </w:rPr>
        <w:t>而基础类型和环比类型的分别在于：</w:t>
      </w:r>
    </w:p>
    <w:p>
      <w:pPr>
        <w:widowControl w:val="0"/>
        <w:numPr>
          <w:numId w:val="0"/>
        </w:numPr>
        <w:jc w:val="both"/>
        <w:rPr>
          <w:rFonts w:hint="eastAsia"/>
          <w:sz w:val="21"/>
          <w:szCs w:val="21"/>
          <w:lang w:val="en-US" w:eastAsia="zh-CN"/>
        </w:rPr>
      </w:pPr>
      <w:r>
        <w:rPr>
          <w:rFonts w:hint="eastAsia"/>
          <w:sz w:val="21"/>
          <w:szCs w:val="21"/>
          <w:lang w:val="en-US" w:eastAsia="zh-CN"/>
        </w:rPr>
        <w:t>基础类型只支持一定时间段内，对数据进行上面的操作与固定阈值进行对比。</w:t>
      </w:r>
    </w:p>
    <w:p>
      <w:pPr>
        <w:widowControl w:val="0"/>
        <w:numPr>
          <w:numId w:val="0"/>
        </w:numPr>
        <w:jc w:val="both"/>
        <w:rPr>
          <w:rFonts w:hint="eastAsia"/>
          <w:sz w:val="21"/>
          <w:szCs w:val="21"/>
          <w:lang w:val="en-US" w:eastAsia="zh-CN"/>
        </w:rPr>
      </w:pPr>
    </w:p>
    <w:p>
      <w:pPr>
        <w:widowControl w:val="0"/>
        <w:numPr>
          <w:numId w:val="0"/>
        </w:numPr>
        <w:jc w:val="both"/>
        <w:rPr>
          <w:rFonts w:hint="eastAsia"/>
          <w:sz w:val="21"/>
          <w:szCs w:val="21"/>
          <w:lang w:val="en-US" w:eastAsia="zh-CN"/>
        </w:rPr>
      </w:pPr>
      <w:r>
        <w:rPr>
          <w:rFonts w:hint="eastAsia"/>
          <w:sz w:val="21"/>
          <w:szCs w:val="21"/>
          <w:lang w:val="en-US" w:eastAsia="zh-CN"/>
        </w:rPr>
        <w:t>而环比类型的阈值是变化的，是基于给定条件的某一个时间点获取阈值（阈值是动态的），用于计算，对比增长/减少幅度或者对于一些需要恒定数据的指标的进行对比（相等或者不相等）</w:t>
      </w:r>
    </w:p>
    <w:p>
      <w:pPr>
        <w:widowControl w:val="0"/>
        <w:numPr>
          <w:numId w:val="0"/>
        </w:numPr>
        <w:jc w:val="both"/>
      </w:pPr>
      <w:r>
        <w:drawing>
          <wp:inline distT="0" distB="0" distL="114300" distR="114300">
            <wp:extent cx="5273675" cy="2683510"/>
            <wp:effectExtent l="0" t="0" r="14605"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3675" cy="2683510"/>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val="en-US" w:eastAsia="zh-CN"/>
        </w:rPr>
        <w:t xml:space="preserve">                           图四.环比类型规则</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如图四实例，其意义为：检测现在到10分钟之前到现在的数据聚合平均值，与7天前对应时间的值进行对比，并计算其增长率。</w:t>
      </w:r>
    </w:p>
    <w:p>
      <w:pPr>
        <w:widowControl w:val="0"/>
        <w:numPr>
          <w:numId w:val="0"/>
        </w:numPr>
        <w:jc w:val="both"/>
        <w:rPr>
          <w:rFonts w:hint="eastAsia"/>
          <w:sz w:val="21"/>
          <w:szCs w:val="21"/>
          <w:lang w:val="en-US" w:eastAsia="zh-CN"/>
        </w:rPr>
      </w:pPr>
      <w:r>
        <w:rPr>
          <w:rFonts w:hint="eastAsia"/>
          <w:sz w:val="21"/>
          <w:szCs w:val="21"/>
          <w:lang w:val="en-US" w:eastAsia="zh-CN"/>
        </w:rPr>
        <w:t xml:space="preserve"> </w:t>
      </w:r>
    </w:p>
    <w:p>
      <w:pPr>
        <w:widowControl w:val="0"/>
        <w:numPr>
          <w:numId w:val="0"/>
        </w:numPr>
        <w:jc w:val="both"/>
        <w:rPr>
          <w:rFonts w:hint="eastAsia"/>
          <w:sz w:val="21"/>
          <w:szCs w:val="21"/>
          <w:lang w:val="en-US" w:eastAsia="zh-CN"/>
        </w:rPr>
      </w:pPr>
    </w:p>
    <w:p>
      <w:pPr>
        <w:widowControl w:val="0"/>
        <w:numPr>
          <w:ilvl w:val="0"/>
          <w:numId w:val="3"/>
        </w:numPr>
        <w:jc w:val="both"/>
        <w:rPr>
          <w:rFonts w:hint="eastAsia"/>
          <w:sz w:val="21"/>
          <w:szCs w:val="21"/>
          <w:lang w:val="en-US" w:eastAsia="zh-CN"/>
        </w:rPr>
      </w:pPr>
      <w:r>
        <w:rPr>
          <w:rFonts w:hint="eastAsia"/>
          <w:sz w:val="21"/>
          <w:szCs w:val="21"/>
          <w:lang w:val="en-US" w:eastAsia="zh-CN"/>
        </w:rPr>
        <w:t>通知渠道</w:t>
      </w:r>
    </w:p>
    <w:p>
      <w:pPr>
        <w:widowControl w:val="0"/>
        <w:numPr>
          <w:numId w:val="0"/>
        </w:numPr>
        <w:jc w:val="both"/>
        <w:rPr>
          <w:rFonts w:hint="eastAsia"/>
          <w:sz w:val="21"/>
          <w:szCs w:val="21"/>
          <w:lang w:val="en-US" w:eastAsia="zh-CN"/>
        </w:rPr>
      </w:pPr>
    </w:p>
    <w:p>
      <w:pPr>
        <w:widowControl w:val="0"/>
        <w:numPr>
          <w:numId w:val="0"/>
        </w:numPr>
        <w:jc w:val="both"/>
        <w:rPr>
          <w:rFonts w:hint="eastAsia"/>
          <w:sz w:val="21"/>
          <w:szCs w:val="21"/>
          <w:lang w:val="en-US" w:eastAsia="zh-CN"/>
        </w:rPr>
      </w:pPr>
      <w:r>
        <w:rPr>
          <w:rFonts w:hint="eastAsia"/>
          <w:sz w:val="21"/>
          <w:szCs w:val="21"/>
          <w:lang w:val="en-US" w:eastAsia="zh-CN"/>
        </w:rPr>
        <w:t>目前，我们的通知渠道支持下面四种方式</w:t>
      </w:r>
    </w:p>
    <w:p>
      <w:pPr>
        <w:widowControl w:val="0"/>
        <w:numPr>
          <w:ilvl w:val="0"/>
          <w:numId w:val="4"/>
        </w:numPr>
        <w:jc w:val="both"/>
        <w:rPr>
          <w:rFonts w:hint="eastAsia"/>
          <w:sz w:val="21"/>
          <w:szCs w:val="21"/>
          <w:lang w:val="en-US" w:eastAsia="zh-CN"/>
        </w:rPr>
      </w:pPr>
      <w:r>
        <w:rPr>
          <w:rFonts w:hint="eastAsia"/>
          <w:sz w:val="21"/>
          <w:szCs w:val="21"/>
          <w:lang w:val="en-US" w:eastAsia="zh-CN"/>
        </w:rPr>
        <w:t>APi 通知（需要与客户合作开发，或者用户自身针对所需渠道进行开发）</w:t>
      </w:r>
    </w:p>
    <w:p>
      <w:pPr>
        <w:widowControl w:val="0"/>
        <w:numPr>
          <w:ilvl w:val="0"/>
          <w:numId w:val="4"/>
        </w:numPr>
        <w:jc w:val="both"/>
        <w:rPr>
          <w:rFonts w:hint="eastAsia"/>
          <w:sz w:val="21"/>
          <w:szCs w:val="21"/>
          <w:lang w:val="en-US" w:eastAsia="zh-CN"/>
        </w:rPr>
      </w:pPr>
      <w:r>
        <w:rPr>
          <w:rFonts w:hint="eastAsia"/>
          <w:sz w:val="21"/>
          <w:szCs w:val="21"/>
          <w:lang w:val="en-US" w:eastAsia="zh-CN"/>
        </w:rPr>
        <w:t>微信通知（需要在web模块中进行用户注册与微信公众号绑定，然后会推送对应的模板信息）</w:t>
      </w:r>
    </w:p>
    <w:p>
      <w:pPr>
        <w:widowControl w:val="0"/>
        <w:numPr>
          <w:ilvl w:val="0"/>
          <w:numId w:val="4"/>
        </w:numPr>
        <w:jc w:val="both"/>
        <w:rPr>
          <w:rFonts w:hint="eastAsia"/>
          <w:sz w:val="21"/>
          <w:szCs w:val="21"/>
          <w:lang w:val="en-US" w:eastAsia="zh-CN"/>
        </w:rPr>
      </w:pPr>
      <w:r>
        <w:rPr>
          <w:rFonts w:hint="eastAsia"/>
          <w:sz w:val="21"/>
          <w:szCs w:val="21"/>
          <w:lang w:val="en-US" w:eastAsia="zh-CN"/>
        </w:rPr>
        <w:t>Slack通知（需要在web模块中的用户模块中进行Slack Hook的填写，然后会推送对应的模板信息）</w:t>
      </w:r>
    </w:p>
    <w:p>
      <w:pPr>
        <w:widowControl w:val="0"/>
        <w:numPr>
          <w:ilvl w:val="0"/>
          <w:numId w:val="4"/>
        </w:numPr>
        <w:jc w:val="both"/>
        <w:rPr>
          <w:rFonts w:hint="eastAsia"/>
          <w:sz w:val="21"/>
          <w:szCs w:val="21"/>
          <w:lang w:val="en-US" w:eastAsia="zh-CN"/>
        </w:rPr>
      </w:pPr>
      <w:r>
        <w:rPr>
          <w:rFonts w:hint="eastAsia"/>
          <w:sz w:val="21"/>
          <w:szCs w:val="21"/>
          <w:lang w:val="en-US" w:eastAsia="zh-CN"/>
        </w:rPr>
        <w:t>邮件通知（在启动的时候配置好邮件的发件人，会根据通知人的信息进行定向的邮件发送）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A9A54"/>
    <w:multiLevelType w:val="singleLevel"/>
    <w:tmpl w:val="5A7A9A54"/>
    <w:lvl w:ilvl="0" w:tentative="0">
      <w:start w:val="1"/>
      <w:numFmt w:val="chineseCounting"/>
      <w:suff w:val="nothing"/>
      <w:lvlText w:val="%1．"/>
      <w:lvlJc w:val="left"/>
    </w:lvl>
  </w:abstractNum>
  <w:abstractNum w:abstractNumId="1">
    <w:nsid w:val="5A7AA0D0"/>
    <w:multiLevelType w:val="singleLevel"/>
    <w:tmpl w:val="5A7AA0D0"/>
    <w:lvl w:ilvl="0" w:tentative="0">
      <w:start w:val="1"/>
      <w:numFmt w:val="decimal"/>
      <w:suff w:val="space"/>
      <w:lvlText w:val="%1."/>
      <w:lvlJc w:val="left"/>
    </w:lvl>
  </w:abstractNum>
  <w:abstractNum w:abstractNumId="2">
    <w:nsid w:val="5A7AA64A"/>
    <w:multiLevelType w:val="singleLevel"/>
    <w:tmpl w:val="5A7AA64A"/>
    <w:lvl w:ilvl="0" w:tentative="0">
      <w:start w:val="4"/>
      <w:numFmt w:val="chineseCounting"/>
      <w:suff w:val="space"/>
      <w:lvlText w:val="%1．"/>
      <w:lvlJc w:val="left"/>
    </w:lvl>
  </w:abstractNum>
  <w:abstractNum w:abstractNumId="3">
    <w:nsid w:val="5A7AA68C"/>
    <w:multiLevelType w:val="singleLevel"/>
    <w:tmpl w:val="5A7AA68C"/>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51BDC"/>
    <w:rsid w:val="0A3B746C"/>
    <w:rsid w:val="11205A24"/>
    <w:rsid w:val="132B46A8"/>
    <w:rsid w:val="13AB4190"/>
    <w:rsid w:val="320F302B"/>
    <w:rsid w:val="3B3F1301"/>
    <w:rsid w:val="3BED17A5"/>
    <w:rsid w:val="48ED5036"/>
    <w:rsid w:val="52802A93"/>
    <w:rsid w:val="58282065"/>
    <w:rsid w:val="5B6D3981"/>
    <w:rsid w:val="624E3C49"/>
    <w:rsid w:val="64E826C0"/>
    <w:rsid w:val="73C91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ray</dc:creator>
  <cp:lastModifiedBy>外向的孤独患者单身成狗</cp:lastModifiedBy>
  <dcterms:modified xsi:type="dcterms:W3CDTF">2018-02-07T07:23:34Z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