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6E"/>
          <w:sz w:val="72"/>
          <w:szCs w:val="72"/>
        </w:rPr>
        <w:t xml:space="preserve">RICASH</w:t>
      </w:r>
    </w:p>
    <w:p>
      <w:pPr>
        <w:spacing w:after="120" w:before="0"/>
        <w:jc w:val="center"/>
      </w:pPr>
      <w:r>
        <w:rPr>
          <w:rFonts w:ascii="Arial" w:cs="Arial" w:eastAsia="Arial" w:hAnsi="Arial"/>
          <w:color w:val="2E75B6"/>
          <w:sz w:val="32"/>
          <w:szCs w:val="32"/>
        </w:rPr>
        <w:t xml:space="preserve">Plateforme de Transfert d'Argent International</w:t>
      </w:r>
    </w:p>
    <w:p>
      <w:pPr>
        <w:pBdr>
          <w:bottom w:val="single" w:color="CCCCCC" w:sz="2" w:space="1"/>
        </w:pBdr>
        <w:spacing w:after="120" w:before="120"/>
      </w:pPr>
      <w:r>
        <w:t xml:space="preserve"/>
      </w:r>
    </w:p>
    <w:p>
      <w:pPr>
        <w:spacing w:after="120" w:before="240"/>
        <w:jc w:val="center"/>
      </w:pPr>
      <w:r>
        <w:rPr>
          <w:rFonts w:ascii="Arial" w:cs="Arial" w:eastAsia="Arial" w:hAnsi="Arial"/>
          <w:b/>
          <w:bCs/>
          <w:color w:val="1A1A2E"/>
          <w:sz w:val="44"/>
          <w:szCs w:val="44"/>
        </w:rPr>
        <w:t xml:space="preserve">Cahier des Charges Complet</w:t>
      </w:r>
    </w:p>
    <w:p>
      <w:pPr>
        <w:spacing w:after="480" w:before="0"/>
        <w:jc w:val="center"/>
      </w:pPr>
      <w:r>
        <w:rPr>
          <w:rFonts w:ascii="Arial" w:cs="Arial" w:eastAsia="Arial" w:hAnsi="Arial"/>
          <w:i/>
          <w:iCs/>
          <w:color w:val="666666"/>
          <w:sz w:val="26"/>
          <w:szCs w:val="26"/>
        </w:rPr>
        <w:t xml:space="preserve">Version 4.0 — Juillet 2025</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c>
          <w:tcPr>
            <w:tcW w:type="dxa" w:w="3000"/>
            <w:gridSpan w:val="1"/>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3C6E"/>
                <w:sz w:val="20"/>
                <w:szCs w:val="20"/>
              </w:rPr>
              <w:t xml:space="preserve">Projet</w:t>
            </w:r>
          </w:p>
        </w:tc>
        <w:tc>
          <w:tcPr>
            <w:tcW w:type="dxa" w:w="450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Ricash — Transfert d'Argent International</w:t>
            </w:r>
          </w:p>
        </w:tc>
      </w:tr>
      <w:tr>
        <w:tc>
          <w:tcPr>
            <w:tcW w:type="dxa" w:w="3000"/>
            <w:gridSpan w:val="1"/>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3C6E"/>
                <w:sz w:val="20"/>
                <w:szCs w:val="20"/>
              </w:rPr>
              <w:t xml:space="preserve">Version</w:t>
            </w:r>
          </w:p>
        </w:tc>
        <w:tc>
          <w:tcPr>
            <w:tcW w:type="dxa" w:w="450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v4.0 (consolidée sur base v3.1)</w:t>
            </w:r>
          </w:p>
        </w:tc>
      </w:tr>
      <w:tr>
        <w:tc>
          <w:tcPr>
            <w:tcW w:type="dxa" w:w="3000"/>
            <w:gridSpan w:val="1"/>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3C6E"/>
                <w:sz w:val="20"/>
                <w:szCs w:val="20"/>
              </w:rPr>
              <w:t xml:space="preserve">Date</w:t>
            </w:r>
          </w:p>
        </w:tc>
        <w:tc>
          <w:tcPr>
            <w:tcW w:type="dxa" w:w="450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Juillet 2025</w:t>
            </w:r>
          </w:p>
        </w:tc>
      </w:tr>
      <w:tr>
        <w:tc>
          <w:tcPr>
            <w:tcW w:type="dxa" w:w="3000"/>
            <w:gridSpan w:val="1"/>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3C6E"/>
                <w:sz w:val="20"/>
                <w:szCs w:val="20"/>
              </w:rPr>
              <w:t xml:space="preserve">Statut</w:t>
            </w:r>
          </w:p>
        </w:tc>
        <w:tc>
          <w:tcPr>
            <w:tcW w:type="dxa" w:w="450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Confidentiel</w:t>
            </w:r>
          </w:p>
        </w:tc>
      </w:tr>
      <w:tr>
        <w:tc>
          <w:tcPr>
            <w:tcW w:type="dxa" w:w="3000"/>
            <w:gridSpan w:val="1"/>
            <w:tcBorders>
              <w:top w:val="single" w:color="CCCCCC" w:sz="1"/>
              <w:left w:val="single" w:color="CCCCCC" w:sz="1"/>
              <w:bottom w:val="single" w:color="CCCCCC" w:sz="1"/>
              <w:right w:val="single" w:color="CCCCCC" w:sz="1"/>
            </w:tcBorders>
            <w:shd w:fill="E8F0FB"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3C6E"/>
                <w:sz w:val="20"/>
                <w:szCs w:val="20"/>
              </w:rPr>
              <w:t xml:space="preserve">Cible</w:t>
            </w:r>
          </w:p>
        </w:tc>
        <w:tc>
          <w:tcPr>
            <w:tcW w:type="dxa" w:w="4500"/>
            <w:gridSpan w:val="1"/>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Développeurs, Designers, Équipe Produit, Parties prenantes</w:t>
            </w:r>
          </w:p>
        </w:tc>
      </w:tr>
    </w:tbl>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 Présentation Générale du Projet</w:t>
      </w:r>
    </w:p>
    <w:p>
      <w:pPr>
        <w:pStyle w:val="Heading2"/>
        <w:spacing w:after="120" w:before="240"/>
      </w:pPr>
      <w:r>
        <w:rPr>
          <w:rFonts w:ascii="Arial" w:cs="Arial" w:eastAsia="Arial" w:hAnsi="Arial"/>
          <w:b/>
          <w:bCs/>
          <w:color w:val="2E75B6"/>
          <w:sz w:val="26"/>
          <w:szCs w:val="26"/>
        </w:rPr>
        <w:t xml:space="preserve">1.1 Identité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Attribut</w:t>
            </w:r>
          </w:p>
        </w:tc>
        <w:tc>
          <w:tcPr>
            <w:tcW w:type="dxa" w:w="61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Détail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Nom du projet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Ricash</w:t>
            </w:r>
          </w:p>
        </w:tc>
      </w:tr>
      <w:tr>
        <w:tc>
          <w:tcPr>
            <w:tcW w:type="dxa" w:w="3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Type</w:t>
            </w:r>
          </w:p>
        </w:tc>
        <w:tc>
          <w:tcPr>
            <w:tcW w:type="dxa" w:w="61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Plateforme numérique de transfert d'argent international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Canaux</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Application mobile (iOS &amp; Android) + Plateforme web + Interface agents + USSD</w:t>
            </w:r>
          </w:p>
        </w:tc>
      </w:tr>
      <w:tr>
        <w:tc>
          <w:tcPr>
            <w:tcW w:type="dxa" w:w="3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Zone cible</w:t>
            </w:r>
          </w:p>
        </w:tc>
        <w:tc>
          <w:tcPr>
            <w:tcW w:type="dxa" w:w="61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Afrique de l'Ouest (Mali, Sénégal, Côte d'Ivoire, Burkina Faso…)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Devise principale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XOF (Franc CFA BCEAO)</w:t>
            </w:r>
          </w:p>
        </w:tc>
      </w:tr>
      <w:tr>
        <w:tc>
          <w:tcPr>
            <w:tcW w:type="dxa" w:w="3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Conformité</w:t>
            </w:r>
          </w:p>
        </w:tc>
        <w:tc>
          <w:tcPr>
            <w:tcW w:type="dxa" w:w="61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RGPD, AML/LCB-FT, BCEAO, PCI-DSS</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1.2 Vision &amp; Objectifs</w:t>
      </w:r>
    </w:p>
    <w:p>
      <w:pPr>
        <w:spacing w:after="120" w:before="80"/>
        <w:jc w:val="left"/>
      </w:pPr>
      <w:r>
        <w:rPr>
          <w:rFonts w:ascii="Arial" w:cs="Arial" w:eastAsia="Arial" w:hAnsi="Arial"/>
          <w:b w:val="false"/>
          <w:bCs w:val="false"/>
          <w:i w:val="false"/>
          <w:iCs w:val="false"/>
          <w:color w:val="1A1A2E"/>
          <w:sz w:val="22"/>
          <w:szCs w:val="22"/>
        </w:rPr>
        <w:t xml:space="preserve">Ricash a pour ambition d'offrir un service rapide, simple et sécurisé permettant aux utilisateurs d'envoyer, recevoir et gérer leur argent depuis leur mobile ou navigateur web, tout en assurant une conformité stricte aux normes internationales de sécurité et de régulation financière.</w:t>
      </w:r>
    </w:p>
    <w:p>
      <w:pPr>
        <w:spacing w:after="60" w:before="80"/>
        <w:jc w:val="left"/>
      </w:pPr>
      <w:r>
        <w:rPr>
          <w:rFonts w:ascii="Arial" w:cs="Arial" w:eastAsia="Arial" w:hAnsi="Arial"/>
          <w:b/>
          <w:bCs/>
          <w:i w:val="false"/>
          <w:iCs w:val="false"/>
          <w:color w:val="1A1A2E"/>
          <w:sz w:val="22"/>
          <w:szCs w:val="22"/>
        </w:rPr>
        <w:t xml:space="preserve">Les objectifs du présent document :</w:t>
      </w:r>
    </w:p>
    <w:p>
      <w:pPr>
        <w:pStyle w:val="ListParagraph"/>
        <w:numPr>
          <w:ilvl w:val="0"/>
          <w:numId w:val="2"/>
        </w:numPr>
        <w:spacing w:after="40" w:before="40"/>
      </w:pPr>
      <w:r>
        <w:rPr>
          <w:rFonts w:ascii="Arial" w:cs="Arial" w:eastAsia="Arial" w:hAnsi="Arial"/>
          <w:color w:val="1A1A2E"/>
          <w:sz w:val="22"/>
          <w:szCs w:val="22"/>
        </w:rPr>
        <w:t xml:space="preserve">Définir l'intégralité des besoins fonctionnels et techniques du système Ricash.</w:t>
      </w:r>
    </w:p>
    <w:p>
      <w:pPr>
        <w:pStyle w:val="ListParagraph"/>
        <w:numPr>
          <w:ilvl w:val="0"/>
          <w:numId w:val="2"/>
        </w:numPr>
        <w:spacing w:after="40" w:before="40"/>
      </w:pPr>
      <w:r>
        <w:rPr>
          <w:rFonts w:ascii="Arial" w:cs="Arial" w:eastAsia="Arial" w:hAnsi="Arial"/>
          <w:color w:val="1A1A2E"/>
          <w:sz w:val="22"/>
          <w:szCs w:val="22"/>
        </w:rPr>
        <w:t xml:space="preserve">Servir de base contractuelle pour estimer les coûts, délais et ressources.</w:t>
      </w:r>
    </w:p>
    <w:p>
      <w:pPr>
        <w:pStyle w:val="ListParagraph"/>
        <w:numPr>
          <w:ilvl w:val="0"/>
          <w:numId w:val="2"/>
        </w:numPr>
        <w:spacing w:after="40" w:before="40"/>
      </w:pPr>
      <w:r>
        <w:rPr>
          <w:rFonts w:ascii="Arial" w:cs="Arial" w:eastAsia="Arial" w:hAnsi="Arial"/>
          <w:color w:val="1A1A2E"/>
          <w:sz w:val="22"/>
          <w:szCs w:val="22"/>
        </w:rPr>
        <w:t xml:space="preserve">Fournir une vision claire et complète pour les équipes de développement, design et produit.</w:t>
      </w:r>
    </w:p>
    <w:p>
      <w:pPr>
        <w:pStyle w:val="ListParagraph"/>
        <w:numPr>
          <w:ilvl w:val="0"/>
          <w:numId w:val="2"/>
        </w:numPr>
        <w:spacing w:after="40" w:before="40"/>
      </w:pPr>
      <w:r>
        <w:rPr>
          <w:rFonts w:ascii="Arial" w:cs="Arial" w:eastAsia="Arial" w:hAnsi="Arial"/>
          <w:color w:val="1A1A2E"/>
          <w:sz w:val="22"/>
          <w:szCs w:val="22"/>
        </w:rPr>
        <w:t xml:space="preserve">Documenter les corrections critiques et améliorations identifiées en v3.1.</w:t>
      </w:r>
    </w:p>
    <w:p>
      <w:pPr>
        <w:pStyle w:val="ListParagraph"/>
        <w:numPr>
          <w:ilvl w:val="0"/>
          <w:numId w:val="2"/>
        </w:numPr>
        <w:spacing w:after="40" w:before="40"/>
      </w:pPr>
      <w:r>
        <w:rPr>
          <w:rFonts w:ascii="Arial" w:cs="Arial" w:eastAsia="Arial" w:hAnsi="Arial"/>
          <w:color w:val="1A1A2E"/>
          <w:sz w:val="22"/>
          <w:szCs w:val="22"/>
        </w:rPr>
        <w:t xml:space="preserve">Constituer la référence unique de conformité réglementaire et sécuritaire.</w:t>
      </w:r>
    </w:p>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2. Architecture Technique</w:t>
      </w:r>
    </w:p>
    <w:p>
      <w:pPr>
        <w:pStyle w:val="Heading2"/>
        <w:spacing w:after="120" w:before="240"/>
      </w:pPr>
      <w:r>
        <w:rPr>
          <w:rFonts w:ascii="Arial" w:cs="Arial" w:eastAsia="Arial" w:hAnsi="Arial"/>
          <w:b/>
          <w:bCs/>
          <w:color w:val="2E75B6"/>
          <w:sz w:val="26"/>
          <w:szCs w:val="26"/>
        </w:rPr>
        <w:t xml:space="preserve">2.1 Architecture microservices</w:t>
      </w:r>
    </w:p>
    <w:p>
      <w:pPr>
        <w:spacing w:after="120" w:before="60"/>
        <w:jc w:val="left"/>
      </w:pPr>
      <w:r>
        <w:rPr>
          <w:rFonts w:ascii="Arial" w:cs="Arial" w:eastAsia="Arial" w:hAnsi="Arial"/>
          <w:b w:val="false"/>
          <w:bCs w:val="false"/>
          <w:i w:val="false"/>
          <w:iCs w:val="false"/>
          <w:color w:val="1A1A2E"/>
          <w:sz w:val="22"/>
          <w:szCs w:val="22"/>
        </w:rPr>
        <w:t xml:space="preserve">Le backend Ricash repose sur une architecture microservices découplée. Chaque service est indépendant, communicant via API REST et événements RabbitMQ.</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060"/>
      </w:tblGrid>
      <w:tr>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Service</w:t>
            </w:r>
          </w:p>
        </w:tc>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Stack</w:t>
            </w:r>
          </w:p>
        </w:tc>
        <w:tc>
          <w:tcPr>
            <w:tcW w:type="dxa" w:w="1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Port</w:t>
            </w:r>
          </w:p>
        </w:tc>
        <w:tc>
          <w:tcPr>
            <w:tcW w:type="dxa" w:w="40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 Principal</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Spring Boot / Java 22</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8001</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Gestion admins, agents, clients, auth JWT, USSD</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Spring Boot / Java 17+</w:t>
            </w:r>
          </w:p>
        </w:tc>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8080</w:t>
            </w:r>
          </w:p>
        </w:tc>
        <w:tc>
          <w:tcPr>
            <w:tcW w:type="dxa" w:w="40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Dépôts, retraits, transferts, paiements, QR Code, solde, historique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 Service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NestJS / TypeScript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3000</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Portefeuilles, ledger comptable, blocage/déblocage wallets</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Partner Service</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FastAPI / Python 3.11</w:t>
            </w:r>
          </w:p>
        </w:tc>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8003</w:t>
            </w:r>
          </w:p>
        </w:tc>
        <w:tc>
          <w:tcPr>
            <w:tcW w:type="dxa" w:w="40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Partenaires opérateurs, intégrations, webhooks entrants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Service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Node.js / Express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8000</w:t>
            </w:r>
          </w:p>
        </w:tc>
        <w:tc>
          <w:tcPr>
            <w:tcW w:type="dxa" w:w="40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email, OTP, événements RabbitMQ</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Service</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FastAPI / Python 3.11</w:t>
            </w:r>
          </w:p>
        </w:tc>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8000*</w:t>
            </w:r>
          </w:p>
        </w:tc>
        <w:tc>
          <w:tcPr>
            <w:tcW w:type="dxa" w:w="40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Vérification identité Smile Identity, webhooks HMAC</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2.2 Contraintes techniques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5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Couche</w:t>
            </w:r>
          </w:p>
        </w:tc>
        <w:tc>
          <w:tcPr>
            <w:tcW w:type="dxa" w:w="5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Technologie / Standard</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Mobile</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Flutter ou React Native (iOS &amp; Android)</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Web Frontend</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React.js ou Vue.js — Responsive design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Backend API</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Node.js, Spring Boot (Java), FastAPI, NestJS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Base de données</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PostgreSQL (services critiques) / MongoDB (analytics)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Messagerie</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RabbitMQ (événements asynchrones inter-services)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Authentification</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Firebase Auth + JWT (externe) / JWT HS256 (inter-services)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Chiffrement</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AES-256 (données au repos), TLS 1.3 (transit)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Conformité paiement</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PCI-DSS Level 1</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tiers</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Smile Identity (biométrie, OCR, détection fraude)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Containerisation</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Docker + orchestration (Kubernetes recommandé)</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2.3 Performances attendues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4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Indicateur</w:t>
            </w:r>
          </w:p>
        </w:tc>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Valeur cible</w:t>
            </w:r>
          </w:p>
        </w:tc>
        <w:tc>
          <w:tcPr>
            <w:tcW w:type="dxa" w:w="34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Remarque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de réponse transaction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&lt; 3 secondes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95e percentile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Disponibilité plateforme</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&gt; 99,9 %</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SLA contractuel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Capacité transactionnelle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&gt; 10 000 tx/s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Délai de notification</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&lt; 10 secondes</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Post-transaction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Atomicité Wallet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Garantie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Prisma $transaction</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Vérification KYC automatique</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&lt; 5 minutes</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Smile Identity</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3. Fonctionnalités Front-End — Utilisateurs (Mobile &amp; Web)</w:t>
      </w:r>
    </w:p>
    <w:p>
      <w:pPr>
        <w:pStyle w:val="Heading2"/>
        <w:spacing w:after="120" w:before="240"/>
      </w:pPr>
      <w:r>
        <w:rPr>
          <w:rFonts w:ascii="Arial" w:cs="Arial" w:eastAsia="Arial" w:hAnsi="Arial"/>
          <w:b/>
          <w:bCs/>
          <w:color w:val="2E75B6"/>
          <w:sz w:val="26"/>
          <w:szCs w:val="26"/>
        </w:rPr>
        <w:t xml:space="preserve">3.1 Création et gestion de compte</w:t>
      </w:r>
    </w:p>
    <w:p>
      <w:pPr>
        <w:pStyle w:val="ListParagraph"/>
        <w:numPr>
          <w:ilvl w:val="0"/>
          <w:numId w:val="2"/>
        </w:numPr>
        <w:spacing w:after="40" w:before="40"/>
      </w:pPr>
      <w:r>
        <w:rPr>
          <w:rFonts w:ascii="Arial" w:cs="Arial" w:eastAsia="Arial" w:hAnsi="Arial"/>
          <w:color w:val="1A1A2E"/>
          <w:sz w:val="22"/>
          <w:szCs w:val="22"/>
        </w:rPr>
        <w:t xml:space="preserve">Inscription via Email ou Numéro de téléphone</w:t>
      </w:r>
    </w:p>
    <w:p>
      <w:pPr>
        <w:pStyle w:val="ListParagraph"/>
        <w:numPr>
          <w:ilvl w:val="0"/>
          <w:numId w:val="2"/>
        </w:numPr>
        <w:spacing w:after="40" w:before="40"/>
      </w:pPr>
      <w:r>
        <w:rPr>
          <w:rFonts w:ascii="Arial" w:cs="Arial" w:eastAsia="Arial" w:hAnsi="Arial"/>
          <w:color w:val="1A1A2E"/>
          <w:sz w:val="22"/>
          <w:szCs w:val="22"/>
        </w:rPr>
        <w:t xml:space="preserve">Vérification d'identité intégrée (KYC — Smile Identity)</w:t>
      </w:r>
    </w:p>
    <w:p>
      <w:pPr>
        <w:pStyle w:val="ListParagraph"/>
        <w:numPr>
          <w:ilvl w:val="0"/>
          <w:numId w:val="2"/>
        </w:numPr>
        <w:spacing w:after="40" w:before="40"/>
      </w:pPr>
      <w:r>
        <w:rPr>
          <w:rFonts w:ascii="Arial" w:cs="Arial" w:eastAsia="Arial" w:hAnsi="Arial"/>
          <w:color w:val="1A1A2E"/>
          <w:sz w:val="22"/>
          <w:szCs w:val="22"/>
        </w:rPr>
        <w:t xml:space="preserve">Connexion sécurisée via OTP et authentification à deux facteurs (2FA)</w:t>
      </w:r>
    </w:p>
    <w:p>
      <w:pPr>
        <w:pStyle w:val="ListParagraph"/>
        <w:numPr>
          <w:ilvl w:val="0"/>
          <w:numId w:val="2"/>
        </w:numPr>
        <w:spacing w:after="40" w:before="40"/>
      </w:pPr>
      <w:r>
        <w:rPr>
          <w:rFonts w:ascii="Arial" w:cs="Arial" w:eastAsia="Arial" w:hAnsi="Arial"/>
          <w:color w:val="1A1A2E"/>
          <w:sz w:val="22"/>
          <w:szCs w:val="22"/>
        </w:rPr>
        <w:t xml:space="preserve">Gestion du profil utilisateur (informations personnelles, photo, mot de passe)</w:t>
      </w:r>
    </w:p>
    <w:p>
      <w:pPr>
        <w:pStyle w:val="ListParagraph"/>
        <w:numPr>
          <w:ilvl w:val="0"/>
          <w:numId w:val="2"/>
        </w:numPr>
        <w:spacing w:after="40" w:before="40"/>
      </w:pPr>
      <w:r>
        <w:rPr>
          <w:rFonts w:ascii="Arial" w:cs="Arial" w:eastAsia="Arial" w:hAnsi="Arial"/>
          <w:color w:val="1A1A2E"/>
          <w:sz w:val="22"/>
          <w:szCs w:val="22"/>
        </w:rPr>
        <w:t xml:space="preserve">Support USSD pour accès sans smartphone</w:t>
      </w:r>
    </w:p>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3.2 Services financiers</w:t>
      </w:r>
    </w:p>
    <w:p>
      <w:pPr>
        <w:pStyle w:val="ListParagraph"/>
        <w:numPr>
          <w:ilvl w:val="0"/>
          <w:numId w:val="2"/>
        </w:numPr>
        <w:spacing w:after="40" w:before="40"/>
      </w:pPr>
      <w:r>
        <w:rPr>
          <w:rFonts w:ascii="Arial" w:cs="Arial" w:eastAsia="Arial" w:hAnsi="Arial"/>
          <w:color w:val="1A1A2E"/>
          <w:sz w:val="22"/>
          <w:szCs w:val="22"/>
        </w:rPr>
        <w:t xml:space="preserve">Envoi d'argent vers Mobile Money ou carte bancaire</w:t>
      </w:r>
    </w:p>
    <w:p>
      <w:pPr>
        <w:pStyle w:val="ListParagraph"/>
        <w:numPr>
          <w:ilvl w:val="0"/>
          <w:numId w:val="2"/>
        </w:numPr>
        <w:spacing w:after="40" w:before="40"/>
      </w:pPr>
      <w:r>
        <w:rPr>
          <w:rFonts w:ascii="Arial" w:cs="Arial" w:eastAsia="Arial" w:hAnsi="Arial"/>
          <w:color w:val="1A1A2E"/>
          <w:sz w:val="22"/>
          <w:szCs w:val="22"/>
        </w:rPr>
        <w:t xml:space="preserve">Réception de fonds via code de retrait ou portefeuille numérique</w:t>
      </w:r>
    </w:p>
    <w:p>
      <w:pPr>
        <w:pStyle w:val="ListParagraph"/>
        <w:numPr>
          <w:ilvl w:val="0"/>
          <w:numId w:val="2"/>
        </w:numPr>
        <w:spacing w:after="40" w:before="40"/>
      </w:pPr>
      <w:r>
        <w:rPr>
          <w:rFonts w:ascii="Arial" w:cs="Arial" w:eastAsia="Arial" w:hAnsi="Arial"/>
          <w:color w:val="1A1A2E"/>
          <w:sz w:val="22"/>
          <w:szCs w:val="22"/>
        </w:rPr>
        <w:t xml:space="preserve">Gestion des bénéficiaires (ajout, modification, suppression)</w:t>
      </w:r>
    </w:p>
    <w:p>
      <w:pPr>
        <w:pStyle w:val="ListParagraph"/>
        <w:numPr>
          <w:ilvl w:val="0"/>
          <w:numId w:val="2"/>
        </w:numPr>
        <w:spacing w:after="40" w:before="40"/>
      </w:pPr>
      <w:r>
        <w:rPr>
          <w:rFonts w:ascii="Arial" w:cs="Arial" w:eastAsia="Arial" w:hAnsi="Arial"/>
          <w:color w:val="1A1A2E"/>
          <w:sz w:val="22"/>
          <w:szCs w:val="22"/>
        </w:rPr>
        <w:t xml:space="preserve">Historique complet des transactions avec filtres avancés</w:t>
      </w:r>
    </w:p>
    <w:p>
      <w:pPr>
        <w:pStyle w:val="ListParagraph"/>
        <w:numPr>
          <w:ilvl w:val="0"/>
          <w:numId w:val="2"/>
        </w:numPr>
        <w:spacing w:after="40" w:before="40"/>
      </w:pPr>
      <w:r>
        <w:rPr>
          <w:rFonts w:ascii="Arial" w:cs="Arial" w:eastAsia="Arial" w:hAnsi="Arial"/>
          <w:color w:val="1A1A2E"/>
          <w:sz w:val="22"/>
          <w:szCs w:val="22"/>
        </w:rPr>
        <w:t xml:space="preserve">Transfert international multi-corridor (Afrique de l'Ouest)</w:t>
      </w:r>
    </w:p>
    <w:p>
      <w:pPr>
        <w:pStyle w:val="ListParagraph"/>
        <w:numPr>
          <w:ilvl w:val="0"/>
          <w:numId w:val="2"/>
        </w:numPr>
        <w:spacing w:after="40" w:before="40"/>
      </w:pPr>
      <w:r>
        <w:rPr>
          <w:rFonts w:ascii="Arial" w:cs="Arial" w:eastAsia="Arial" w:hAnsi="Arial"/>
          <w:color w:val="1A1A2E"/>
          <w:sz w:val="22"/>
          <w:szCs w:val="22"/>
        </w:rPr>
        <w:t xml:space="preserve">Paiement marchand (facture, QR Code)</w:t>
      </w:r>
    </w:p>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3.3 Portefeuille numérique</w:t>
      </w:r>
    </w:p>
    <w:p>
      <w:pPr>
        <w:pStyle w:val="ListParagraph"/>
        <w:numPr>
          <w:ilvl w:val="0"/>
          <w:numId w:val="2"/>
        </w:numPr>
        <w:spacing w:after="40" w:before="40"/>
      </w:pPr>
      <w:r>
        <w:rPr>
          <w:rFonts w:ascii="Arial" w:cs="Arial" w:eastAsia="Arial" w:hAnsi="Arial"/>
          <w:color w:val="1A1A2E"/>
          <w:sz w:val="22"/>
          <w:szCs w:val="22"/>
        </w:rPr>
        <w:t xml:space="preserve">Consultation du solde en temps réel</w:t>
      </w:r>
    </w:p>
    <w:p>
      <w:pPr>
        <w:pStyle w:val="ListParagraph"/>
        <w:numPr>
          <w:ilvl w:val="0"/>
          <w:numId w:val="2"/>
        </w:numPr>
        <w:spacing w:after="40" w:before="40"/>
      </w:pPr>
      <w:r>
        <w:rPr>
          <w:rFonts w:ascii="Arial" w:cs="Arial" w:eastAsia="Arial" w:hAnsi="Arial"/>
          <w:color w:val="1A1A2E"/>
          <w:sz w:val="22"/>
          <w:szCs w:val="22"/>
        </w:rPr>
        <w:t xml:space="preserve">Ajout de fonds (cash-in via agent, opérateur mobile)</w:t>
      </w:r>
    </w:p>
    <w:p>
      <w:pPr>
        <w:pStyle w:val="ListParagraph"/>
        <w:numPr>
          <w:ilvl w:val="0"/>
          <w:numId w:val="2"/>
        </w:numPr>
        <w:spacing w:after="40" w:before="40"/>
      </w:pPr>
      <w:r>
        <w:rPr>
          <w:rFonts w:ascii="Arial" w:cs="Arial" w:eastAsia="Arial" w:hAnsi="Arial"/>
          <w:color w:val="1A1A2E"/>
          <w:sz w:val="22"/>
          <w:szCs w:val="22"/>
        </w:rPr>
        <w:t xml:space="preserve">Retrait de fonds (cash-out via agent ou code)</w:t>
      </w:r>
    </w:p>
    <w:p>
      <w:pPr>
        <w:pStyle w:val="ListParagraph"/>
        <w:numPr>
          <w:ilvl w:val="0"/>
          <w:numId w:val="2"/>
        </w:numPr>
        <w:spacing w:after="40" w:before="40"/>
      </w:pPr>
      <w:r>
        <w:rPr>
          <w:rFonts w:ascii="Arial" w:cs="Arial" w:eastAsia="Arial" w:hAnsi="Arial"/>
          <w:color w:val="1A1A2E"/>
          <w:sz w:val="22"/>
          <w:szCs w:val="22"/>
        </w:rPr>
        <w:t xml:space="preserve">Blocage/déblocage de portefeuille sur demande</w:t>
      </w:r>
    </w:p>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3.4 Notifications et suivi</w:t>
      </w:r>
    </w:p>
    <w:p>
      <w:pPr>
        <w:pStyle w:val="ListParagraph"/>
        <w:numPr>
          <w:ilvl w:val="0"/>
          <w:numId w:val="2"/>
        </w:numPr>
        <w:spacing w:after="40" w:before="40"/>
      </w:pPr>
      <w:r>
        <w:rPr>
          <w:rFonts w:ascii="Arial" w:cs="Arial" w:eastAsia="Arial" w:hAnsi="Arial"/>
          <w:color w:val="1A1A2E"/>
          <w:sz w:val="22"/>
          <w:szCs w:val="22"/>
        </w:rPr>
        <w:t xml:space="preserve">Notifications push, SMS et email selon l'événement</w:t>
      </w:r>
    </w:p>
    <w:p>
      <w:pPr>
        <w:pStyle w:val="ListParagraph"/>
        <w:numPr>
          <w:ilvl w:val="0"/>
          <w:numId w:val="2"/>
        </w:numPr>
        <w:spacing w:after="40" w:before="40"/>
      </w:pPr>
      <w:r>
        <w:rPr>
          <w:rFonts w:ascii="Arial" w:cs="Arial" w:eastAsia="Arial" w:hAnsi="Arial"/>
          <w:color w:val="1A1A2E"/>
          <w:sz w:val="22"/>
          <w:szCs w:val="22"/>
        </w:rPr>
        <w:t xml:space="preserve">Suivi en temps réel des transferts en cours</w:t>
      </w:r>
    </w:p>
    <w:p>
      <w:pPr>
        <w:pStyle w:val="ListParagraph"/>
        <w:numPr>
          <w:ilvl w:val="0"/>
          <w:numId w:val="2"/>
        </w:numPr>
        <w:spacing w:after="40" w:before="40"/>
      </w:pPr>
      <w:r>
        <w:rPr>
          <w:rFonts w:ascii="Arial" w:cs="Arial" w:eastAsia="Arial" w:hAnsi="Arial"/>
          <w:color w:val="1A1A2E"/>
          <w:sz w:val="22"/>
          <w:szCs w:val="22"/>
        </w:rPr>
        <w:t xml:space="preserve">Alertes de sécurité (tentatives de connexion suspectes, blocage)</w:t>
      </w:r>
    </w:p>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4. Interface Agents</w:t>
      </w:r>
    </w:p>
    <w:p>
      <w:pPr>
        <w:pStyle w:val="Heading2"/>
        <w:spacing w:after="120" w:before="240"/>
      </w:pPr>
      <w:r>
        <w:rPr>
          <w:rFonts w:ascii="Arial" w:cs="Arial" w:eastAsia="Arial" w:hAnsi="Arial"/>
          <w:b/>
          <w:bCs/>
          <w:color w:val="2E75B6"/>
          <w:sz w:val="26"/>
          <w:szCs w:val="26"/>
        </w:rPr>
        <w:t xml:space="preserve">4.1 Fonctionnalités</w:t>
      </w:r>
    </w:p>
    <w:p>
      <w:pPr>
        <w:pStyle w:val="ListParagraph"/>
        <w:numPr>
          <w:ilvl w:val="0"/>
          <w:numId w:val="2"/>
        </w:numPr>
        <w:spacing w:after="40" w:before="40"/>
      </w:pPr>
      <w:r>
        <w:rPr>
          <w:rFonts w:ascii="Arial" w:cs="Arial" w:eastAsia="Arial" w:hAnsi="Arial"/>
          <w:color w:val="1A1A2E"/>
          <w:sz w:val="22"/>
          <w:szCs w:val="22"/>
        </w:rPr>
        <w:t xml:space="preserve">Authentification sécurisée par code agent et mot de passe</w:t>
      </w:r>
    </w:p>
    <w:p>
      <w:pPr>
        <w:pStyle w:val="ListParagraph"/>
        <w:numPr>
          <w:ilvl w:val="0"/>
          <w:numId w:val="2"/>
        </w:numPr>
        <w:spacing w:after="40" w:before="40"/>
      </w:pPr>
      <w:r>
        <w:rPr>
          <w:rFonts w:ascii="Arial" w:cs="Arial" w:eastAsia="Arial" w:hAnsi="Arial"/>
          <w:color w:val="1A1A2E"/>
          <w:sz w:val="22"/>
          <w:szCs w:val="22"/>
        </w:rPr>
        <w:t xml:space="preserve">Enregistrement et saisie des transferts (espèces ou mobile money)</w:t>
      </w:r>
    </w:p>
    <w:p>
      <w:pPr>
        <w:pStyle w:val="ListParagraph"/>
        <w:numPr>
          <w:ilvl w:val="0"/>
          <w:numId w:val="2"/>
        </w:numPr>
        <w:spacing w:after="40" w:before="40"/>
      </w:pPr>
      <w:r>
        <w:rPr>
          <w:rFonts w:ascii="Arial" w:cs="Arial" w:eastAsia="Arial" w:hAnsi="Arial"/>
          <w:color w:val="1A1A2E"/>
          <w:sz w:val="22"/>
          <w:szCs w:val="22"/>
        </w:rPr>
        <w:t xml:space="preserve">Vérification des codes de retrait clients</w:t>
      </w:r>
    </w:p>
    <w:p>
      <w:pPr>
        <w:pStyle w:val="ListParagraph"/>
        <w:numPr>
          <w:ilvl w:val="0"/>
          <w:numId w:val="2"/>
        </w:numPr>
        <w:spacing w:after="40" w:before="40"/>
      </w:pPr>
      <w:r>
        <w:rPr>
          <w:rFonts w:ascii="Arial" w:cs="Arial" w:eastAsia="Arial" w:hAnsi="Arial"/>
          <w:color w:val="1A1A2E"/>
          <w:sz w:val="22"/>
          <w:szCs w:val="22"/>
        </w:rPr>
        <w:t xml:space="preserve">Encaissement (cash-in) et décaissement (cash-out) des fonds</w:t>
      </w:r>
    </w:p>
    <w:p>
      <w:pPr>
        <w:pStyle w:val="ListParagraph"/>
        <w:numPr>
          <w:ilvl w:val="0"/>
          <w:numId w:val="2"/>
        </w:numPr>
        <w:spacing w:after="40" w:before="40"/>
      </w:pPr>
      <w:r>
        <w:rPr>
          <w:rFonts w:ascii="Arial" w:cs="Arial" w:eastAsia="Arial" w:hAnsi="Arial"/>
          <w:color w:val="1A1A2E"/>
          <w:sz w:val="22"/>
          <w:szCs w:val="22"/>
        </w:rPr>
        <w:t xml:space="preserve">Consultation du solde float en temps réel</w:t>
      </w:r>
    </w:p>
    <w:p>
      <w:pPr>
        <w:pStyle w:val="ListParagraph"/>
        <w:numPr>
          <w:ilvl w:val="0"/>
          <w:numId w:val="2"/>
        </w:numPr>
        <w:spacing w:after="40" w:before="40"/>
      </w:pPr>
      <w:r>
        <w:rPr>
          <w:rFonts w:ascii="Arial" w:cs="Arial" w:eastAsia="Arial" w:hAnsi="Arial"/>
          <w:color w:val="1A1A2E"/>
          <w:sz w:val="22"/>
          <w:szCs w:val="22"/>
        </w:rPr>
        <w:t xml:space="preserve">Historique des opérations effectuées</w:t>
      </w:r>
    </w:p>
    <w:p>
      <w:pPr>
        <w:pStyle w:val="ListParagraph"/>
        <w:numPr>
          <w:ilvl w:val="0"/>
          <w:numId w:val="2"/>
        </w:numPr>
        <w:spacing w:after="40" w:before="40"/>
      </w:pPr>
      <w:r>
        <w:rPr>
          <w:rFonts w:ascii="Arial" w:cs="Arial" w:eastAsia="Arial" w:hAnsi="Arial"/>
          <w:color w:val="1A1A2E"/>
          <w:sz w:val="22"/>
          <w:szCs w:val="22"/>
        </w:rPr>
        <w:t xml:space="preserve">Génération et scan de QR Code pour les opérations</w:t>
      </w:r>
    </w:p>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4.2 Sécurité agents</w:t>
      </w:r>
    </w:p>
    <w:p>
      <w:pPr>
        <w:pStyle w:val="ListParagraph"/>
        <w:numPr>
          <w:ilvl w:val="0"/>
          <w:numId w:val="2"/>
        </w:numPr>
        <w:spacing w:after="40" w:before="40"/>
      </w:pPr>
      <w:r>
        <w:rPr>
          <w:rFonts w:ascii="Arial" w:cs="Arial" w:eastAsia="Arial" w:hAnsi="Arial"/>
          <w:color w:val="1A1A2E"/>
          <w:sz w:val="22"/>
          <w:szCs w:val="22"/>
        </w:rPr>
        <w:t xml:space="preserve">Session sécurisée avec expiration automatique</w:t>
      </w:r>
    </w:p>
    <w:p>
      <w:pPr>
        <w:pStyle w:val="ListParagraph"/>
        <w:numPr>
          <w:ilvl w:val="0"/>
          <w:numId w:val="2"/>
        </w:numPr>
        <w:spacing w:after="40" w:before="40"/>
      </w:pPr>
      <w:r>
        <w:rPr>
          <w:rFonts w:ascii="Arial" w:cs="Arial" w:eastAsia="Arial" w:hAnsi="Arial"/>
          <w:color w:val="1A1A2E"/>
          <w:sz w:val="22"/>
          <w:szCs w:val="22"/>
        </w:rPr>
        <w:t xml:space="preserve">Journalisation de toutes les opérations avec horodatage</w:t>
      </w:r>
    </w:p>
    <w:p>
      <w:pPr>
        <w:pStyle w:val="ListParagraph"/>
        <w:numPr>
          <w:ilvl w:val="0"/>
          <w:numId w:val="2"/>
        </w:numPr>
        <w:spacing w:after="40" w:before="40"/>
      </w:pPr>
      <w:r>
        <w:rPr>
          <w:rFonts w:ascii="Arial" w:cs="Arial" w:eastAsia="Arial" w:hAnsi="Arial"/>
          <w:color w:val="1A1A2E"/>
          <w:sz w:val="22"/>
          <w:szCs w:val="22"/>
        </w:rPr>
        <w:t xml:space="preserve">Blocage automatique après tentatives de connexion échouées</w:t>
      </w:r>
    </w:p>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5. Back-Office Administratif</w:t>
      </w:r>
    </w:p>
    <w:p>
      <w:pPr>
        <w:pStyle w:val="Heading2"/>
        <w:spacing w:after="120" w:before="240"/>
      </w:pPr>
      <w:r>
        <w:rPr>
          <w:rFonts w:ascii="Arial" w:cs="Arial" w:eastAsia="Arial" w:hAnsi="Arial"/>
          <w:b/>
          <w:bCs/>
          <w:color w:val="2E75B6"/>
          <w:sz w:val="26"/>
          <w:szCs w:val="26"/>
        </w:rPr>
        <w:t xml:space="preserve">5.1 Vue d'ensemble</w:t>
      </w:r>
    </w:p>
    <w:p>
      <w:pPr>
        <w:spacing w:after="120" w:before="60"/>
        <w:jc w:val="left"/>
      </w:pPr>
      <w:r>
        <w:rPr>
          <w:rFonts w:ascii="Arial" w:cs="Arial" w:eastAsia="Arial" w:hAnsi="Arial"/>
          <w:b w:val="false"/>
          <w:bCs w:val="false"/>
          <w:i w:val="false"/>
          <w:iCs w:val="false"/>
          <w:color w:val="1A1A2E"/>
          <w:sz w:val="22"/>
          <w:szCs w:val="22"/>
        </w:rPr>
        <w:t xml:space="preserve">Le back-office Ricash est la plateforme de gestion centralisée pour les administrateurs et superviseurs. Il offre une visibilité complète sur toutes les opérations, utilisateurs, agents et flux financiers.</w:t>
      </w:r>
    </w:p>
    <w:p>
      <w:pPr>
        <w:spacing w:after="60" w:before="80"/>
        <w:jc w:val="left"/>
      </w:pPr>
      <w:r>
        <w:rPr>
          <w:rFonts w:ascii="Arial" w:cs="Arial" w:eastAsia="Arial" w:hAnsi="Arial"/>
          <w:b/>
          <w:bCs/>
          <w:i w:val="false"/>
          <w:iCs w:val="false"/>
          <w:color w:val="1A1A2E"/>
          <w:sz w:val="22"/>
          <w:szCs w:val="22"/>
        </w:rPr>
        <w:t xml:space="preserve">Objectifs principaux :</w:t>
      </w:r>
    </w:p>
    <w:p>
      <w:pPr>
        <w:pStyle w:val="ListParagraph"/>
        <w:numPr>
          <w:ilvl w:val="0"/>
          <w:numId w:val="2"/>
        </w:numPr>
        <w:spacing w:after="40" w:before="40"/>
      </w:pPr>
      <w:r>
        <w:rPr>
          <w:rFonts w:ascii="Arial" w:cs="Arial" w:eastAsia="Arial" w:hAnsi="Arial"/>
          <w:color w:val="1A1A2E"/>
          <w:sz w:val="22"/>
          <w:szCs w:val="22"/>
        </w:rPr>
        <w:t xml:space="preserve">Superviser les transactions en temps réel</w:t>
      </w:r>
    </w:p>
    <w:p>
      <w:pPr>
        <w:pStyle w:val="ListParagraph"/>
        <w:numPr>
          <w:ilvl w:val="0"/>
          <w:numId w:val="2"/>
        </w:numPr>
        <w:spacing w:after="40" w:before="40"/>
      </w:pPr>
      <w:r>
        <w:rPr>
          <w:rFonts w:ascii="Arial" w:cs="Arial" w:eastAsia="Arial" w:hAnsi="Arial"/>
          <w:color w:val="1A1A2E"/>
          <w:sz w:val="22"/>
          <w:szCs w:val="22"/>
        </w:rPr>
        <w:t xml:space="preserve">Gérer les comptes utilisateurs, clients et agents</w:t>
      </w:r>
    </w:p>
    <w:p>
      <w:pPr>
        <w:pStyle w:val="ListParagraph"/>
        <w:numPr>
          <w:ilvl w:val="0"/>
          <w:numId w:val="2"/>
        </w:numPr>
        <w:spacing w:after="40" w:before="40"/>
      </w:pPr>
      <w:r>
        <w:rPr>
          <w:rFonts w:ascii="Arial" w:cs="Arial" w:eastAsia="Arial" w:hAnsi="Arial"/>
          <w:color w:val="1A1A2E"/>
          <w:sz w:val="22"/>
          <w:szCs w:val="22"/>
        </w:rPr>
        <w:t xml:space="preserve">Assurer la conformité KYC, LCB-FT et BCEAO</w:t>
      </w:r>
    </w:p>
    <w:p>
      <w:pPr>
        <w:pStyle w:val="ListParagraph"/>
        <w:numPr>
          <w:ilvl w:val="0"/>
          <w:numId w:val="2"/>
        </w:numPr>
        <w:spacing w:after="40" w:before="40"/>
      </w:pPr>
      <w:r>
        <w:rPr>
          <w:rFonts w:ascii="Arial" w:cs="Arial" w:eastAsia="Arial" w:hAnsi="Arial"/>
          <w:color w:val="1A1A2E"/>
          <w:sz w:val="22"/>
          <w:szCs w:val="22"/>
        </w:rPr>
        <w:t xml:space="preserve">Piloter les performances via des tableaux de bord analytiques</w:t>
      </w:r>
    </w:p>
    <w:p>
      <w:pPr>
        <w:pStyle w:val="ListParagraph"/>
        <w:numPr>
          <w:ilvl w:val="0"/>
          <w:numId w:val="2"/>
        </w:numPr>
        <w:spacing w:after="40" w:before="40"/>
      </w:pPr>
      <w:r>
        <w:rPr>
          <w:rFonts w:ascii="Arial" w:cs="Arial" w:eastAsia="Arial" w:hAnsi="Arial"/>
          <w:color w:val="1A1A2E"/>
          <w:sz w:val="22"/>
          <w:szCs w:val="22"/>
        </w:rPr>
        <w:t xml:space="preserve">Configurer les paramètres opérationnels (frais, taux, plafonds)</w:t>
      </w:r>
    </w:p>
    <w:p>
      <w:pPr>
        <w:pStyle w:val="ListParagraph"/>
        <w:numPr>
          <w:ilvl w:val="0"/>
          <w:numId w:val="2"/>
        </w:numPr>
        <w:spacing w:after="40" w:before="40"/>
      </w:pPr>
      <w:r>
        <w:rPr>
          <w:rFonts w:ascii="Arial" w:cs="Arial" w:eastAsia="Arial" w:hAnsi="Arial"/>
          <w:color w:val="1A1A2E"/>
          <w:sz w:val="22"/>
          <w:szCs w:val="22"/>
        </w:rPr>
        <w:t xml:space="preserve">Détecter et traiter fraudes et anomalies</w:t>
      </w:r>
    </w:p>
    <w:p>
      <w:pPr>
        <w:pStyle w:val="ListParagraph"/>
        <w:numPr>
          <w:ilvl w:val="0"/>
          <w:numId w:val="2"/>
        </w:numPr>
        <w:spacing w:after="40" w:before="40"/>
      </w:pPr>
      <w:r>
        <w:rPr>
          <w:rFonts w:ascii="Arial" w:cs="Arial" w:eastAsia="Arial" w:hAnsi="Arial"/>
          <w:color w:val="1A1A2E"/>
          <w:sz w:val="22"/>
          <w:szCs w:val="22"/>
        </w:rPr>
        <w:t xml:space="preserve">Superviser la santé des microservices</w:t>
      </w:r>
    </w:p>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5.2 Rôles administratifs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760"/>
      </w:tblGrid>
      <w:tr>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w:t>
            </w:r>
          </w:p>
        </w:tc>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Périmètre</w:t>
            </w:r>
          </w:p>
        </w:tc>
        <w:tc>
          <w:tcPr>
            <w:tcW w:type="dxa" w:w="47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Droits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Plateforme entière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Accès total, configuration système, création admins, audit complet</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Flux &amp; Transactions</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Transactions</w:t>
            </w:r>
          </w:p>
        </w:tc>
        <w:tc>
          <w:tcPr>
            <w:tcW w:type="dxa" w:w="4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Validation, réconciliation, rapports financiers, gestion float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KYC &amp; Compliance</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Conformité</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Validation KYC, gestion risques, approbation agents</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Utilisateurs &amp; Agents</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Comptes</w:t>
            </w:r>
          </w:p>
        </w:tc>
        <w:tc>
          <w:tcPr>
            <w:tcW w:type="dxa" w:w="4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Assistance, déblocage comptes, modification statuts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Rapports uniquement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Lecture seule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Exports, tableaux de bord (aucune action)</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5.3 Tableau de bord — Métriques clés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Métrique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Source</w:t>
            </w:r>
          </w:p>
        </w:tc>
        <w:tc>
          <w:tcPr>
            <w:tcW w:type="dxa" w:w="2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Fréquence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Volume transactions du jour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 :8080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réel</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Montant total traité (XOF)</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 :8080</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réel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Transactions en attente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 :8080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réel</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Alertes fraude actives</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Service :8080</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réel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Agents actifs / en attente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 :8001</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Toutes les 5 min</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Clients enregistrés</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 :8001</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Toutes les 5 min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Solde float global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 Service :3000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Temps réel</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5.4 Alertes automatiques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60"/>
      </w:tblGrid>
      <w:tr>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Déclencheur</w:t>
            </w:r>
          </w:p>
        </w:tc>
        <w:tc>
          <w:tcPr>
            <w:tcW w:type="dxa" w:w="34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Action requise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 float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Solde agent &lt; seuil configuré</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Admin</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 fraude</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Schéma anormal détecté</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Admin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 KYC</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Documents expirés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Admin</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 système</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Service indisponible</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Super Admin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Compte bloqué</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Trop de tentatives échouées</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Admin</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6. Gestion des Utilisateurs</w:t>
      </w:r>
    </w:p>
    <w:p>
      <w:pPr>
        <w:pStyle w:val="Heading2"/>
        <w:spacing w:after="120" w:before="240"/>
      </w:pPr>
      <w:r>
        <w:rPr>
          <w:rFonts w:ascii="Arial" w:cs="Arial" w:eastAsia="Arial" w:hAnsi="Arial"/>
          <w:b/>
          <w:bCs/>
          <w:color w:val="2E75B6"/>
          <w:sz w:val="26"/>
          <w:szCs w:val="26"/>
        </w:rPr>
        <w:t xml:space="preserve">6.1 Organisation de la sidebar par catégorie</w:t>
      </w:r>
    </w:p>
    <w:p>
      <w:pPr>
        <w:spacing w:after="100" w:before="60"/>
        <w:jc w:val="left"/>
      </w:pPr>
      <w:r>
        <w:rPr>
          <w:rFonts w:ascii="Arial" w:cs="Arial" w:eastAsia="Arial" w:hAnsi="Arial"/>
          <w:b w:val="false"/>
          <w:bCs w:val="false"/>
          <w:i w:val="false"/>
          <w:iCs w:val="false"/>
          <w:color w:val="1A1A2E"/>
          <w:sz w:val="22"/>
          <w:szCs w:val="22"/>
        </w:rPr>
        <w:t xml:space="preserve">La barre de navigation latérale doit afficher les utilisateurs regroupés par catégorie distincte et clairement séparée :</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60"/>
      </w:tblGrid>
      <w:tr>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Catégorie</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Icône</w:t>
            </w:r>
          </w:p>
        </w:tc>
        <w:tc>
          <w:tcPr>
            <w:tcW w:type="dxa" w:w="54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ti-shield-star</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Administrateurs disposant de tous les droits sur la plateforme</w:t>
            </w:r>
          </w:p>
        </w:tc>
      </w:tr>
      <w:tr>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ti-user-shield</w:t>
            </w:r>
          </w:p>
        </w:tc>
        <w:tc>
          <w:tcPr>
            <w:tcW w:type="dxa" w:w="5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Administrateurs avec périmètre défini</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ti-user-star</w:t>
            </w:r>
          </w:p>
        </w:tc>
        <w:tc>
          <w:tcPr>
            <w:tcW w:type="dxa" w:w="5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Agents de terrain habilités à réaliser des opérations cash-in / cash-out</w:t>
            </w:r>
          </w:p>
        </w:tc>
      </w:tr>
      <w:tr>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Client</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ti-user</w:t>
            </w:r>
          </w:p>
        </w:tc>
        <w:tc>
          <w:tcPr>
            <w:tcW w:type="dxa" w:w="5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Utilisateurs finaux de l'application Ricash</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6.2 Règles de gestion des comptes</w:t>
      </w:r>
    </w:p>
    <w:p>
      <w:pPr>
        <w:pStyle w:val="Heading3"/>
        <w:spacing w:after="80" w:before="180"/>
      </w:pPr>
      <w:r>
        <w:rPr>
          <w:rFonts w:ascii="Arial" w:cs="Arial" w:eastAsia="Arial" w:hAnsi="Arial"/>
          <w:b/>
          <w:bCs/>
          <w:color w:val="1A1A2E"/>
          <w:sz w:val="24"/>
          <w:szCs w:val="24"/>
        </w:rPr>
        <w:t xml:space="preserve">6.2.1 Interdiction absolue de suppression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00000" w:sz="1"/>
              <w:left w:val="single" w:color="C00000" w:sz="1"/>
              <w:bottom w:val="single" w:color="C00000" w:sz="1"/>
              <w:right w:val="single" w:color="C00000" w:sz="1"/>
            </w:tcBorders>
            <w:shd w:fill="C00000"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 RÈGLE ABSOLUE — Aucune suppression physique</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Aucun utilisateur ne doit être supprimé du système, quelle que soit sa catégorie.</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La suppression physique est strictement interdite. Seule la désactivation (statut INACTIVE ou SUSPENDED) est autorisée.</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Les endpoints DELETE ne doivent pas être exposés depuis l'interface back-office.</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3"/>
        <w:spacing w:after="80" w:before="180"/>
      </w:pPr>
      <w:r>
        <w:rPr>
          <w:rFonts w:ascii="Arial" w:cs="Arial" w:eastAsia="Arial" w:hAnsi="Arial"/>
          <w:b/>
          <w:bCs/>
          <w:color w:val="1A1A2E"/>
          <w:sz w:val="24"/>
          <w:szCs w:val="24"/>
        </w:rPr>
        <w:t xml:space="preserve">6.2.2 Modification des données personnelles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5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Règle</w:t>
            </w:r>
          </w:p>
        </w:tc>
        <w:tc>
          <w:tcPr>
            <w:tcW w:type="dxa" w:w="5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Détail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Auto-modification uniquement</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Chaque utilisateur peut uniquement modifier ses propres informations personnelles.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 → Admin</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 Super Admin ne peut PAS modifier les données personnelles d'un Admin.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Agent / Client</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Un Admin ne peut PAS modifier les données personnelles d'un Agent ou d'un Client.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Données modifiables</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Nom, prénom, email, téléphone, mot de passe, photo de profil.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Données non modifiables</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Identifiant unique, date de création, rôle (seul le Super Admin peut changer le rôle).</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6.3 Gestion des rôles multiples</w:t>
      </w:r>
    </w:p>
    <w:p>
      <w:pPr>
        <w:spacing w:after="80" w:before="80"/>
        <w:jc w:val="left"/>
      </w:pPr>
      <w:r>
        <w:rPr>
          <w:rFonts w:ascii="Arial" w:cs="Arial" w:eastAsia="Arial" w:hAnsi="Arial"/>
          <w:b w:val="false"/>
          <w:bCs w:val="false"/>
          <w:i w:val="false"/>
          <w:iCs w:val="false"/>
          <w:color w:val="1A1A2E"/>
          <w:sz w:val="22"/>
          <w:szCs w:val="22"/>
        </w:rPr>
        <w:t xml:space="preserve">Un même utilisateur peut cumuler plusieurs rôles simultanément :</w:t>
      </w:r>
    </w:p>
    <w:p>
      <w:pPr>
        <w:pStyle w:val="ListParagraph"/>
        <w:numPr>
          <w:ilvl w:val="0"/>
          <w:numId w:val="2"/>
        </w:numPr>
        <w:spacing w:after="40" w:before="40"/>
      </w:pPr>
      <w:r>
        <w:rPr>
          <w:rFonts w:ascii="Arial" w:cs="Arial" w:eastAsia="Arial" w:hAnsi="Arial"/>
          <w:color w:val="1A1A2E"/>
          <w:sz w:val="22"/>
          <w:szCs w:val="22"/>
        </w:rPr>
        <w:t xml:space="preserve">Un Client peut devenir Agent (cumul Client + Agent).</w:t>
      </w:r>
    </w:p>
    <w:p>
      <w:pPr>
        <w:pStyle w:val="ListParagraph"/>
        <w:numPr>
          <w:ilvl w:val="0"/>
          <w:numId w:val="2"/>
        </w:numPr>
        <w:spacing w:after="40" w:before="40"/>
      </w:pPr>
      <w:r>
        <w:rPr>
          <w:rFonts w:ascii="Arial" w:cs="Arial" w:eastAsia="Arial" w:hAnsi="Arial"/>
          <w:color w:val="1A1A2E"/>
          <w:sz w:val="22"/>
          <w:szCs w:val="22"/>
        </w:rPr>
        <w:t xml:space="preserve">Un Admin peut également avoir un rôle Client (cumul Admin + Client).</w:t>
      </w:r>
    </w:p>
    <w:p>
      <w:pPr>
        <w:pStyle w:val="ListParagraph"/>
        <w:numPr>
          <w:ilvl w:val="0"/>
          <w:numId w:val="2"/>
        </w:numPr>
        <w:spacing w:after="40" w:before="40"/>
      </w:pPr>
      <w:r>
        <w:rPr>
          <w:rFonts w:ascii="Arial" w:cs="Arial" w:eastAsia="Arial" w:hAnsi="Arial"/>
          <w:color w:val="1A1A2E"/>
          <w:sz w:val="22"/>
          <w:szCs w:val="22"/>
        </w:rPr>
        <w:t xml:space="preserve">Le back-office doit afficher le nombre total de comptes/rôles associés à chaque utilisateur.</w:t>
      </w:r>
    </w:p>
    <w:p>
      <w:pPr>
        <w:pStyle w:val="ListParagraph"/>
        <w:numPr>
          <w:ilvl w:val="0"/>
          <w:numId w:val="2"/>
        </w:numPr>
        <w:spacing w:after="40" w:before="40"/>
      </w:pPr>
      <w:r>
        <w:rPr>
          <w:rFonts w:ascii="Arial" w:cs="Arial" w:eastAsia="Arial" w:hAnsi="Arial"/>
          <w:color w:val="1A1A2E"/>
          <w:sz w:val="22"/>
          <w:szCs w:val="22"/>
        </w:rPr>
        <w:t xml:space="preserve">Chaque rôle est géré de manière indépendante avec ses propres données, floats et historiques.</w:t>
      </w:r>
    </w:p>
    <w:p>
      <w:pPr>
        <w:spacing w:after="60" w:before="60"/>
        <w:jc w:val="left"/>
      </w:pPr>
      <w:r>
        <w:rPr>
          <w:rFonts w:ascii="Arial" w:cs="Arial" w:eastAsia="Arial" w:hAnsi="Arial"/>
          <w:b w:val="false"/>
          <w:bCs w:val="false"/>
          <w:i w:val="false"/>
          <w:iCs w:val="false"/>
          <w:color w:val="1A1A2E"/>
          <w:sz w:val="22"/>
          <w:szCs w:val="22"/>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960"/>
      </w:tblGrid>
      <w:tr>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Scénario</w:t>
            </w:r>
          </w:p>
        </w:tc>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Rôles cumulés</w:t>
            </w:r>
          </w:p>
        </w:tc>
        <w:tc>
          <w:tcPr>
            <w:tcW w:type="dxa" w:w="3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Comportement attendu</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Client devenant agent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CLIENT + AGENT</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Conserve son wallet client, obtient un float agent distinct.</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ayant un compte client</w:t>
            </w:r>
          </w:p>
        </w:tc>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CLIENT</w:t>
            </w:r>
          </w:p>
        </w:tc>
        <w:tc>
          <w:tcPr>
            <w:tcW w:type="dxa" w:w="3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Peut utiliser l'appli comme client ET gérer le back-office.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 promu admin support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 + ADMIN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Accès back-office limité + opérations terrain maintenues.</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6.4 Actions administratives autorisées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60"/>
      </w:tblGrid>
      <w:tr>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Action</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Condition</w:t>
            </w:r>
          </w:p>
        </w:tc>
        <w:tc>
          <w:tcPr>
            <w:tcW w:type="dxa" w:w="34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 requis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Activer un compte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Inscription validée + OTP confirmé</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Suspendre un compte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Toujours disponible</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justification obligatoire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Désactiver un compte (pas supprimer)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Solde nul, aucun litige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 — justification obligatoire</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Débloquer un wallet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Après résolution d'alerte</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(via Wallet Service)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Forcer vérification KYC</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Suspicion de fraude</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justification obligatoire</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Exporter le profil</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Toujours disponible</w:t>
            </w:r>
          </w:p>
        </w:tc>
        <w:tc>
          <w:tcPr>
            <w:tcW w:type="dxa" w:w="3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Tous les admins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Changer le rôle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Après validation</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 uniquement</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6.5 Endpoints Clients — User Service (port 8001)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/api/clients/inscription</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Inscription client (téléphone + code secret + pays)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/api/clients/auth/valider-inscription</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Validation OTP SMS post-inscription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/api/clients/connexion-device</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Connexion via device token + code secret</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/api/clients/auth/changer-code-secret</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Initiation du changement de code secret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/api/clients/auth/confirmer-changement-code</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Confirmation changement code secret (OTP requis)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la liste de tous les clients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/api/clients/{id}</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un client par ID</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/api/clients/telephone/{telephone}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un client par numéro de téléphone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/api/clients/admin/changer-statut/{clientId}</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Modifier le statut d'un client (ACTIVE / INACTIVE) — pas de suppression</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7. Recherche et Filtres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FF8C00" w:sz="1"/>
              <w:left w:val="single" w:color="FF8C00" w:sz="1"/>
              <w:bottom w:val="single" w:color="FF8C00" w:sz="1"/>
              <w:right w:val="single" w:color="FF8C00" w:sz="1"/>
            </w:tcBorders>
            <w:shd w:fill="FF8C00"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 Règles générales de recherche</w:t>
            </w:r>
          </w:p>
        </w:tc>
      </w:tr>
      <w:tr>
        <w:tc>
          <w:tcPr>
            <w:gridSpan w:val="1"/>
            <w:tcBorders>
              <w:top w:val="single" w:color="FF8C00" w:sz="1"/>
              <w:left w:val="single" w:color="FF8C00" w:sz="1"/>
              <w:bottom w:val="single" w:color="FF8C00" w:sz="1"/>
              <w:right w:val="single" w:color="FF8C00" w:sz="1"/>
            </w:tcBorders>
            <w:shd w:fill="FFF3CD"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Les barres de recherche ne doivent PAS afficher 'Tous' par défaut.</w:t>
            </w:r>
          </w:p>
        </w:tc>
      </w:tr>
      <w:tr>
        <w:tc>
          <w:tcPr>
            <w:gridSpan w:val="1"/>
            <w:tcBorders>
              <w:top w:val="single" w:color="FF8C00" w:sz="1"/>
              <w:left w:val="single" w:color="FF8C00" w:sz="1"/>
              <w:bottom w:val="single" w:color="FF8C00" w:sz="1"/>
              <w:right w:val="single" w:color="FF8C00" w:sz="1"/>
            </w:tcBorders>
            <w:shd w:fill="FFF3CD"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Chaque filtre doit être accompagné d'un libellé explicatif clair.</w:t>
            </w:r>
          </w:p>
        </w:tc>
      </w:tr>
      <w:tr>
        <w:tc>
          <w:tcPr>
            <w:gridSpan w:val="1"/>
            <w:tcBorders>
              <w:top w:val="single" w:color="FF8C00" w:sz="1"/>
              <w:left w:val="single" w:color="FF8C00" w:sz="1"/>
              <w:bottom w:val="single" w:color="FF8C00" w:sz="1"/>
              <w:right w:val="single" w:color="FF8C00" w:sz="1"/>
            </w:tcBorders>
            <w:shd w:fill="FFF3CD"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La recherche doit être possible sans sélection préalable de filtre.</w:t>
            </w:r>
          </w:p>
        </w:tc>
      </w:tr>
      <w:tr>
        <w:tc>
          <w:tcPr>
            <w:gridSpan w:val="1"/>
            <w:tcBorders>
              <w:top w:val="single" w:color="FF8C00" w:sz="1"/>
              <w:left w:val="single" w:color="FF8C00" w:sz="1"/>
              <w:bottom w:val="single" w:color="FF8C00" w:sz="1"/>
              <w:right w:val="single" w:color="FF8C00" w:sz="1"/>
            </w:tcBorders>
            <w:shd w:fill="FFF3CD"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Les filtres de localisation géographique sont supprimés côté Agent (recherche textuelle uniquement).</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7.1 Recherche — Clients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Critère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Libellé affiché</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Exemple / Format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Identifiant unique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ID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UUID ou numéro de compte</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Numéro de téléphone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téléphone</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+223 XX XX XX XX</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Statut du compte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Filtrer par statut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Actif, Inactif, Suspendu</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Période d'inscription</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Inscrits entre</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Sélecteur de plage de dates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Pays d'origine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Filtrer par pays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ML (Mali), SN (Sénégal)…</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Niveau KYC</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Filtrer par niveau KYC</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Niveau 0, Niveau 1, Niveau 2</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7.2 Recherche — Agents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Critère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Libellé affiché</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Exemple / Format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Nom ou prénom</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un agent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Saisie libre (nom, prénom)</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Code agent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code agent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 : AGT142</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Identifiant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ID</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UUID de l'agent</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Statut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Filtrer par statut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En attente, Approuvé, Suspendu</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7.3 Recherche — Transactions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Critère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Libellé affiché</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Valeurs possibles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Type d'opération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Type de transaction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Dépôt, Retrait, Transfert, Paiement marchand, Remboursement</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Statut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Statut de la transaction</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Réussi, Échoué, En attente, Annulé, En cours</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Plage de montant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Montant (XOF) entre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Valeurs min et max en FCFA</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Période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Période</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Aujourd'hui, 7j, 30j, 3 mois, Personnalisée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Utilisateur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client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ID, téléphone ou nom</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Rechercher par agent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ID ou code agent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Canal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Canal utilisé</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 mobile, USSD, Web, Agent</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Opérateur</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Opérateur mobile</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Orange Money, Moov, MTN, mock</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8. Gestion Admin &amp; Super Admin</w:t>
      </w:r>
    </w:p>
    <w:p>
      <w:pPr>
        <w:pStyle w:val="Heading2"/>
        <w:spacing w:after="120" w:before="240"/>
      </w:pPr>
      <w:r>
        <w:rPr>
          <w:rFonts w:ascii="Arial" w:cs="Arial" w:eastAsia="Arial" w:hAnsi="Arial"/>
          <w:b/>
          <w:bCs/>
          <w:color w:val="2E75B6"/>
          <w:sz w:val="26"/>
          <w:szCs w:val="26"/>
        </w:rPr>
        <w:t xml:space="preserve">8.1 Droits du Super Admin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60"/>
      </w:tblGrid>
      <w:tr>
        <w:tc>
          <w:tcPr>
            <w:tcW w:type="dxa" w:w="28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Fonctionnalité</w:t>
            </w:r>
          </w:p>
        </w:tc>
        <w:tc>
          <w:tcPr>
            <w:tcW w:type="dxa" w:w="38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c>
          <w:tcPr>
            <w:tcW w:type="dxa" w:w="28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Voir les détails des Admins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Consultation complète du profil, rôles et informations d'un Admin.</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GET /api/admins/{id}</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Consulter les activités d'un Admin</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Audit log de toutes les actions effectuées par un Admin.</w:t>
            </w:r>
          </w:p>
        </w:tc>
        <w:tc>
          <w:tcPr>
            <w:tcW w:type="dxa" w:w="28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Audit service (logs)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Bloquer un compte Admin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Suspension d'un compte Admin. Le compte reste dans le système.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PATCH /api/admins/{id}/statut → INACTIVE</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Débloquer un compte Admin</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Réactivation d'un compte Admin précédemment bloqué.</w:t>
            </w:r>
          </w:p>
        </w:tc>
        <w:tc>
          <w:tcPr>
            <w:tcW w:type="dxa" w:w="28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PATCH /api/admins/{id}/statut → ACTIVE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Valider les demandes de float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Approbation ou rejet des demandes de float émises par les Admins.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Interface dédiée</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Créer un Admin</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Création d'un nouveau compte Administrateur.</w:t>
            </w:r>
          </w:p>
        </w:tc>
        <w:tc>
          <w:tcPr>
            <w:tcW w:type="dxa" w:w="28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POST /api/admins/creer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Changer le rôle d'un utilisateur</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Attribution ou révocation de rôles.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PUT /api/admins/modifier/{id}</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8.2 Droits de l'Admin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Fonctionnalité</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 requis</w:t>
            </w:r>
          </w:p>
        </w:tc>
        <w:tc>
          <w:tcPr>
            <w:tcW w:type="dxa" w:w="3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Gérer les floats des Agents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Consultation et ajustement du float de chaque agent.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Demander un float</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Soumission d'une demande de float auprès du Super Admin.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Valider le KYC</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Revue manuelle des dossiers KYC en attente.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Approuver un agent</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Validation de l'inscription d'un nouvel agent.</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Assister un utilisateur</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Déblocage de compte, réinitialisation, support.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Exporter des rapports</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Extraction de données (CSV, Excel) en lecture seule.</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8.3 Workflow de demande de float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00"/>
        <w:gridCol w:w="2000"/>
      </w:tblGrid>
      <w:tr>
        <w:tc>
          <w:tcPr>
            <w:tcW w:type="dxa" w:w="1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Étape</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Acteur</w:t>
            </w:r>
          </w:p>
        </w:tc>
        <w:tc>
          <w:tcPr>
            <w:tcW w:type="dxa" w:w="4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Action</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Statut</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Soumet une demande de float via l'interface back-office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EN ATTENTE</w:t>
            </w:r>
          </w:p>
        </w:tc>
      </w:tr>
      <w:tr>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Système</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automatique envoyée au Super Admin</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EN ATTENTE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Consulte la demande avec montant et justification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EN RÉVISION</w:t>
            </w:r>
          </w:p>
        </w:tc>
      </w:tr>
      <w:tr>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4</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Approuve ou rejette la demande avec commentaire</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APPROUVÉ / REJETÉ</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Système</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Mise à jour du float de l'agent concerné si approuvé</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CLÔTURÉ</w:t>
            </w:r>
          </w:p>
        </w:tc>
      </w:tr>
      <w:tr>
        <w:tc>
          <w:tcPr>
            <w:tcW w:type="dxa" w:w="1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Service</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 notification push à l'Admin demandeur</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CLÔTURÉ</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8.4 Endpoints Admins — User Service (port 8001)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4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38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4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/api/auth/login</w:t>
            </w:r>
          </w:p>
        </w:tc>
        <w:tc>
          <w:tcPr>
            <w:tcW w:type="dxa" w:w="4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Authentification par email</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/api/admins/creer</w:t>
            </w:r>
          </w:p>
        </w:tc>
        <w:tc>
          <w:tcPr>
            <w:tcW w:type="dxa" w:w="4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Créer un nouvel administrateur (Super Admin uniquement)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w:t>
            </w:r>
          </w:p>
        </w:tc>
        <w:tc>
          <w:tcPr>
            <w:tcW w:type="dxa" w:w="4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tous les admins y compris super admins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/api/admins/{id}</w:t>
            </w:r>
          </w:p>
        </w:tc>
        <w:tc>
          <w:tcPr>
            <w:tcW w:type="dxa" w:w="4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un admin par ID — accessible au Super Admin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PUT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/api/admins/modifier/{id}</w:t>
            </w:r>
          </w:p>
        </w:tc>
        <w:tc>
          <w:tcPr>
            <w:tcW w:type="dxa" w:w="4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Modifier les informations d'un admin</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3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/api/admins/{id}/statut</w:t>
            </w:r>
          </w:p>
        </w:tc>
        <w:tc>
          <w:tcPr>
            <w:tcW w:type="dxa" w:w="44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Bloquer ou débloquer un compte admin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/api/admins/admins-only</w:t>
            </w:r>
          </w:p>
        </w:tc>
        <w:tc>
          <w:tcPr>
            <w:tcW w:type="dxa" w:w="44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uniquement les admins (exclut super admins)</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9. KYC &amp; Conformité</w:t>
      </w:r>
    </w:p>
    <w:p>
      <w:pPr>
        <w:pStyle w:val="Heading2"/>
        <w:spacing w:after="120" w:before="240"/>
      </w:pPr>
      <w:r>
        <w:rPr>
          <w:rFonts w:ascii="Arial" w:cs="Arial" w:eastAsia="Arial" w:hAnsi="Arial"/>
          <w:b/>
          <w:bCs/>
          <w:color w:val="2E75B6"/>
          <w:sz w:val="26"/>
          <w:szCs w:val="26"/>
        </w:rPr>
        <w:t xml:space="preserve">9.1 Niveaux KYC et plafonds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760"/>
      </w:tblGrid>
      <w:tr>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Niveau</w:t>
            </w:r>
          </w:p>
        </w:tc>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Condition</w:t>
            </w:r>
          </w:p>
        </w:tc>
        <w:tc>
          <w:tcPr>
            <w:tcW w:type="dxa" w:w="37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Plafond de transaction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Niveau 0 — Basique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Inscription avec numéro de téléphone uniquement</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100 000 XOF par transaction</w:t>
            </w:r>
          </w:p>
        </w:tc>
      </w:tr>
      <w:tr>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Niveau 1 — Vérifié</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Vérification avec pièce d'identité ou document officiel</w:t>
            </w:r>
          </w:p>
        </w:tc>
        <w:tc>
          <w:tcPr>
            <w:tcW w:type="dxa" w:w="3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2 000 000 XOF par transaction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Niveau 2 — Premium</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complet validé manuellement par un Admin</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Plafond sur mesure selon profil</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9.2 Affichage de l'image 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00000" w:sz="1"/>
              <w:left w:val="single" w:color="C00000" w:sz="1"/>
              <w:bottom w:val="single" w:color="C00000" w:sz="1"/>
              <w:right w:val="single" w:color="C00000" w:sz="1"/>
            </w:tcBorders>
            <w:shd w:fill="C00000"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 BUG CRITIQUE — Affichage image KYC (à corriger en priorité)</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BUG IDENTIFIÉ : L'image KYC soumise par l'utilisateur n'est pas visible dans le back-office.</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CORRECTION : Implémenter le chargement et l'affichage de l'image depuis le service KYC.</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L'image doit être affichée en vignette cliquable dans le tableau de liste KYC.</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 clic, une modale doit afficher l'image en grand format avec zoom possible.</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Formats supportés : JPEG, PNG. Taille max recommandée : 5 Mo par document.</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9.3 Workflow de validation KYC</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1300"/>
        <w:gridCol w:w="1660"/>
      </w:tblGrid>
      <w:tr>
        <w:tc>
          <w:tcPr>
            <w:tcW w:type="dxa" w:w="8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Étape</w:t>
            </w:r>
          </w:p>
        </w:tc>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Acteur</w:t>
            </w:r>
          </w:p>
        </w:tc>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Action</w:t>
            </w:r>
          </w:p>
        </w:tc>
        <w:tc>
          <w:tcPr>
            <w:tcW w:type="dxa" w:w="13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Délai</w:t>
            </w:r>
          </w:p>
        </w:tc>
        <w:tc>
          <w:tcPr>
            <w:tcW w:type="dxa" w:w="16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Mode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Utilisateur</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Soumission de documents depuis l'application</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Immédiat</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Manuel</w:t>
            </w:r>
          </w:p>
        </w:tc>
      </w:tr>
      <w:tr>
        <w:tc>
          <w:tcPr>
            <w:tcW w:type="dxa" w:w="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 Smile Identity</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Vérification biométrique, OCR, détection fraude</w:t>
            </w:r>
          </w:p>
        </w:tc>
        <w:tc>
          <w:tcPr>
            <w:tcW w:type="dxa" w:w="13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&lt; 5 min</w:t>
            </w:r>
          </w:p>
        </w:tc>
        <w:tc>
          <w:tcPr>
            <w:tcW w:type="dxa" w:w="1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Automatique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Webhook</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Callback HMAC → mise à jour statut DB</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Asynchrone</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Automatique</w:t>
            </w:r>
          </w:p>
        </w:tc>
      </w:tr>
      <w:tr>
        <w:tc>
          <w:tcPr>
            <w:tcW w:type="dxa" w:w="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Revue manuelle si nécessaire, décision finale</w:t>
            </w:r>
          </w:p>
        </w:tc>
        <w:tc>
          <w:tcPr>
            <w:tcW w:type="dxa" w:w="13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&lt; 48h</w:t>
            </w:r>
          </w:p>
        </w:tc>
        <w:tc>
          <w:tcPr>
            <w:tcW w:type="dxa" w:w="1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Manuel</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Service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 Push résultat au client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Immédiat</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Automatique</w:t>
            </w:r>
          </w:p>
        </w:tc>
      </w:tr>
      <w:tr>
        <w:tc>
          <w:tcPr>
            <w:tcW w:type="dxa" w:w="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Système</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Déblocage automatique des plafonds selon tier validé</w:t>
            </w:r>
          </w:p>
        </w:tc>
        <w:tc>
          <w:tcPr>
            <w:tcW w:type="dxa" w:w="13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Immédiat</w:t>
            </w:r>
          </w:p>
        </w:tc>
        <w:tc>
          <w:tcPr>
            <w:tcW w:type="dxa" w:w="1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Automatique</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9.4 Endpoints KYC Service (port 8000)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7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7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/kyc/start</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Démarrer un processus KYC (avec Idempotency-Key)</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/kyc/status/{user_id}</w:t>
            </w:r>
          </w:p>
        </w:tc>
        <w:tc>
          <w:tcPr>
            <w:tcW w:type="dxa" w:w="4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le statut KYC actuel d'un utilisateur</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/kyc/webhook/smile</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Callback Smile Identity (signature HMAC-SHA256 vérifiée)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/health</w:t>
            </w:r>
          </w:p>
        </w:tc>
        <w:tc>
          <w:tcPr>
            <w:tcW w:type="dxa" w:w="4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Health check du KYC Service</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10. Gestion des Agents</w:t>
      </w:r>
    </w:p>
    <w:p>
      <w:pPr>
        <w:pStyle w:val="Heading2"/>
        <w:spacing w:after="120" w:before="240"/>
      </w:pPr>
      <w:r>
        <w:rPr>
          <w:rFonts w:ascii="Arial" w:cs="Arial" w:eastAsia="Arial" w:hAnsi="Arial"/>
          <w:b/>
          <w:bCs/>
          <w:color w:val="2E75B6"/>
          <w:sz w:val="26"/>
          <w:szCs w:val="26"/>
        </w:rPr>
        <w:t xml:space="preserve">10.1 Corrections critiques — Boutons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00000" w:sz="1"/>
              <w:left w:val="single" w:color="C00000" w:sz="1"/>
              <w:bottom w:val="single" w:color="C00000" w:sz="1"/>
              <w:right w:val="single" w:color="C00000" w:sz="1"/>
            </w:tcBorders>
            <w:shd w:fill="C00000"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 BUGS CRITIQUES — Interface Agents (à corriger en priorité)</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BUG 1 — Bouton 'Voir détail' : le clic doit ouvrir le profil complet de l'agent.</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BUG 2 — Bouton 'Gérer float' : le clic doit ouvrir l'interface de gestion du float.</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 profil agent doit inclure : infos personnelles, statut, code agent, taux de commission, historique float, transactions.</w:t>
            </w:r>
          </w:p>
        </w:tc>
      </w:tr>
      <w:tr>
        <w:tc>
          <w:tcPr>
            <w:gridSpan w:val="1"/>
            <w:tcBorders>
              <w:top w:val="single" w:color="C00000" w:sz="1"/>
              <w:left w:val="single" w:color="C00000" w:sz="1"/>
              <w:bottom w:val="single" w:color="C00000" w:sz="1"/>
              <w:right w:val="single" w:color="C00000"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La gestion du float doit afficher : solde actuel, historique des mouvements, formulaire de demande de rechargement.</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10.2 Fonctionnalités de la page Agent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660"/>
      </w:tblGrid>
      <w:tr>
        <w:tc>
          <w:tcPr>
            <w:tcW w:type="dxa" w:w="28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Fonctionnalité</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c>
          <w:tcPr>
            <w:tcW w:type="dxa" w:w="26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Rôle requis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 des agents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Tableau paginé avec statut, code, nom, float actuel</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Voir détail (CORRIGÉ)</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Profil complet : infos perso, transactions, KYC, historique float</w:t>
            </w:r>
          </w:p>
        </w:tc>
        <w:tc>
          <w:tcPr>
            <w:tcW w:type="dxa" w:w="2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Gérer float (CORRIGÉ)</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Consultation solde, ajustement, demande de rechargement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Approuver un agent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Validation de l'inscription avec taux de commission</w:t>
            </w:r>
          </w:p>
        </w:tc>
        <w:tc>
          <w:tcPr>
            <w:tcW w:type="dxa" w:w="2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Modifier le statut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Activer, suspendre ou désactiver un compte agent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28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 agent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 nom, code, ID, statut (sans filtre de localisation)</w:t>
            </w:r>
          </w:p>
        </w:tc>
        <w:tc>
          <w:tcPr>
            <w:tcW w:type="dxa" w:w="26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Tous les admins</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10.3 Endpoints Agents — User Service (port 8001)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/api/agents/inscription</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Inscription d'un nouvel agent</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/api/agents/{id}/approbation</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Approuver un agent avec taux de commission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tous les agents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/api/agents/{id}</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un agent par ID — utilisé par 'Voir détail'</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/api/agents/code/{code}</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par code agent (ex: AGT142)</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/api/agents/en-attente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 des agents en attente d'approbation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/api/agents/approuves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 des agents approuvés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/api/agents/modifier</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Modifier les informations d'un agent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/api/agents/{id}/statut</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Modifier le statut d'un agent</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/api/auth/change-password</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Changer le mot de passe d'un agent</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11. Gestion des Transactions</w:t>
      </w:r>
    </w:p>
    <w:p>
      <w:pPr>
        <w:pStyle w:val="Heading2"/>
        <w:spacing w:after="120" w:before="240"/>
      </w:pPr>
      <w:r>
        <w:rPr>
          <w:rFonts w:ascii="Arial" w:cs="Arial" w:eastAsia="Arial" w:hAnsi="Arial"/>
          <w:b/>
          <w:bCs/>
          <w:color w:val="2E75B6"/>
          <w:sz w:val="26"/>
          <w:szCs w:val="26"/>
        </w:rPr>
        <w:t xml:space="preserve">11.1 Endpoints Payment Service (port 8080)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/api/payments/deposit</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Effectuer un dépôt — crédite un compte agent/client</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/api/payments/withdraw/initiate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Initier un retrait — génère transactionReference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/api/payments/withdraw/complete/{ref}</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Finaliser le retrait et débiter le compte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/api/payments/transfer/initiate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Initier un transfert — génère withdrawalCode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/api/payments/transfer/confirm</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Confirmer le transfert avec withdrawalCode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/api/payments/pay</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Paiement direct (facture, paiement marchand)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/api/payments/withdraw/qrcode/{ref}</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Obtenir le QR Code d'un retrait/transfert en attente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/api/payments/{accountNumber}/balance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Consulter le solde d'un compte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/api/payments/{accountNumber}/history</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Historique complet des transactions d'un compte</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11.2 Endpoints Wallet Service (port 3000)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Créer un portefeuille (userId + currency XOF)</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Récupérer les informations d'un portefeuille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/wallets/:userId/deposit</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Dépôt + notification RabbitMQ automatique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/wallets/:userId/withdraw</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Retrait si fonds suffisants + notification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/wallets/transfer</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Transfert atomique (Prisma $transaction) + notifications</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/wallets/:userId/history</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Historique complet du ledger comptable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/wallets/:userId/history/recent/:period</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Transactions récentes : 7d | 30d | 3m</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/wallets/:userId/block</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Bloquer un portefeuille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PATCH</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/wallets/:userId/unblock</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Débloquer un portefeuille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/ledgers/:walletId</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Toutes les écritures comptables d'un wallet</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12. Gestion des Partenaires</w:t>
      </w:r>
    </w:p>
    <w:p>
      <w:pPr>
        <w:pStyle w:val="Heading2"/>
        <w:spacing w:after="120" w:before="240"/>
      </w:pPr>
      <w:r>
        <w:rPr>
          <w:rFonts w:ascii="Arial" w:cs="Arial" w:eastAsia="Arial" w:hAnsi="Arial"/>
          <w:b/>
          <w:bCs/>
          <w:color w:val="2E75B6"/>
          <w:sz w:val="26"/>
          <w:szCs w:val="26"/>
        </w:rPr>
        <w:t xml:space="preserve">12.1 Endpoints Partner Service (port 8003)</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/partners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Lister tous les partenaires actifs (Auth : API Key)</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/partners</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Créer un partenaire (code, nom, adaptateur, active) (Auth : API Key)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/integrations/{partner_code}/cashin</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Cash-in via adaptateur partenaire (Auth : API Key)</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/webhooks/{partner_code}</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Réception événements opérateurs externes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/api/v1/partners</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 partenaires inter-services (Auth : JWT interne)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/api/v1/partners/{code}/status</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Statut d'un partenaire inter-services (Auth : JWT interne)</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13. Notifications</w:t>
      </w:r>
    </w:p>
    <w:p>
      <w:pPr>
        <w:pStyle w:val="Heading2"/>
        <w:spacing w:after="120" w:before="240"/>
      </w:pPr>
      <w:r>
        <w:rPr>
          <w:rFonts w:ascii="Arial" w:cs="Arial" w:eastAsia="Arial" w:hAnsi="Arial"/>
          <w:b/>
          <w:bCs/>
          <w:color w:val="2E75B6"/>
          <w:sz w:val="26"/>
          <w:szCs w:val="26"/>
        </w:rPr>
        <w:t xml:space="preserve">13.1 Endpoints Notification Service (port 8000)</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260"/>
      </w:tblGrid>
      <w:tr>
        <w:tc>
          <w:tcPr>
            <w:tcW w:type="dxa" w:w="1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Méthode</w:t>
            </w:r>
          </w:p>
        </w:tc>
        <w:tc>
          <w:tcPr>
            <w:tcW w:type="dxa" w:w="4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Endpoint</w:t>
            </w:r>
          </w:p>
        </w:tc>
        <w:tc>
          <w:tcPr>
            <w:tcW w:type="dxa" w:w="42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/health</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Liveness : statut + uptime</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/health/ready</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Readiness : DB + RabbitMQ + version + commit SHA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/api/notifications/envoyer</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Envoyer une notification directe (SMS / email / push)</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GET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/api/notifications</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Lister toutes les notifications envoyées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/api/notifications/otp/generate</w:t>
            </w:r>
          </w:p>
        </w:tc>
        <w:tc>
          <w:tcPr>
            <w:tcW w:type="dxa" w:w="42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Générer un OTP (SMS uniquement)</w:t>
            </w:r>
          </w:p>
        </w:tc>
      </w:tr>
      <w:tr>
        <w:tc>
          <w:tcPr>
            <w:tcW w:type="dxa" w:w="1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1A1A2E"/>
                <w:sz w:val="20"/>
                <w:szCs w:val="20"/>
              </w:rPr>
              <w:t xml:space="preserve">POST</w:t>
            </w:r>
          </w:p>
        </w:tc>
        <w:tc>
          <w:tcPr>
            <w:tcW w:type="dxa" w:w="4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/api/notifications/otp/verify</w:t>
            </w:r>
          </w:p>
        </w:tc>
        <w:tc>
          <w:tcPr>
            <w:tcW w:type="dxa" w:w="42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Vérifier un OTP soumis</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13.2 Règles par événement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3000"/>
      </w:tblGrid>
      <w:tr>
        <w:tc>
          <w:tcPr>
            <w:tcW w:type="dxa" w:w="2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Événement</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Canal prioritaire</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Canal secondaire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Déclenché par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OTP / Vérification client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Alerte sécurité</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Email si disponible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 User Service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Transfert confirmé</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 Push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 Service (RabbitMQ)</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Dépôt / Retrait réussi</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 Push</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Wallet Service (RabbitMQ)</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approuvé / rejeté</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Push + SMS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Service (webhook)</w:t>
            </w:r>
          </w:p>
        </w:tc>
      </w:tr>
      <w:tr>
        <w:tc>
          <w:tcPr>
            <w:tcW w:type="dxa" w:w="2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 approuvé</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SMS + Email</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Demande de float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Notification back-office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Email</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Super Admin</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14. Configuration de la Plateforme</w:t>
      </w:r>
    </w:p>
    <w:p>
      <w:pPr>
        <w:pStyle w:val="Heading2"/>
        <w:spacing w:after="120" w:before="240"/>
      </w:pPr>
      <w:r>
        <w:rPr>
          <w:rFonts w:ascii="Arial" w:cs="Arial" w:eastAsia="Arial" w:hAnsi="Arial"/>
          <w:b/>
          <w:bCs/>
          <w:color w:val="2E75B6"/>
          <w:sz w:val="26"/>
          <w:szCs w:val="26"/>
        </w:rPr>
        <w:t xml:space="preserve">14.1 Gestion des frais de service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Type d'opération</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Modèle de frais</w:t>
            </w:r>
          </w:p>
        </w:tc>
        <w:tc>
          <w:tcPr>
            <w:tcW w:type="dxa" w:w="2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Paramétrable par</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Transfert inter-utilisateurs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 du montant + montant fixe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Retrait via agent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 du montant</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Dépôt via agent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Gratuit ou % plafonné</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Paiement marchand</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 à charge marchand</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Cash-in via opérateur</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Selon SLA partenaire</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Transfert international</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 variable par corridor</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15. Sécurité &amp; Conformité</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Exigence</w:t>
            </w:r>
          </w:p>
        </w:tc>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Standard</w:t>
            </w:r>
          </w:p>
        </w:tc>
        <w:tc>
          <w:tcPr>
            <w:tcW w:type="dxa" w:w="2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Services concernés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Chiffrement données au repos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AES-256</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Tous services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Chiffrement en transit</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TLS 1.3</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API Gateway</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Auth API externe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Firebase Auth + JWT</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Auth inter-services</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JWT interne HS256 (RICASH_INTERNAL_TOKEN)</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Partner, User, Payment</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Conformité paiement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PCI-DSS Level 1</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Payment, Wallet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Protection données personnelles</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RGPD + réglementations BCEAO</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User</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Signature webhooks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HMAC-SHA256</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 Service, Partner</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Audit logs</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Conservation 7 ans minimum</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Tous services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Tests de sécurité</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Pentest annuel + bug bounty</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Plateforme entière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OTP / 2FA</w:t>
            </w:r>
          </w:p>
        </w:tc>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Durée de vie courte, usage unique</w:t>
            </w:r>
          </w:p>
        </w:tc>
        <w:tc>
          <w:tcPr>
            <w:tcW w:type="dxa" w:w="2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User Service, Notification</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16. Livrables Attendus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500"/>
        <w:gridCol w:w="5960"/>
      </w:tblGrid>
      <w:tr>
        <w:tc>
          <w:tcPr>
            <w:tcW w:type="dxa" w:w="3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Livrable</w:t>
            </w:r>
          </w:p>
        </w:tc>
        <w:tc>
          <w:tcPr>
            <w:tcW w:type="dxa" w:w="59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Description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Cahier des charges complet</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Ce document — v4.0 consolidée</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Maquettes UI/UX</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Figma — Mobile, Web, Back-office, Interface Agent</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Application mobile</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APK (Android) + iOS TestFlight</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Plateforme web</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Application React/Vue responsive et opérationnelle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Back-office sécurisé</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Interface administrateur complète avec tous les modules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Interface Agent</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Application dédiée aux agents terrain</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Documentation API</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Swagger/OpenAPI pour tous les microservices</w:t>
            </w:r>
          </w:p>
        </w:tc>
      </w:tr>
      <w:tr>
        <w:tc>
          <w:tcPr>
            <w:tcW w:type="dxa" w:w="3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Guide utilisateur</w:t>
            </w:r>
          </w:p>
        </w:tc>
        <w:tc>
          <w:tcPr>
            <w:tcW w:type="dxa" w:w="59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Documentation fonctionnelle complète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Infrastructure Docker</w:t>
            </w:r>
          </w:p>
        </w:tc>
        <w:tc>
          <w:tcPr>
            <w:tcW w:type="dxa" w:w="59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Fichiers Docker Compose + configuration Kubernetes</w:t>
            </w:r>
          </w:p>
        </w:tc>
      </w:tr>
    </w:tbl>
    <w:p>
      <w:pPr>
        <w:spacing w:after="60" w:before="60"/>
        <w:jc w:val="left"/>
      </w:pPr>
      <w:r>
        <w:rPr>
          <w:rFonts w:ascii="Arial" w:cs="Arial" w:eastAsia="Arial" w:hAnsi="Arial"/>
          <w:b w:val="false"/>
          <w:bCs w:val="false"/>
          <w:i w:val="false"/>
          <w:iCs w:val="false"/>
          <w:color w:val="1A1A2E"/>
          <w:sz w:val="22"/>
          <w:szCs w:val="22"/>
        </w:rPr>
        <w:t xml:space="preserve"/>
      </w:r>
    </w:p>
    <w:p>
      <w:pPr>
        <w:pStyle w:val="Heading2"/>
        <w:spacing w:after="120" w:before="240"/>
      </w:pPr>
      <w:r>
        <w:rPr>
          <w:rFonts w:ascii="Arial" w:cs="Arial" w:eastAsia="Arial" w:hAnsi="Arial"/>
          <w:b/>
          <w:bCs/>
          <w:color w:val="2E75B6"/>
          <w:sz w:val="26"/>
          <w:szCs w:val="26"/>
        </w:rPr>
        <w:t xml:space="preserve">16.1 Planning prévisionnel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000"/>
      </w:tblGrid>
      <w:tr>
        <w:tc>
          <w:tcPr>
            <w:tcW w:type="dxa" w:w="3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Phase</w:t>
            </w:r>
          </w:p>
        </w:tc>
        <w:tc>
          <w:tcPr>
            <w:tcW w:type="dxa" w:w="4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Contenu</w:t>
            </w:r>
          </w:p>
        </w:tc>
        <w:tc>
          <w:tcPr>
            <w:tcW w:type="dxa" w:w="2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Durée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 — Analyse &amp; Conception</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Analyse des besoins, architecture, maquettes UI/UX</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 semaines</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 — Développement Backend</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Microservices, API, base de données, auth</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 semaines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 — Développement Frontend</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Mobile (iOS/Android), Web, Interface Agent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 semaines</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4 — Intégration &amp; Tests</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Tests unitaires, d'intégration, sécurité, performance</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 semaines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5 — Back-office</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Tableau de bord, modules admin, reporting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 semaines</w:t>
            </w:r>
          </w:p>
        </w:tc>
      </w:tr>
      <w:tr>
        <w:tc>
          <w:tcPr>
            <w:tcW w:type="dxa" w:w="3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 — Recette &amp; Lancement</w:t>
            </w:r>
          </w:p>
        </w:tc>
        <w:tc>
          <w:tcPr>
            <w:tcW w:type="dxa" w:w="4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UAT, corrections, déploiement production</w:t>
            </w:r>
          </w:p>
        </w:tc>
        <w:tc>
          <w:tcPr>
            <w:tcW w:type="dxa" w:w="2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 semaines</w:t>
            </w:r>
          </w:p>
        </w:tc>
      </w:tr>
    </w:tbl>
    <w:p>
      <w:pPr>
        <w:spacing w:after="60" w:before="120"/>
        <w:jc w:val="left"/>
      </w:pPr>
      <w:r>
        <w:rPr>
          <w:rFonts w:ascii="Arial" w:cs="Arial" w:eastAsia="Arial" w:hAnsi="Arial"/>
          <w:b/>
          <w:bCs/>
          <w:i w:val="false"/>
          <w:iCs w:val="false"/>
          <w:color w:val="1A1A2E"/>
          <w:sz w:val="22"/>
          <w:szCs w:val="22"/>
        </w:rPr>
        <w:t xml:space="preserve">Durée totale prévisionnelle : 23 semaines (environ 6 mois)</w:t>
      </w:r>
    </w:p>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A3C6E"/>
          <w:sz w:val="34"/>
          <w:szCs w:val="34"/>
        </w:rPr>
        <w:t xml:space="preserve">17. Synthèse des Modifications &amp; Corrections (v3.1 → v4.0)</w:t>
      </w:r>
    </w:p>
    <w:p>
      <w:pPr>
        <w:spacing w:after="120" w:before="60"/>
        <w:jc w:val="left"/>
      </w:pPr>
      <w:r>
        <w:rPr>
          <w:rFonts w:ascii="Arial" w:cs="Arial" w:eastAsia="Arial" w:hAnsi="Arial"/>
          <w:b w:val="false"/>
          <w:bCs w:val="false"/>
          <w:i w:val="false"/>
          <w:iCs w:val="false"/>
          <w:color w:val="1A1A2E"/>
          <w:sz w:val="22"/>
          <w:szCs w:val="22"/>
        </w:rPr>
        <w:t xml:space="preserve">Le tableau ci-dessous récapitule l'ensemble des évolutions et corrections demandées, intégrées dans cette version consolidée :</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000"/>
        <w:gridCol w:w="1760"/>
      </w:tblGrid>
      <w:tr>
        <w:tc>
          <w:tcPr>
            <w:tcW w:type="dxa" w:w="5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w:t>
            </w:r>
          </w:p>
        </w:tc>
        <w:tc>
          <w:tcPr>
            <w:tcW w:type="dxa" w:w="22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Module</w:t>
            </w:r>
          </w:p>
        </w:tc>
        <w:tc>
          <w:tcPr>
            <w:tcW w:type="dxa" w:w="500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Modification / Correction</w:t>
            </w:r>
          </w:p>
        </w:tc>
        <w:tc>
          <w:tcPr>
            <w:tcW w:type="dxa" w:w="1760"/>
            <w:gridSpan w:val="1"/>
            <w:tcBorders>
              <w:top w:val="single" w:color="2E75B6" w:sz="1"/>
              <w:left w:val="single" w:color="2E75B6" w:sz="1"/>
              <w:bottom w:val="single" w:color="2E75B6" w:sz="1"/>
              <w:right w:val="single" w:color="2E75B6" w:sz="1"/>
            </w:tcBorders>
            <w:shd w:fill="1A3C6E" w:val="clear"/>
            <w:tcMar>
              <w:top w:type="dxa" w:w="80"/>
              <w:left w:type="dxa" w:w="150"/>
              <w:bottom w:type="dxa" w:w="80"/>
              <w:right w:type="dxa" w:w="150"/>
            </w:tcMar>
            <w:vAlign w:val="center"/>
          </w:tcPr>
          <w:p>
            <w:pPr>
              <w:spacing w:after="0" w:before="0"/>
              <w:jc w:val="left"/>
            </w:pPr>
            <w:r>
              <w:rPr>
                <w:rFonts w:ascii="Arial" w:cs="Arial" w:eastAsia="Arial" w:hAnsi="Arial"/>
                <w:b/>
                <w:bCs/>
                <w:i w:val="false"/>
                <w:iCs w:val="false"/>
                <w:color w:val="FFFFFF"/>
                <w:sz w:val="20"/>
                <w:szCs w:val="20"/>
              </w:rPr>
              <w:t xml:space="preserve">Priorité</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Sidebar / Navigation</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Séparer clairement les utilisateurs par catégorie : Super Admin, Admin, Agent, Client</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Gestion utilisateurs</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Interdire toute suppression physique d'utilisateur — désactivation uniquement</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Gestion utilisateurs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Chaque utilisateur ne peut modifier que ses propres informations personnelles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Gestion utilisateurs</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Le Super Admin ne peut pas modifier les données personnelles d'un Admin</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Gestion utilisateurs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Un Admin ne peut pas modifier les données personnelles d'un Agent ou Client</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 / Filtres</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Ne pas afficher 'Tous' par défaut — utiliser un placeholder explicatif</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MOYENNE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Recherche / Filtres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Ajouter des libellés explicatifs sur tous les filtres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MOYENNE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8</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Agents</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Supprimer les filtres de localisation — recherche textuelle uniquement</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MOYENNE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Rôles / Comptes</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Gérer les rôles multiples par utilisateur (Client+Agent, Admin+Client…)</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10</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Rôles / Comptes</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Afficher le nombre total de comptes/rôles associés à chaque utilisateur</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MOYENNE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Permettre au Super Admin de voir les détails et activités des Admins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12</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Super Admin</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Bloquer / débloquer un compte Admin depuis le back-office</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Permettre à l'Admin de gérer les floats des Agents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14</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Admin / Super Admin</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Workflow de demande de float : Admin soumet → Super Admin valide</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15</w:t>
            </w:r>
          </w:p>
        </w:tc>
        <w:tc>
          <w:tcPr>
            <w:tcW w:type="dxa" w:w="22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KYC</w:t>
            </w:r>
          </w:p>
        </w:tc>
        <w:tc>
          <w:tcPr>
            <w:tcW w:type="dxa" w:w="50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 : Corriger l'affichage de l'image KYC (bug actuel — image non visible)</w:t>
            </w:r>
          </w:p>
        </w:tc>
        <w:tc>
          <w:tcPr>
            <w:tcW w:type="dxa" w:w="176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w:t>
            </w:r>
          </w:p>
        </w:tc>
      </w:tr>
      <w:tr>
        <w:tc>
          <w:tcPr>
            <w:tcW w:type="dxa" w:w="5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16</w:t>
            </w:r>
          </w:p>
        </w:tc>
        <w:tc>
          <w:tcPr>
            <w:tcW w:type="dxa" w:w="22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Agents</w:t>
            </w:r>
          </w:p>
        </w:tc>
        <w:tc>
          <w:tcPr>
            <w:tcW w:type="dxa" w:w="50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 : Corriger le bouton 'Voir détail' (bug actuel — non fonctionnel)</w:t>
            </w:r>
          </w:p>
        </w:tc>
        <w:tc>
          <w:tcPr>
            <w:tcW w:type="dxa" w:w="176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w:t>
            </w:r>
          </w:p>
        </w:tc>
      </w:tr>
      <w:tr>
        <w:tc>
          <w:tcPr>
            <w:tcW w:type="dxa" w:w="5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17</w:t>
            </w:r>
          </w:p>
        </w:tc>
        <w:tc>
          <w:tcPr>
            <w:tcW w:type="dxa" w:w="22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Agents</w:t>
            </w:r>
          </w:p>
        </w:tc>
        <w:tc>
          <w:tcPr>
            <w:tcW w:type="dxa" w:w="500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 : Corriger le bouton 'Gérer float' (bug actuel — non fonctionnel)</w:t>
            </w:r>
          </w:p>
        </w:tc>
        <w:tc>
          <w:tcPr>
            <w:tcW w:type="dxa" w:w="1760"/>
            <w:gridSpan w:val="1"/>
            <w:tcBorders>
              <w:top w:val="single" w:color="CCCCCC" w:sz="1"/>
              <w:left w:val="single" w:color="CCCCCC" w:sz="1"/>
              <w:bottom w:val="single" w:color="CCCCCC" w:sz="1"/>
              <w:right w:val="single" w:color="CCCCCC" w:sz="1"/>
            </w:tcBorders>
            <w:shd w:fill="FFF0F0"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C00000"/>
                <w:sz w:val="20"/>
                <w:szCs w:val="20"/>
              </w:rPr>
              <w:t xml:space="preserve">CRITIQUE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18</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Architecture</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Ajout documentation microservices complète (stack, ports, rôles)</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19</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KYC</w:t>
            </w:r>
          </w:p>
        </w:tc>
        <w:tc>
          <w:tcPr>
            <w:tcW w:type="dxa" w:w="50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Définition claire des niveaux KYC et plafonds associés (100K / 2M XOF)</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HAUTE</w:t>
            </w:r>
          </w:p>
        </w:tc>
      </w:tr>
      <w:tr>
        <w:tc>
          <w:tcPr>
            <w:tcW w:type="dxa" w:w="5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20</w:t>
            </w:r>
          </w:p>
        </w:tc>
        <w:tc>
          <w:tcPr>
            <w:tcW w:type="dxa" w:w="22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Planning</w:t>
            </w:r>
          </w:p>
        </w:tc>
        <w:tc>
          <w:tcPr>
            <w:tcW w:type="dxa" w:w="500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Extension du planning à 23 semaines pour couvrir toutes les phases</w:t>
            </w:r>
          </w:p>
        </w:tc>
        <w:tc>
          <w:tcPr>
            <w:tcW w:type="dxa" w:w="1760"/>
            <w:gridSpan w:val="1"/>
            <w:tcBorders>
              <w:top w:val="single" w:color="CCCCCC" w:sz="1"/>
              <w:left w:val="single" w:color="CCCCCC" w:sz="1"/>
              <w:bottom w:val="single" w:color="CCCCCC" w:sz="1"/>
              <w:right w:val="single" w:color="CCCCCC" w:sz="1"/>
            </w:tcBorders>
            <w:shd w:fill="F0F7FF" w:val="clear"/>
            <w:tcMar>
              <w:top w:type="dxa" w:w="80"/>
              <w:left w:type="dxa" w:w="150"/>
              <w:bottom w:type="dxa" w:w="80"/>
              <w:right w:type="dxa" w:w="150"/>
            </w:tcMar>
            <w:vAlign w:val="center"/>
          </w:tcPr>
          <w:p>
            <w:pPr>
              <w:spacing w:after="0" w:before="0"/>
              <w:jc w:val="left"/>
            </w:pPr>
            <w:r>
              <w:rPr>
                <w:rFonts w:ascii="Arial" w:cs="Arial" w:eastAsia="Arial" w:hAnsi="Arial"/>
                <w:b w:val="false"/>
                <w:bCs w:val="false"/>
                <w:i w:val="false"/>
                <w:iCs w:val="false"/>
                <w:color w:val="1A1A2E"/>
                <w:sz w:val="20"/>
                <w:szCs w:val="20"/>
              </w:rPr>
              <w:t xml:space="preserve">MOYENNE</w:t>
            </w:r>
          </w:p>
        </w:tc>
      </w:tr>
    </w:tbl>
    <w:p>
      <w:pPr>
        <w:spacing w:after="60" w:before="60"/>
        <w:jc w:val="left"/>
      </w:pPr>
      <w:r>
        <w:rPr>
          <w:rFonts w:ascii="Arial" w:cs="Arial" w:eastAsia="Arial" w:hAnsi="Arial"/>
          <w:b w:val="false"/>
          <w:bCs w:val="false"/>
          <w:i w:val="false"/>
          <w:iCs w:val="false"/>
          <w:color w:val="1A1A2E"/>
          <w:sz w:val="22"/>
          <w:szCs w:val="22"/>
        </w:rPr>
        <w:t xml:space="preserve"/>
      </w:r>
    </w:p>
    <w:p>
      <w:r>
        <w:br w:type="page"/>
      </w:r>
    </w:p>
    <w:p>
      <w:pPr>
        <w:spacing w:after="240" w:before="1440"/>
        <w:jc w:val="center"/>
      </w:pPr>
      <w:r>
        <w:rPr>
          <w:rFonts w:ascii="Arial" w:cs="Arial" w:eastAsia="Arial" w:hAnsi="Arial"/>
          <w:i/>
          <w:iCs/>
          <w:color w:val="666666"/>
          <w:sz w:val="24"/>
          <w:szCs w:val="24"/>
        </w:rPr>
        <w:t xml:space="preserve">— Fin du document —</w:t>
      </w:r>
    </w:p>
    <w:p>
      <w:pPr>
        <w:spacing w:after="120" w:before="120"/>
        <w:jc w:val="center"/>
      </w:pPr>
      <w:r>
        <w:rPr>
          <w:rFonts w:ascii="Arial" w:cs="Arial" w:eastAsia="Arial" w:hAnsi="Arial"/>
          <w:color w:val="666666"/>
          <w:sz w:val="20"/>
          <w:szCs w:val="20"/>
        </w:rPr>
        <w:t xml:space="preserve">© 2025 Ricash — Cahier des Charges v4.0 — Document confidentiel. Tous droits réservés.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666666"/>
        <w:sz w:val="16"/>
        <w:szCs w:val="16"/>
      </w:rPr>
      <w:t xml:space="preserve">© 2025 Ricash — Document confidentiel. Tous droits réservés.</w:t>
    </w:r>
    <w:r>
      <w:rPr>
        <w:rFonts w:ascii="Arial" w:cs="Arial" w:eastAsia="Arial" w:hAnsi="Arial"/>
        <w:color w:val="666666"/>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bCs/>
        <w:color w:val="1A3C6E"/>
        <w:sz w:val="18"/>
        <w:szCs w:val="18"/>
      </w:rPr>
      <w:t xml:space="preserve">RICASH — Cahier des Charges Complet v4.0</w:t>
    </w:r>
    <w:r>
      <w:rPr>
        <w:rFonts w:ascii="Arial" w:cs="Arial" w:eastAsia="Arial" w:hAnsi="Arial"/>
        <w:color w:val="666666"/>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2026-05-17T21:14:40.685Z</dcterms:created>
  <dcterms:modified xsi:type="dcterms:W3CDTF">2026-05-17T21:14:40.685Z</dcterms:modified>
</cp:coreProperties>
</file>

<file path=docProps/custom.xml><?xml version="1.0" encoding="utf-8"?>
<Properties xmlns="http://schemas.openxmlformats.org/officeDocument/2006/custom-properties" xmlns:vt="http://schemas.openxmlformats.org/officeDocument/2006/docPropsVTypes"/>
</file>