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85AF" w14:textId="291C979B" w:rsidR="00EA5D2D" w:rsidRPr="00084BD2" w:rsidRDefault="00AE70D7" w:rsidP="00577734">
      <w:pPr>
        <w:pStyle w:val="PaperTitle"/>
        <w:jc w:val="center"/>
      </w:pPr>
      <w:r>
        <w:t xml:space="preserve"> </w:t>
      </w:r>
      <w:r w:rsidR="00914B9C" w:rsidRPr="00914B9C">
        <w:t xml:space="preserve">Predicting Data Breaches with Machine Learning: A Focus on Data Type and Vulnerabilities </w:t>
      </w:r>
      <w:r w:rsidR="00084BD2" w:rsidRPr="00084BD2">
        <w:t>(</w:t>
      </w:r>
      <w:r w:rsidR="00914B9C">
        <w:t>November</w:t>
      </w:r>
      <w:r w:rsidR="00084BD2" w:rsidRPr="00084BD2">
        <w:t xml:space="preserve"> 20</w:t>
      </w:r>
      <w:r w:rsidR="00EA6AD9">
        <w:t>2</w:t>
      </w:r>
      <w:r w:rsidR="00914B9C">
        <w:t>3</w:t>
      </w:r>
      <w:r w:rsidR="00084BD2" w:rsidRPr="00084BD2">
        <w:t>)</w:t>
      </w:r>
    </w:p>
    <w:p w14:paraId="026353B5" w14:textId="4D257D7D" w:rsidR="00EA5D2D" w:rsidRPr="00084BD2" w:rsidRDefault="00914B9C" w:rsidP="00AE70D7">
      <w:pPr>
        <w:pStyle w:val="AU"/>
        <w:spacing w:after="0"/>
        <w:ind w:right="0"/>
        <w:jc w:val="center"/>
      </w:pPr>
      <w:r>
        <w:t>Y Sugiyama</w:t>
      </w:r>
    </w:p>
    <w:p w14:paraId="378F0505" w14:textId="33D56B1C" w:rsidR="00084BD2" w:rsidRPr="005C261D" w:rsidRDefault="00914B9C" w:rsidP="00AE70D7">
      <w:pPr>
        <w:pStyle w:val="PINoSpace"/>
        <w:ind w:right="0" w:firstLine="0"/>
        <w:jc w:val="center"/>
        <w:rPr>
          <w:sz w:val="14"/>
          <w:szCs w:val="14"/>
        </w:rPr>
      </w:pPr>
      <w:r>
        <w:rPr>
          <w:sz w:val="14"/>
          <w:szCs w:val="14"/>
        </w:rPr>
        <w:t>George Mason</w:t>
      </w:r>
      <w:r w:rsidR="00084BD2" w:rsidRPr="005C261D">
        <w:rPr>
          <w:sz w:val="14"/>
          <w:szCs w:val="14"/>
        </w:rPr>
        <w:t xml:space="preserve"> </w:t>
      </w:r>
      <w:r>
        <w:rPr>
          <w:sz w:val="14"/>
          <w:szCs w:val="14"/>
        </w:rPr>
        <w:t>University,</w:t>
      </w:r>
      <w:r w:rsidR="00084BD2" w:rsidRPr="005C261D">
        <w:rPr>
          <w:sz w:val="14"/>
          <w:szCs w:val="14"/>
        </w:rPr>
        <w:t xml:space="preserve"> </w:t>
      </w:r>
      <w:r>
        <w:rPr>
          <w:sz w:val="14"/>
          <w:szCs w:val="14"/>
        </w:rPr>
        <w:t>Fairfax</w:t>
      </w:r>
      <w:r w:rsidR="00084BD2" w:rsidRPr="005C261D">
        <w:rPr>
          <w:sz w:val="14"/>
          <w:szCs w:val="14"/>
        </w:rPr>
        <w:t xml:space="preserve">, </w:t>
      </w:r>
      <w:r>
        <w:rPr>
          <w:sz w:val="14"/>
          <w:szCs w:val="14"/>
        </w:rPr>
        <w:t>VA</w:t>
      </w:r>
      <w:r w:rsidR="00084BD2" w:rsidRPr="005C261D">
        <w:rPr>
          <w:sz w:val="14"/>
          <w:szCs w:val="14"/>
        </w:rPr>
        <w:t xml:space="preserve"> </w:t>
      </w:r>
      <w:r>
        <w:rPr>
          <w:sz w:val="14"/>
          <w:szCs w:val="14"/>
        </w:rPr>
        <w:t>22030</w:t>
      </w:r>
      <w:r w:rsidR="00084BD2" w:rsidRPr="005C261D">
        <w:rPr>
          <w:sz w:val="14"/>
          <w:szCs w:val="14"/>
        </w:rPr>
        <w:t xml:space="preserve"> USA</w:t>
      </w:r>
    </w:p>
    <w:p w14:paraId="1CCBECE9" w14:textId="564C78C4" w:rsidR="00914B9C" w:rsidRDefault="005C261D" w:rsidP="00AE70D7">
      <w:pPr>
        <w:pStyle w:val="PI"/>
        <w:spacing w:before="100" w:after="100"/>
        <w:ind w:right="0" w:firstLine="0"/>
        <w:jc w:val="center"/>
      </w:pPr>
      <w:r>
        <w:t xml:space="preserve">Corresponding author: </w:t>
      </w:r>
      <w:r w:rsidR="00914B9C">
        <w:t>Y Sugiyama</w:t>
      </w:r>
      <w:r>
        <w:t xml:space="preserve"> (e</w:t>
      </w:r>
      <w:r w:rsidR="00001A52">
        <w:t>-</w:t>
      </w:r>
      <w:r>
        <w:t xml:space="preserve">mail: </w:t>
      </w:r>
      <w:r w:rsidR="00914B9C">
        <w:t>ysugiyam</w:t>
      </w:r>
      <w:r>
        <w:t xml:space="preserve">@ </w:t>
      </w:r>
      <w:r w:rsidR="00914B9C">
        <w:t>protonmail</w:t>
      </w:r>
      <w:r>
        <w:t>.</w:t>
      </w:r>
      <w:r w:rsidR="00914B9C">
        <w:t>com</w:t>
      </w:r>
      <w:r>
        <w:t>).</w:t>
      </w:r>
    </w:p>
    <w:p w14:paraId="7CF05F7E" w14:textId="77777777" w:rsidR="00914B9C" w:rsidRPr="00914B9C" w:rsidRDefault="00914B9C" w:rsidP="00914B9C">
      <w:pPr>
        <w:pStyle w:val="PI"/>
        <w:spacing w:before="100" w:after="100"/>
        <w:ind w:right="1598" w:firstLine="0"/>
        <w:jc w:val="center"/>
        <w:rPr>
          <w:rStyle w:val="H5CharChar"/>
          <w:rFonts w:ascii="Times New Roman" w:hAnsi="Times New Roman"/>
          <w:b w:val="0"/>
          <w:color w:val="auto"/>
        </w:rPr>
      </w:pPr>
    </w:p>
    <w:p w14:paraId="1B897427" w14:textId="0339B199" w:rsidR="00AE70D7" w:rsidRDefault="00ED20D7" w:rsidP="00AE70D7">
      <w:pPr>
        <w:pStyle w:val="Abstract"/>
        <w:spacing w:after="0"/>
        <w:ind w:right="0"/>
        <w:rPr>
          <w:rStyle w:val="H5CharChar"/>
        </w:rPr>
      </w:pPr>
      <w:r w:rsidRPr="00887BB0">
        <w:rPr>
          <w:rStyle w:val="H5CharChar"/>
        </w:rPr>
        <w:t>ABSTRAC</w:t>
      </w:r>
      <w:r>
        <w:rPr>
          <w:rStyle w:val="H5CharChar"/>
        </w:rPr>
        <w:t xml:space="preserve">T </w:t>
      </w:r>
    </w:p>
    <w:p w14:paraId="09A0C268" w14:textId="70F7A2E2" w:rsidR="00EA5D2D" w:rsidRDefault="00914B9C" w:rsidP="00AE70D7">
      <w:pPr>
        <w:pStyle w:val="Abstract"/>
        <w:spacing w:after="0"/>
        <w:ind w:right="0"/>
      </w:pPr>
      <w:r w:rsidRPr="00914B9C">
        <w:t xml:space="preserve">Data breaches pose challenges for organizations, necessitating a proactive approach to mitigate risks and grasp the underlying dynamics. This study uses machine learning, data science techniques, and NLP to predict Massachusetts data breaches, aiming to uncover patterns and susceptibility. Organizational susceptibility, data protection strategies, and motivations behind data breaches will be investigated. A Decision Tree </w:t>
      </w:r>
      <w:r w:rsidR="000F4EEC">
        <w:t>c</w:t>
      </w:r>
      <w:r w:rsidRPr="00914B9C">
        <w:t>lassifier</w:t>
      </w:r>
      <w:r w:rsidR="000F4EEC">
        <w:t xml:space="preserve"> was employed </w:t>
      </w:r>
      <w:r w:rsidRPr="00914B9C">
        <w:t>on a cleaned, transformed, and normalized dataset with balanced representation</w:t>
      </w:r>
      <w:r w:rsidR="000F4EEC">
        <w:t xml:space="preserve">. </w:t>
      </w:r>
      <w:r w:rsidRPr="00914B9C">
        <w:t>The model achieves 81% accuracy in the training dataset and 80% in the test dataset, with only the two majority classes “Finance” and “Corporation”. This research emphasizes the need for comprehensive data collection, improved NLP, and model robustness. Future work will involve finding a more practical way to categorize these organizations using NLP, exploring more machine learning models, hyperparameter tuning, and collecting additional data, such as geographical locations, to further enhance predictive accuracy. Finally, the study emphasizes the importance of understanding and addressing the multifaceted challenges created by data breaches in diverse organizational contexts.</w:t>
      </w:r>
    </w:p>
    <w:p w14:paraId="00B5C846" w14:textId="77777777" w:rsidR="00AE70D7" w:rsidRPr="00ED20D7" w:rsidRDefault="00AE70D7" w:rsidP="00AE70D7">
      <w:pPr>
        <w:pStyle w:val="Abstract"/>
        <w:spacing w:after="0"/>
        <w:ind w:right="0"/>
        <w:rPr>
          <w:rFonts w:ascii="Helvetica" w:hAnsi="Helvetica"/>
          <w:b/>
          <w:color w:val="00629B"/>
        </w:rPr>
      </w:pPr>
    </w:p>
    <w:p w14:paraId="64DB02D3" w14:textId="77777777" w:rsidR="00AE70D7" w:rsidRDefault="00D828C6" w:rsidP="00AE70D7">
      <w:pPr>
        <w:pStyle w:val="IT"/>
        <w:spacing w:after="0"/>
        <w:ind w:right="0"/>
      </w:pPr>
      <w:r w:rsidRPr="007573E5">
        <w:rPr>
          <w:rStyle w:val="H5CharChar"/>
        </w:rPr>
        <w:t>INDEX TERMS</w:t>
      </w:r>
      <w:r w:rsidR="005C3955" w:rsidRPr="007573E5">
        <w:t xml:space="preserve"> </w:t>
      </w:r>
    </w:p>
    <w:p w14:paraId="7576FB8F" w14:textId="6BA002D7" w:rsidR="00C525DB" w:rsidRDefault="00ED20D7" w:rsidP="00AE70D7">
      <w:pPr>
        <w:pStyle w:val="IT"/>
        <w:spacing w:after="0"/>
        <w:ind w:right="0"/>
        <w:rPr>
          <w:color w:val="000000" w:themeColor="text1"/>
          <w:spacing w:val="-2"/>
        </w:rPr>
      </w:pPr>
      <w:r w:rsidRPr="000F4EEC">
        <w:rPr>
          <w:color w:val="000000" w:themeColor="text1"/>
        </w:rPr>
        <w:t>NLP</w:t>
      </w:r>
      <w:r w:rsidR="000F4EEC">
        <w:rPr>
          <w:color w:val="000000" w:themeColor="text1"/>
        </w:rPr>
        <w:t xml:space="preserve">; </w:t>
      </w:r>
      <w:r w:rsidRPr="000F4EEC">
        <w:rPr>
          <w:color w:val="000000" w:themeColor="text1"/>
        </w:rPr>
        <w:t xml:space="preserve">Machine </w:t>
      </w:r>
      <w:r w:rsidR="000F4EEC">
        <w:rPr>
          <w:color w:val="000000" w:themeColor="text1"/>
        </w:rPr>
        <w:t>l</w:t>
      </w:r>
      <w:r w:rsidRPr="000F4EEC">
        <w:rPr>
          <w:color w:val="000000" w:themeColor="text1"/>
        </w:rPr>
        <w:t>earning</w:t>
      </w:r>
      <w:r w:rsidR="000F4EEC">
        <w:rPr>
          <w:color w:val="000000" w:themeColor="text1"/>
        </w:rPr>
        <w:t xml:space="preserve">; </w:t>
      </w:r>
      <w:r w:rsidR="000F4EEC" w:rsidRPr="000F4EEC">
        <w:rPr>
          <w:color w:val="000000" w:themeColor="text1"/>
          <w:spacing w:val="-2"/>
        </w:rPr>
        <w:t xml:space="preserve">Data </w:t>
      </w:r>
      <w:r w:rsidR="000F4EEC">
        <w:rPr>
          <w:color w:val="000000" w:themeColor="text1"/>
          <w:spacing w:val="-2"/>
        </w:rPr>
        <w:t>b</w:t>
      </w:r>
      <w:r w:rsidR="000F4EEC" w:rsidRPr="000F4EEC">
        <w:rPr>
          <w:color w:val="000000" w:themeColor="text1"/>
          <w:spacing w:val="-2"/>
        </w:rPr>
        <w:t>reaches</w:t>
      </w:r>
      <w:r w:rsidR="000F4EEC">
        <w:rPr>
          <w:color w:val="000000" w:themeColor="text1"/>
          <w:spacing w:val="-2"/>
        </w:rPr>
        <w:t>;</w:t>
      </w:r>
      <w:r w:rsidR="000F4EEC" w:rsidRPr="000F4EEC">
        <w:rPr>
          <w:color w:val="000000" w:themeColor="text1"/>
          <w:spacing w:val="-2"/>
        </w:rPr>
        <w:t xml:space="preserve"> </w:t>
      </w:r>
      <w:r w:rsidR="000F4EEC">
        <w:rPr>
          <w:color w:val="000000" w:themeColor="text1"/>
          <w:spacing w:val="-2"/>
        </w:rPr>
        <w:t xml:space="preserve">Decision tree; Cyber </w:t>
      </w:r>
      <w:r w:rsidR="00AE70D7">
        <w:rPr>
          <w:color w:val="000000" w:themeColor="text1"/>
          <w:spacing w:val="-2"/>
        </w:rPr>
        <w:t>vulnerabilities</w:t>
      </w:r>
    </w:p>
    <w:p w14:paraId="78ED724A" w14:textId="77777777" w:rsidR="00AE70D7" w:rsidRDefault="00AE70D7" w:rsidP="00AE70D7">
      <w:pPr>
        <w:pStyle w:val="IT"/>
        <w:spacing w:after="240"/>
        <w:ind w:right="0"/>
        <w:rPr>
          <w:color w:val="000000" w:themeColor="text1"/>
          <w:spacing w:val="-2"/>
        </w:rPr>
      </w:pPr>
    </w:p>
    <w:p w14:paraId="258E36AA" w14:textId="4AF2EF81" w:rsidR="00AE70D7" w:rsidRPr="00AE70D7" w:rsidRDefault="00AE70D7" w:rsidP="00AE70D7">
      <w:pPr>
        <w:pStyle w:val="IT"/>
        <w:spacing w:after="0"/>
        <w:ind w:right="0"/>
        <w:sectPr w:rsidR="00AE70D7" w:rsidRPr="00AE70D7" w:rsidSect="00422716">
          <w:footerReference w:type="default" r:id="rId8"/>
          <w:pgSz w:w="11520" w:h="15660" w:code="1"/>
          <w:pgMar w:top="1280" w:right="740" w:bottom="1040" w:left="740" w:header="360" w:footer="500" w:gutter="0"/>
          <w:cols w:space="720"/>
          <w:docGrid w:linePitch="360"/>
        </w:sectPr>
      </w:pPr>
    </w:p>
    <w:p w14:paraId="5DC5A6D9" w14:textId="77777777" w:rsidR="007F3553" w:rsidRDefault="00D828C6" w:rsidP="007F3553">
      <w:pPr>
        <w:pStyle w:val="H1NoSpace"/>
      </w:pPr>
      <w:r w:rsidRPr="005C3955">
        <w:t>I.</w:t>
      </w:r>
      <w:r w:rsidR="005E1970">
        <w:rPr>
          <w:rFonts w:ascii="MS Gothic" w:eastAsia="MS Gothic" w:hAnsi="MS Gothic" w:cs="MS Gothic"/>
        </w:rPr>
        <w:t> </w:t>
      </w:r>
      <w:r w:rsidRPr="005C3955">
        <w:t>INTRODUCTION</w:t>
      </w:r>
    </w:p>
    <w:p w14:paraId="4DF70D48" w14:textId="0B23E380" w:rsidR="007F3553" w:rsidRDefault="007F3553" w:rsidP="00A57B18">
      <w:pPr>
        <w:pStyle w:val="H1NoSpace"/>
        <w:rPr>
          <w:rFonts w:ascii="Times New Roman" w:hAnsi="Times New Roman" w:cs="TimesLTStd-Roman"/>
          <w:b w:val="0"/>
          <w:bCs w:val="0"/>
          <w:color w:val="auto"/>
          <w:sz w:val="20"/>
          <w:szCs w:val="20"/>
        </w:rPr>
      </w:pPr>
      <w:r w:rsidRPr="007F3553">
        <w:rPr>
          <w:rFonts w:ascii="Times New Roman" w:hAnsi="Times New Roman" w:cs="TimesLTStd-Roman"/>
          <w:b w:val="0"/>
          <w:bCs w:val="0"/>
          <w:color w:val="auto"/>
          <w:sz w:val="20"/>
          <w:szCs w:val="20"/>
        </w:rPr>
        <w:t xml:space="preserve">In the realm of </w:t>
      </w:r>
      <w:r w:rsidR="00A57B18">
        <w:rPr>
          <w:rFonts w:ascii="Times New Roman" w:hAnsi="Times New Roman" w:cs="TimesLTStd-Roman"/>
          <w:b w:val="0"/>
          <w:bCs w:val="0"/>
          <w:color w:val="auto"/>
          <w:sz w:val="20"/>
          <w:szCs w:val="20"/>
        </w:rPr>
        <w:t>our current efforts in</w:t>
      </w:r>
      <w:r w:rsidRPr="007F3553">
        <w:rPr>
          <w:rFonts w:ascii="Times New Roman" w:hAnsi="Times New Roman" w:cs="TimesLTStd-Roman"/>
          <w:b w:val="0"/>
          <w:bCs w:val="0"/>
          <w:color w:val="auto"/>
          <w:sz w:val="20"/>
          <w:szCs w:val="20"/>
        </w:rPr>
        <w:t xml:space="preserve"> cybersecurity, data breaches have become a common threat, with their frequency and impact on the rise. These breaches happen when unauthorized individuals access private information, causing financial losses, damage to reputations, and legal issues for the people and organizations involved. To address this growing problem, </w:t>
      </w:r>
      <w:r w:rsidR="00A57B18" w:rsidRPr="00A57B18">
        <w:rPr>
          <w:rFonts w:ascii="Times New Roman" w:hAnsi="Times New Roman" w:cs="TimesLTStd-Roman"/>
          <w:b w:val="0"/>
          <w:bCs w:val="0"/>
          <w:color w:val="auto"/>
          <w:sz w:val="20"/>
          <w:szCs w:val="20"/>
        </w:rPr>
        <w:t xml:space="preserve">experts </w:t>
      </w:r>
      <w:r w:rsidR="00A57B18">
        <w:rPr>
          <w:rFonts w:ascii="Times New Roman" w:hAnsi="Times New Roman" w:cs="TimesLTStd-Roman"/>
          <w:b w:val="0"/>
          <w:bCs w:val="0"/>
          <w:color w:val="auto"/>
          <w:sz w:val="20"/>
          <w:szCs w:val="20"/>
        </w:rPr>
        <w:t xml:space="preserve">within this field </w:t>
      </w:r>
      <w:r w:rsidR="00A57B18" w:rsidRPr="00A57B18">
        <w:rPr>
          <w:rFonts w:ascii="Times New Roman" w:hAnsi="Times New Roman" w:cs="TimesLTStd-Roman"/>
          <w:b w:val="0"/>
          <w:bCs w:val="0"/>
          <w:color w:val="auto"/>
          <w:sz w:val="20"/>
          <w:szCs w:val="20"/>
        </w:rPr>
        <w:t xml:space="preserve">are </w:t>
      </w:r>
      <w:r w:rsidR="00A57B18">
        <w:rPr>
          <w:rFonts w:ascii="Times New Roman" w:hAnsi="Times New Roman" w:cs="TimesLTStd-Roman"/>
          <w:b w:val="0"/>
          <w:bCs w:val="0"/>
          <w:color w:val="auto"/>
          <w:sz w:val="20"/>
          <w:szCs w:val="20"/>
        </w:rPr>
        <w:t>adopting</w:t>
      </w:r>
      <w:r w:rsidR="00A57B18" w:rsidRPr="00A57B18">
        <w:rPr>
          <w:rFonts w:ascii="Times New Roman" w:hAnsi="Times New Roman" w:cs="TimesLTStd-Roman"/>
          <w:b w:val="0"/>
          <w:bCs w:val="0"/>
          <w:color w:val="auto"/>
          <w:sz w:val="20"/>
          <w:szCs w:val="20"/>
        </w:rPr>
        <w:t xml:space="preserve"> sophisticated technologies like machine learning to forecast and prevent data breaches.</w:t>
      </w:r>
      <w:r w:rsidR="00A57B18">
        <w:rPr>
          <w:rFonts w:ascii="Times New Roman" w:hAnsi="Times New Roman" w:cs="TimesLTStd-Roman"/>
          <w:b w:val="0"/>
          <w:bCs w:val="0"/>
          <w:color w:val="auto"/>
          <w:sz w:val="20"/>
          <w:szCs w:val="20"/>
        </w:rPr>
        <w:t xml:space="preserve"> </w:t>
      </w:r>
      <w:r w:rsidRPr="007F3553">
        <w:rPr>
          <w:rFonts w:ascii="Times New Roman" w:hAnsi="Times New Roman" w:cs="TimesLTStd-Roman"/>
          <w:b w:val="0"/>
          <w:bCs w:val="0"/>
          <w:color w:val="auto"/>
          <w:sz w:val="20"/>
          <w:szCs w:val="20"/>
        </w:rPr>
        <w:t xml:space="preserve">This research project aims to predict and categorize organized data breaches by looking at the type of personal information they target, such as credit card data or social security numbers. It also seeks to identify the </w:t>
      </w:r>
      <w:r w:rsidR="002F5EA0">
        <w:rPr>
          <w:rFonts w:ascii="Times New Roman" w:hAnsi="Times New Roman" w:cs="TimesLTStd-Roman"/>
          <w:b w:val="0"/>
          <w:bCs w:val="0"/>
          <w:color w:val="auto"/>
          <w:sz w:val="20"/>
          <w:szCs w:val="20"/>
        </w:rPr>
        <w:t xml:space="preserve">type of organizations, </w:t>
      </w:r>
      <w:r w:rsidRPr="007F3553">
        <w:rPr>
          <w:rFonts w:ascii="Times New Roman" w:hAnsi="Times New Roman" w:cs="TimesLTStd-Roman"/>
          <w:b w:val="0"/>
          <w:bCs w:val="0"/>
          <w:color w:val="auto"/>
          <w:sz w:val="20"/>
          <w:szCs w:val="20"/>
        </w:rPr>
        <w:t xml:space="preserve">where these breaches are more likely to occur. The motivation for this project comes from the increasing number and severity of data breaches, highlighting the need for accurate predictive methods that </w:t>
      </w:r>
      <w:r w:rsidR="00821BA5" w:rsidRPr="007F3553">
        <w:rPr>
          <w:rFonts w:ascii="Times New Roman" w:hAnsi="Times New Roman" w:cs="TimesLTStd-Roman"/>
          <w:b w:val="0"/>
          <w:bCs w:val="0"/>
          <w:color w:val="auto"/>
          <w:sz w:val="20"/>
          <w:szCs w:val="20"/>
        </w:rPr>
        <w:t>consider</w:t>
      </w:r>
      <w:r w:rsidRPr="007F3553">
        <w:rPr>
          <w:rFonts w:ascii="Times New Roman" w:hAnsi="Times New Roman" w:cs="TimesLTStd-Roman"/>
          <w:b w:val="0"/>
          <w:bCs w:val="0"/>
          <w:color w:val="auto"/>
          <w:sz w:val="20"/>
          <w:szCs w:val="20"/>
        </w:rPr>
        <w:t xml:space="preserve"> location-based risk factors.</w:t>
      </w:r>
      <w:r w:rsidR="00A57B18">
        <w:rPr>
          <w:rFonts w:ascii="Times New Roman" w:hAnsi="Times New Roman" w:cs="TimesLTStd-Roman"/>
          <w:b w:val="0"/>
          <w:bCs w:val="0"/>
          <w:color w:val="auto"/>
          <w:sz w:val="20"/>
          <w:szCs w:val="20"/>
        </w:rPr>
        <w:t xml:space="preserve"> </w:t>
      </w:r>
      <w:r w:rsidRPr="007F3553">
        <w:rPr>
          <w:rFonts w:ascii="Times New Roman" w:hAnsi="Times New Roman" w:cs="TimesLTStd-Roman"/>
          <w:b w:val="0"/>
          <w:bCs w:val="0"/>
          <w:color w:val="auto"/>
          <w:sz w:val="20"/>
          <w:szCs w:val="20"/>
        </w:rPr>
        <w:t>To further explain this motivation, consider how major retail chains have suffered significant financial losses and damage to their reputation due to data breaches. Government agencies also struggle to protect sensitive data in different regions</w:t>
      </w:r>
      <w:r w:rsidR="00C76007">
        <w:rPr>
          <w:rFonts w:ascii="Times New Roman" w:hAnsi="Times New Roman" w:cs="TimesLTStd-Roman"/>
          <w:b w:val="0"/>
          <w:bCs w:val="0"/>
          <w:color w:val="auto"/>
          <w:sz w:val="20"/>
          <w:szCs w:val="20"/>
        </w:rPr>
        <w:t xml:space="preserve">. </w:t>
      </w:r>
      <w:r w:rsidR="00C76007" w:rsidRPr="007F3553">
        <w:rPr>
          <w:rFonts w:ascii="Times New Roman" w:hAnsi="Times New Roman" w:cs="TimesLTStd-Roman"/>
          <w:b w:val="0"/>
          <w:bCs w:val="0"/>
          <w:color w:val="auto"/>
          <w:sz w:val="20"/>
          <w:szCs w:val="20"/>
        </w:rPr>
        <w:t xml:space="preserve">This emphasizes the need for </w:t>
      </w:r>
      <w:r w:rsidR="00C76007">
        <w:rPr>
          <w:rFonts w:ascii="Times New Roman" w:hAnsi="Times New Roman" w:cs="TimesLTStd-Roman"/>
          <w:b w:val="0"/>
          <w:bCs w:val="0"/>
          <w:color w:val="auto"/>
          <w:sz w:val="20"/>
          <w:szCs w:val="20"/>
        </w:rPr>
        <w:t>the precise method of predicting data</w:t>
      </w:r>
      <w:r w:rsidR="00C76007" w:rsidRPr="007F3553">
        <w:rPr>
          <w:rFonts w:ascii="Times New Roman" w:hAnsi="Times New Roman" w:cs="TimesLTStd-Roman"/>
          <w:b w:val="0"/>
          <w:bCs w:val="0"/>
          <w:color w:val="auto"/>
          <w:sz w:val="20"/>
          <w:szCs w:val="20"/>
        </w:rPr>
        <w:t xml:space="preserve"> breaches</w:t>
      </w:r>
      <w:r w:rsidR="00C76007">
        <w:rPr>
          <w:rFonts w:ascii="Times New Roman" w:hAnsi="Times New Roman" w:cs="TimesLTStd-Roman"/>
          <w:b w:val="0"/>
          <w:bCs w:val="0"/>
          <w:color w:val="auto"/>
          <w:sz w:val="20"/>
          <w:szCs w:val="20"/>
        </w:rPr>
        <w:t xml:space="preserve"> prior to their occurrence.</w:t>
      </w:r>
    </w:p>
    <w:p w14:paraId="21882E26" w14:textId="77777777" w:rsidR="00C76007" w:rsidRDefault="007F3553" w:rsidP="007F3553">
      <w:pPr>
        <w:pStyle w:val="H1"/>
        <w:rPr>
          <w:rFonts w:ascii="Times New Roman" w:hAnsi="Times New Roman" w:cs="TimesLTStd-Roman"/>
          <w:b w:val="0"/>
          <w:bCs w:val="0"/>
          <w:color w:val="auto"/>
          <w:sz w:val="20"/>
          <w:szCs w:val="20"/>
        </w:rPr>
      </w:pPr>
      <w:r w:rsidRPr="007F3553">
        <w:rPr>
          <w:rFonts w:ascii="Times New Roman" w:hAnsi="Times New Roman" w:cs="TimesLTStd-Roman"/>
          <w:b w:val="0"/>
          <w:bCs w:val="0"/>
          <w:color w:val="auto"/>
          <w:sz w:val="20"/>
          <w:szCs w:val="20"/>
        </w:rPr>
        <w:t>In the context of this research, we have identified several critical research questions that will help us better understand data breaches:</w:t>
      </w:r>
    </w:p>
    <w:p w14:paraId="05E1B4DD" w14:textId="77777777" w:rsidR="00C76007" w:rsidRPr="002F5EA0" w:rsidRDefault="007F3553" w:rsidP="007F3553">
      <w:pPr>
        <w:pStyle w:val="H1"/>
        <w:numPr>
          <w:ilvl w:val="0"/>
          <w:numId w:val="16"/>
        </w:numPr>
        <w:rPr>
          <w:rFonts w:ascii="Times New Roman" w:hAnsi="Times New Roman" w:cs="TimesLTStd-Roman"/>
          <w:b w:val="0"/>
          <w:bCs w:val="0"/>
          <w:color w:val="auto"/>
          <w:sz w:val="20"/>
          <w:szCs w:val="20"/>
        </w:rPr>
      </w:pPr>
      <w:r w:rsidRPr="002F5EA0">
        <w:rPr>
          <w:rFonts w:ascii="Times New Roman" w:hAnsi="Times New Roman" w:cs="TimesLTStd-Roman"/>
          <w:b w:val="0"/>
          <w:bCs w:val="0"/>
          <w:color w:val="auto"/>
          <w:sz w:val="20"/>
          <w:szCs w:val="20"/>
        </w:rPr>
        <w:t>Are certain types of organizations more prone to data breaches than others?</w:t>
      </w:r>
    </w:p>
    <w:p w14:paraId="3115D5FB" w14:textId="77777777" w:rsidR="00C76007" w:rsidRPr="002F5EA0" w:rsidRDefault="007F3553" w:rsidP="007F3553">
      <w:pPr>
        <w:pStyle w:val="H1"/>
        <w:numPr>
          <w:ilvl w:val="0"/>
          <w:numId w:val="16"/>
        </w:numPr>
        <w:rPr>
          <w:rFonts w:ascii="Times New Roman" w:hAnsi="Times New Roman" w:cs="TimesLTStd-Roman"/>
          <w:b w:val="0"/>
          <w:bCs w:val="0"/>
          <w:color w:val="auto"/>
          <w:sz w:val="20"/>
          <w:szCs w:val="20"/>
        </w:rPr>
      </w:pPr>
      <w:r w:rsidRPr="002F5EA0">
        <w:rPr>
          <w:rFonts w:ascii="Times New Roman" w:hAnsi="Times New Roman" w:cs="TimesLTStd-Roman"/>
          <w:b w:val="0"/>
          <w:bCs w:val="0"/>
          <w:color w:val="auto"/>
          <w:sz w:val="20"/>
          <w:szCs w:val="20"/>
        </w:rPr>
        <w:t>How effective are strategies like Data Encryption and Credit Monitoring in preventing or reducing the impact of data breaches?</w:t>
      </w:r>
    </w:p>
    <w:p w14:paraId="2557FCA0" w14:textId="7582AC38" w:rsidR="007F3553" w:rsidRPr="002F5EA0" w:rsidRDefault="007F3553" w:rsidP="007F3553">
      <w:pPr>
        <w:pStyle w:val="H1"/>
        <w:numPr>
          <w:ilvl w:val="0"/>
          <w:numId w:val="16"/>
        </w:numPr>
        <w:rPr>
          <w:rFonts w:ascii="Times New Roman" w:hAnsi="Times New Roman" w:cs="TimesLTStd-Roman"/>
          <w:b w:val="0"/>
          <w:bCs w:val="0"/>
          <w:color w:val="auto"/>
          <w:sz w:val="20"/>
          <w:szCs w:val="20"/>
        </w:rPr>
      </w:pPr>
      <w:r w:rsidRPr="002F5EA0">
        <w:rPr>
          <w:rFonts w:ascii="Times New Roman" w:hAnsi="Times New Roman" w:cs="TimesLTStd-Roman"/>
          <w:b w:val="0"/>
          <w:bCs w:val="0"/>
          <w:color w:val="auto"/>
          <w:sz w:val="20"/>
          <w:szCs w:val="20"/>
        </w:rPr>
        <w:t>Can the predictions from our research reveal patterns and motivations behind organized data breaches, offering insights into their targets?</w:t>
      </w:r>
    </w:p>
    <w:p w14:paraId="3B834D88" w14:textId="245BA0C1" w:rsidR="007F3553" w:rsidRPr="007F3553" w:rsidRDefault="007F3553" w:rsidP="007F3553">
      <w:pPr>
        <w:pStyle w:val="H1"/>
        <w:rPr>
          <w:rFonts w:ascii="Times New Roman" w:hAnsi="Times New Roman" w:cs="TimesLTStd-Roman"/>
          <w:b w:val="0"/>
          <w:bCs w:val="0"/>
          <w:color w:val="auto"/>
          <w:sz w:val="20"/>
          <w:szCs w:val="20"/>
        </w:rPr>
      </w:pPr>
      <w:r w:rsidRPr="007F3553">
        <w:rPr>
          <w:rFonts w:ascii="Times New Roman" w:hAnsi="Times New Roman" w:cs="TimesLTStd-Roman"/>
          <w:b w:val="0"/>
          <w:bCs w:val="0"/>
          <w:color w:val="auto"/>
          <w:sz w:val="20"/>
          <w:szCs w:val="20"/>
        </w:rPr>
        <w:t>In p</w:t>
      </w:r>
      <w:r w:rsidR="00A57B18">
        <w:rPr>
          <w:rFonts w:ascii="Times New Roman" w:hAnsi="Times New Roman" w:cs="TimesLTStd-Roman"/>
          <w:b w:val="0"/>
          <w:bCs w:val="0"/>
          <w:color w:val="auto"/>
          <w:sz w:val="20"/>
          <w:szCs w:val="20"/>
        </w:rPr>
        <w:t>u</w:t>
      </w:r>
      <w:r w:rsidRPr="007F3553">
        <w:rPr>
          <w:rFonts w:ascii="Times New Roman" w:hAnsi="Times New Roman" w:cs="TimesLTStd-Roman"/>
          <w:b w:val="0"/>
          <w:bCs w:val="0"/>
          <w:color w:val="auto"/>
          <w:sz w:val="20"/>
          <w:szCs w:val="20"/>
        </w:rPr>
        <w:t>rsuit of these questions, our project has three primary objectives:</w:t>
      </w:r>
    </w:p>
    <w:p w14:paraId="42F07296" w14:textId="77777777" w:rsidR="00C76007" w:rsidRPr="002F5EA0" w:rsidRDefault="007F3553" w:rsidP="007F3553">
      <w:pPr>
        <w:pStyle w:val="H1"/>
        <w:numPr>
          <w:ilvl w:val="0"/>
          <w:numId w:val="17"/>
        </w:numPr>
        <w:rPr>
          <w:rFonts w:ascii="Times New Roman" w:hAnsi="Times New Roman" w:cs="TimesLTStd-Roman"/>
          <w:b w:val="0"/>
          <w:bCs w:val="0"/>
          <w:color w:val="auto"/>
          <w:sz w:val="20"/>
          <w:szCs w:val="20"/>
        </w:rPr>
      </w:pPr>
      <w:r w:rsidRPr="002F5EA0">
        <w:rPr>
          <w:rFonts w:ascii="Times New Roman" w:hAnsi="Times New Roman" w:cs="TimesLTStd-Roman"/>
          <w:b w:val="0"/>
          <w:bCs w:val="0"/>
          <w:color w:val="auto"/>
          <w:sz w:val="20"/>
          <w:szCs w:val="20"/>
        </w:rPr>
        <w:t>To analyze and evaluate the vulnerability of different types of organizations to data breaches, considering factors that make them more susceptible.</w:t>
      </w:r>
    </w:p>
    <w:p w14:paraId="4B7D1439" w14:textId="46153D03" w:rsidR="00C76007" w:rsidRPr="002F5EA0" w:rsidRDefault="007F3553" w:rsidP="007F3553">
      <w:pPr>
        <w:pStyle w:val="H1"/>
        <w:numPr>
          <w:ilvl w:val="0"/>
          <w:numId w:val="17"/>
        </w:numPr>
        <w:rPr>
          <w:rFonts w:ascii="Times New Roman" w:hAnsi="Times New Roman" w:cs="TimesLTStd-Roman"/>
          <w:b w:val="0"/>
          <w:bCs w:val="0"/>
          <w:color w:val="auto"/>
          <w:sz w:val="20"/>
          <w:szCs w:val="20"/>
        </w:rPr>
      </w:pPr>
      <w:r w:rsidRPr="002F5EA0">
        <w:rPr>
          <w:rFonts w:ascii="Times New Roman" w:hAnsi="Times New Roman" w:cs="TimesLTStd-Roman"/>
          <w:b w:val="0"/>
          <w:bCs w:val="0"/>
          <w:color w:val="auto"/>
          <w:sz w:val="20"/>
          <w:szCs w:val="20"/>
        </w:rPr>
        <w:lastRenderedPageBreak/>
        <w:t xml:space="preserve">To assess the effectiveness of data protection </w:t>
      </w:r>
      <w:r w:rsidR="00D464EF" w:rsidRPr="002F5EA0">
        <w:rPr>
          <w:rFonts w:ascii="Times New Roman" w:hAnsi="Times New Roman" w:cs="TimesLTStd-Roman"/>
          <w:b w:val="0"/>
          <w:bCs w:val="0"/>
          <w:color w:val="auto"/>
          <w:sz w:val="20"/>
          <w:szCs w:val="20"/>
        </w:rPr>
        <w:t>s</w:t>
      </w:r>
      <w:r w:rsidR="00D464EF">
        <w:rPr>
          <w:rFonts w:ascii="Times New Roman" w:hAnsi="Times New Roman" w:cs="TimesLTStd-Roman"/>
          <w:b w:val="0"/>
          <w:bCs w:val="0"/>
          <w:color w:val="auto"/>
          <w:sz w:val="20"/>
          <w:szCs w:val="20"/>
        </w:rPr>
        <w:t>t</w:t>
      </w:r>
      <w:r w:rsidR="00D464EF" w:rsidRPr="002F5EA0">
        <w:rPr>
          <w:rFonts w:ascii="Times New Roman" w:hAnsi="Times New Roman" w:cs="TimesLTStd-Roman"/>
          <w:b w:val="0"/>
          <w:bCs w:val="0"/>
          <w:color w:val="auto"/>
          <w:sz w:val="20"/>
          <w:szCs w:val="20"/>
        </w:rPr>
        <w:t>rategies</w:t>
      </w:r>
      <w:r w:rsidRPr="002F5EA0">
        <w:rPr>
          <w:rFonts w:ascii="Times New Roman" w:hAnsi="Times New Roman" w:cs="TimesLTStd-Roman"/>
          <w:b w:val="0"/>
          <w:bCs w:val="0"/>
          <w:color w:val="auto"/>
          <w:sz w:val="20"/>
          <w:szCs w:val="20"/>
        </w:rPr>
        <w:t>, particularly focusing on Data Encryption and Credit Monitoring.</w:t>
      </w:r>
    </w:p>
    <w:p w14:paraId="4F12FCB1" w14:textId="7F6B1E79" w:rsidR="007F3553" w:rsidRPr="002F5EA0" w:rsidRDefault="007F3553" w:rsidP="007F3553">
      <w:pPr>
        <w:pStyle w:val="H1"/>
        <w:numPr>
          <w:ilvl w:val="0"/>
          <w:numId w:val="17"/>
        </w:numPr>
        <w:rPr>
          <w:rFonts w:ascii="Times New Roman" w:hAnsi="Times New Roman" w:cs="TimesLTStd-Roman"/>
          <w:b w:val="0"/>
          <w:bCs w:val="0"/>
          <w:color w:val="auto"/>
          <w:sz w:val="22"/>
          <w:szCs w:val="22"/>
        </w:rPr>
      </w:pPr>
      <w:r w:rsidRPr="002F5EA0">
        <w:rPr>
          <w:rFonts w:ascii="Times New Roman" w:hAnsi="Times New Roman" w:cs="TimesLTStd-Roman"/>
          <w:b w:val="0"/>
          <w:bCs w:val="0"/>
          <w:color w:val="auto"/>
          <w:sz w:val="20"/>
          <w:szCs w:val="20"/>
        </w:rPr>
        <w:t>To gain a comprehensive understanding of the patterns and motivations behind organized data breaches, providing valuable insights into their targets and how they are executed.</w:t>
      </w:r>
    </w:p>
    <w:p w14:paraId="523AD011" w14:textId="77777777" w:rsidR="00AE70D7" w:rsidRDefault="007F3553" w:rsidP="007F3553">
      <w:pPr>
        <w:pStyle w:val="H1"/>
        <w:rPr>
          <w:rFonts w:ascii="Times New Roman" w:hAnsi="Times New Roman" w:cs="TimesLTStd-Roman"/>
          <w:b w:val="0"/>
          <w:bCs w:val="0"/>
          <w:color w:val="auto"/>
          <w:sz w:val="20"/>
          <w:szCs w:val="20"/>
        </w:rPr>
      </w:pPr>
      <w:r w:rsidRPr="007F3553">
        <w:rPr>
          <w:rFonts w:ascii="Times New Roman" w:hAnsi="Times New Roman" w:cs="TimesLTStd-Roman"/>
          <w:b w:val="0"/>
          <w:bCs w:val="0"/>
          <w:color w:val="auto"/>
          <w:sz w:val="20"/>
          <w:szCs w:val="20"/>
        </w:rPr>
        <w:t>This research project aims to shed light on the complex world of data breaches, equipping stakeholders with the tools and knowledge needed to prevent and mitigate these cyber threats effectively.</w:t>
      </w:r>
    </w:p>
    <w:p w14:paraId="5E5AF9C7" w14:textId="03EF2365" w:rsidR="00AE70D7" w:rsidRPr="00E91452" w:rsidRDefault="00AE70D7" w:rsidP="00AE70D7">
      <w:pPr>
        <w:pStyle w:val="H1"/>
      </w:pPr>
      <w:r>
        <w:t>II</w:t>
      </w:r>
      <w:r w:rsidRPr="005C3955">
        <w:t>.</w:t>
      </w:r>
      <w:r>
        <w:rPr>
          <w:rFonts w:ascii="MS Gothic" w:eastAsia="MS Gothic" w:hAnsi="MS Gothic" w:cs="MS Gothic"/>
        </w:rPr>
        <w:t> </w:t>
      </w:r>
      <w:r>
        <w:t>DATA</w:t>
      </w:r>
    </w:p>
    <w:p w14:paraId="56503701" w14:textId="574B50C7" w:rsidR="00AE70D7" w:rsidRPr="00AE70D7" w:rsidRDefault="00AE70D7" w:rsidP="00AE70D7">
      <w:pPr>
        <w:pStyle w:val="PARA"/>
        <w:rPr>
          <w:color w:val="000000"/>
        </w:rPr>
      </w:pPr>
      <w:r>
        <w:t>The</w:t>
      </w:r>
    </w:p>
    <w:p w14:paraId="6DE0E9D7" w14:textId="3B8E1F36" w:rsidR="00E91452" w:rsidRDefault="00E91452" w:rsidP="007F3553">
      <w:pPr>
        <w:pStyle w:val="H1"/>
      </w:pPr>
      <w:r>
        <w:t>II</w:t>
      </w:r>
      <w:r w:rsidR="00AE70D7">
        <w:t>I</w:t>
      </w:r>
      <w:r w:rsidRPr="005C3955">
        <w:t>.</w:t>
      </w:r>
      <w:r>
        <w:rPr>
          <w:rFonts w:ascii="MS Gothic" w:eastAsia="MS Gothic" w:hAnsi="MS Gothic" w:cs="MS Gothic"/>
        </w:rPr>
        <w:t> </w:t>
      </w:r>
      <w:r w:rsidR="00AE70D7">
        <w:t>EDA</w:t>
      </w:r>
    </w:p>
    <w:p w14:paraId="718988A3" w14:textId="12A10B9A" w:rsidR="00DF4F2C" w:rsidRPr="00E91452" w:rsidRDefault="00DF4F2C" w:rsidP="00DF4F2C">
      <w:pPr>
        <w:pStyle w:val="H1"/>
        <w:jc w:val="center"/>
      </w:pPr>
      <w:r w:rsidRPr="00DF4F2C">
        <w:drawing>
          <wp:inline distT="0" distB="0" distL="0" distR="0" wp14:anchorId="4746BEB4" wp14:editId="1160840D">
            <wp:extent cx="3060700" cy="880110"/>
            <wp:effectExtent l="0" t="0" r="0" b="0"/>
            <wp:docPr id="6" name="Picture 5" descr="A graph of a credit and debit&#10;&#10;Description automatically generated">
              <a:extLst xmlns:a="http://schemas.openxmlformats.org/drawingml/2006/main">
                <a:ext uri="{FF2B5EF4-FFF2-40B4-BE49-F238E27FC236}">
                  <a16:creationId xmlns:a16="http://schemas.microsoft.com/office/drawing/2014/main" id="{A3E39260-A06F-60ED-3BBE-7A05BE348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credit and debit&#10;&#10;Description automatically generated">
                      <a:extLst>
                        <a:ext uri="{FF2B5EF4-FFF2-40B4-BE49-F238E27FC236}">
                          <a16:creationId xmlns:a16="http://schemas.microsoft.com/office/drawing/2014/main" id="{A3E39260-A06F-60ED-3BBE-7A05BE348B6A}"/>
                        </a:ext>
                      </a:extLst>
                    </pic:cNvPr>
                    <pic:cNvPicPr>
                      <a:picLocks noChangeAspect="1"/>
                    </pic:cNvPicPr>
                  </pic:nvPicPr>
                  <pic:blipFill>
                    <a:blip r:embed="rId9"/>
                    <a:stretch>
                      <a:fillRect/>
                    </a:stretch>
                  </pic:blipFill>
                  <pic:spPr>
                    <a:xfrm>
                      <a:off x="0" y="0"/>
                      <a:ext cx="3060700" cy="880110"/>
                    </a:xfrm>
                    <a:prstGeom prst="rect">
                      <a:avLst/>
                    </a:prstGeom>
                  </pic:spPr>
                </pic:pic>
              </a:graphicData>
            </a:graphic>
          </wp:inline>
        </w:drawing>
      </w:r>
    </w:p>
    <w:p w14:paraId="09598BA0" w14:textId="4AC84657" w:rsidR="00DF4F2C" w:rsidRDefault="00DF4F2C" w:rsidP="00DF4F2C">
      <w:pPr>
        <w:pStyle w:val="FigCaption"/>
        <w:jc w:val="center"/>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A </w:t>
      </w:r>
      <w:r>
        <w:t>facet plot</w:t>
      </w:r>
      <w:r>
        <w:t xml:space="preserve"> of </w:t>
      </w:r>
      <w:r>
        <w:t xml:space="preserve">the frequency of targeted </w:t>
      </w:r>
      <w:r>
        <w:t>data</w:t>
      </w:r>
      <w:r>
        <w:t xml:space="preserve"> from the data breaches</w:t>
      </w:r>
    </w:p>
    <w:p w14:paraId="2688A8E3" w14:textId="77777777" w:rsidR="00DF4F2C" w:rsidRDefault="00DF4F2C" w:rsidP="00DF4F2C">
      <w:pPr>
        <w:pStyle w:val="FigCaption"/>
        <w:rPr>
          <w:rFonts w:asciiTheme="minorHAnsi" w:eastAsiaTheme="minorEastAsia" w:hAnsiTheme="minorHAnsi" w:cstheme="minorBidi"/>
          <w:b w:val="0"/>
          <w:bCs w:val="0"/>
          <w:kern w:val="2"/>
          <w:sz w:val="24"/>
          <w:szCs w:val="24"/>
          <w:lang w:eastAsia="ja-JP"/>
          <w14:ligatures w14:val="standardContextual"/>
        </w:rPr>
      </w:pPr>
    </w:p>
    <w:p w14:paraId="6CA0A0A4" w14:textId="0017BF3F" w:rsidR="00DF4F2C" w:rsidRDefault="00DF4F2C" w:rsidP="00DF4F2C">
      <w:pPr>
        <w:pStyle w:val="FigCaption"/>
        <w:jc w:val="center"/>
      </w:pPr>
      <w:r w:rsidRPr="00DF4F2C">
        <w:drawing>
          <wp:inline distT="0" distB="0" distL="0" distR="0" wp14:anchorId="1CF31DE4" wp14:editId="75D634A6">
            <wp:extent cx="3060700" cy="1965325"/>
            <wp:effectExtent l="0" t="0" r="0" b="0"/>
            <wp:docPr id="854724657"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24657" name="Picture 1" descr="A graph of a number of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700" cy="1965325"/>
                    </a:xfrm>
                    <a:prstGeom prst="rect">
                      <a:avLst/>
                    </a:prstGeom>
                    <a:noFill/>
                    <a:ln>
                      <a:noFill/>
                    </a:ln>
                  </pic:spPr>
                </pic:pic>
              </a:graphicData>
            </a:graphic>
          </wp:inline>
        </w:drawing>
      </w: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r w:rsidRPr="00DF4F2C">
        <w:t xml:space="preserve">Distribution of </w:t>
      </w:r>
      <w:r>
        <w:t>b</w:t>
      </w:r>
      <w:r w:rsidRPr="00DF4F2C">
        <w:t xml:space="preserve">reach </w:t>
      </w:r>
      <w:r>
        <w:t>o</w:t>
      </w:r>
      <w:r w:rsidRPr="00DF4F2C">
        <w:t xml:space="preserve">ccurrence by </w:t>
      </w:r>
      <w:r>
        <w:t>y</w:t>
      </w:r>
      <w:r w:rsidRPr="00DF4F2C">
        <w:t>ear</w:t>
      </w:r>
    </w:p>
    <w:p w14:paraId="4ACCACE5" w14:textId="1EF2D145" w:rsidR="00DF4F2C" w:rsidRDefault="00DF4F2C" w:rsidP="00DF4F2C">
      <w:pPr>
        <w:pStyle w:val="FigCaption"/>
        <w:jc w:val="center"/>
      </w:pPr>
      <w:r w:rsidRPr="00DF4F2C">
        <w:drawing>
          <wp:inline distT="0" distB="0" distL="0" distR="0" wp14:anchorId="1B86DD7F" wp14:editId="7E0DE34E">
            <wp:extent cx="2041072" cy="2090194"/>
            <wp:effectExtent l="0" t="0" r="3810" b="5715"/>
            <wp:docPr id="75649184" name="Picture 2" descr="A pie chart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9184" name="Picture 2" descr="A pie chart with text overla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9866" cy="2140163"/>
                    </a:xfrm>
                    <a:prstGeom prst="rect">
                      <a:avLst/>
                    </a:prstGeom>
                    <a:noFill/>
                    <a:ln>
                      <a:noFill/>
                    </a:ln>
                  </pic:spPr>
                </pic:pic>
              </a:graphicData>
            </a:graphic>
          </wp:inline>
        </w:drawing>
      </w:r>
    </w:p>
    <w:p w14:paraId="52F723FD" w14:textId="53673B6B" w:rsidR="00DF4F2C" w:rsidRDefault="00DF4F2C" w:rsidP="00DF4F2C">
      <w:pPr>
        <w:pStyle w:val="FigCaption"/>
        <w:jc w:val="center"/>
      </w:pPr>
      <w:r w:rsidRPr="00B06847">
        <w:rPr>
          <w:rStyle w:val="CaptionColor"/>
        </w:rPr>
        <w:t>FIGURE</w:t>
      </w:r>
      <w:r w:rsidRPr="00B7110A">
        <w:rPr>
          <w:rStyle w:val="CaptionColor"/>
        </w:rPr>
        <w:t xml:space="preserve"> </w:t>
      </w:r>
      <w:r>
        <w:rPr>
          <w:rStyle w:val="CaptionColor"/>
        </w:rPr>
        <w:t>3</w:t>
      </w:r>
      <w:r w:rsidRPr="00B7110A">
        <w:rPr>
          <w:rStyle w:val="CaptionColor"/>
        </w:rPr>
        <w:t>.</w:t>
      </w:r>
      <w:r>
        <w:rPr>
          <w:rFonts w:ascii="MS Gothic" w:eastAsia="MS Gothic" w:hAnsi="MS Gothic" w:cs="MS Gothic" w:hint="eastAsia"/>
        </w:rPr>
        <w:t> </w:t>
      </w:r>
      <w:r w:rsidRPr="00486E60">
        <w:t xml:space="preserve"> </w:t>
      </w:r>
      <w:r>
        <w:t xml:space="preserve">A </w:t>
      </w:r>
      <w:r>
        <w:t>pie</w:t>
      </w:r>
      <w:r>
        <w:t xml:space="preserve"> chart of </w:t>
      </w:r>
      <w:r>
        <w:t>o</w:t>
      </w:r>
      <w:r w:rsidRPr="00DF4F2C">
        <w:t xml:space="preserve">rganizations </w:t>
      </w:r>
      <w:r>
        <w:t>p</w:t>
      </w:r>
      <w:r w:rsidRPr="00DF4F2C">
        <w:t xml:space="preserve">roviding </w:t>
      </w:r>
      <w:r>
        <w:t>c</w:t>
      </w:r>
      <w:r w:rsidRPr="00DF4F2C">
        <w:t xml:space="preserve">redit </w:t>
      </w:r>
      <w:r>
        <w:t>m</w:t>
      </w:r>
      <w:r w:rsidRPr="00DF4F2C">
        <w:t>onitoring</w:t>
      </w:r>
    </w:p>
    <w:p w14:paraId="503DFEDA" w14:textId="711C2AF1" w:rsidR="00844C33" w:rsidRDefault="00844C33" w:rsidP="00ED20D7">
      <w:pPr>
        <w:pStyle w:val="PARA"/>
        <w:rPr>
          <w:color w:val="000000"/>
        </w:rPr>
      </w:pPr>
    </w:p>
    <w:p w14:paraId="5DBE208C" w14:textId="3F84EAAF" w:rsidR="00DF4F2C" w:rsidRDefault="00DF4F2C" w:rsidP="00DF4F2C">
      <w:pPr>
        <w:pStyle w:val="FigCaption"/>
        <w:jc w:val="center"/>
      </w:pPr>
      <w:r>
        <w:rPr>
          <w:noProof/>
        </w:rPr>
        <w:drawing>
          <wp:inline distT="0" distB="0" distL="0" distR="0" wp14:anchorId="7BEB0C9C" wp14:editId="6229F0F5">
            <wp:extent cx="2841171" cy="2231086"/>
            <wp:effectExtent l="0" t="0" r="3810" b="4445"/>
            <wp:docPr id="1394309338" name="Picture 3" descr="A graph of data encryp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09338" name="Picture 3" descr="A graph of data encryption statu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0774" cy="2238627"/>
                    </a:xfrm>
                    <a:prstGeom prst="rect">
                      <a:avLst/>
                    </a:prstGeom>
                    <a:noFill/>
                    <a:ln>
                      <a:noFill/>
                    </a:ln>
                  </pic:spPr>
                </pic:pic>
              </a:graphicData>
            </a:graphic>
          </wp:inline>
        </w:drawing>
      </w:r>
      <w:r w:rsidRPr="00B06847">
        <w:rPr>
          <w:rStyle w:val="CaptionColor"/>
        </w:rPr>
        <w:t>FIGURE</w:t>
      </w:r>
      <w:r w:rsidRPr="00B7110A">
        <w:rPr>
          <w:rStyle w:val="CaptionColor"/>
        </w:rPr>
        <w:t xml:space="preserve"> </w:t>
      </w:r>
      <w:r>
        <w:rPr>
          <w:rStyle w:val="CaptionColor"/>
        </w:rPr>
        <w:t>4</w:t>
      </w:r>
      <w:r w:rsidRPr="00B7110A">
        <w:rPr>
          <w:rStyle w:val="CaptionColor"/>
        </w:rPr>
        <w:t>.</w:t>
      </w:r>
      <w:r>
        <w:rPr>
          <w:rFonts w:ascii="MS Gothic" w:eastAsia="MS Gothic" w:hAnsi="MS Gothic" w:cs="MS Gothic" w:hint="eastAsia"/>
        </w:rPr>
        <w:t> </w:t>
      </w:r>
      <w:r w:rsidRPr="00486E60">
        <w:t xml:space="preserve"> </w:t>
      </w:r>
      <w:r>
        <w:t xml:space="preserve">A </w:t>
      </w:r>
      <w:r>
        <w:t>scaled histogram</w:t>
      </w:r>
      <w:r>
        <w:t xml:space="preserve"> of </w:t>
      </w:r>
      <w:r>
        <w:t>organizations with data encryption</w:t>
      </w:r>
    </w:p>
    <w:p w14:paraId="3966E6A3" w14:textId="40AEE4D1" w:rsidR="00DF4F2C" w:rsidRDefault="00DF4F2C" w:rsidP="00DF4F2C">
      <w:pPr>
        <w:pStyle w:val="FigCaption"/>
        <w:jc w:val="center"/>
      </w:pPr>
      <w:r>
        <w:rPr>
          <w:noProof/>
        </w:rPr>
        <w:drawing>
          <wp:inline distT="0" distB="0" distL="0" distR="0" wp14:anchorId="660E9D3F" wp14:editId="31A0CA35">
            <wp:extent cx="2879911" cy="2261507"/>
            <wp:effectExtent l="0" t="0" r="3175" b="0"/>
            <wp:docPr id="1327454746" name="Picture 4"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54746" name="Picture 4" descr="A graph of a number of blue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8138" cy="2267968"/>
                    </a:xfrm>
                    <a:prstGeom prst="rect">
                      <a:avLst/>
                    </a:prstGeom>
                    <a:noFill/>
                    <a:ln>
                      <a:noFill/>
                    </a:ln>
                  </pic:spPr>
                </pic:pic>
              </a:graphicData>
            </a:graphic>
          </wp:inline>
        </w:drawing>
      </w:r>
      <w:r w:rsidRPr="00B06847">
        <w:rPr>
          <w:rStyle w:val="CaptionColor"/>
        </w:rPr>
        <w:t xml:space="preserve"> </w:t>
      </w:r>
      <w:r w:rsidRPr="00B06847">
        <w:rPr>
          <w:rStyle w:val="CaptionColor"/>
        </w:rPr>
        <w:t>FIGURE</w:t>
      </w:r>
      <w:r w:rsidRPr="00B7110A">
        <w:rPr>
          <w:rStyle w:val="CaptionColor"/>
        </w:rPr>
        <w:t xml:space="preserve"> </w:t>
      </w:r>
      <w:r>
        <w:rPr>
          <w:rStyle w:val="CaptionColor"/>
        </w:rPr>
        <w:t>5</w:t>
      </w:r>
      <w:r w:rsidRPr="00B7110A">
        <w:rPr>
          <w:rStyle w:val="CaptionColor"/>
        </w:rPr>
        <w:t>.</w:t>
      </w:r>
      <w:r>
        <w:rPr>
          <w:rFonts w:ascii="MS Gothic" w:eastAsia="MS Gothic" w:hAnsi="MS Gothic" w:cs="MS Gothic" w:hint="eastAsia"/>
        </w:rPr>
        <w:t> </w:t>
      </w:r>
      <w:r w:rsidRPr="00486E60">
        <w:t xml:space="preserve"> </w:t>
      </w:r>
      <w:r>
        <w:t xml:space="preserve">A scaled histogram of </w:t>
      </w:r>
      <w:r>
        <w:t>data breaches where a mobile device was lost o</w:t>
      </w:r>
      <w:r w:rsidR="009B0279">
        <w:t>r</w:t>
      </w:r>
      <w:r>
        <w:t xml:space="preserve"> stolen.</w:t>
      </w:r>
    </w:p>
    <w:p w14:paraId="2BE72689" w14:textId="3BAABCDA" w:rsidR="00DF4F2C" w:rsidRPr="00844C33" w:rsidRDefault="00DF4F2C" w:rsidP="00DF4F2C">
      <w:pPr>
        <w:pStyle w:val="FigCaption"/>
        <w:jc w:val="center"/>
        <w:rPr>
          <w:color w:val="000000"/>
        </w:rPr>
      </w:pPr>
    </w:p>
    <w:p w14:paraId="593212A7" w14:textId="34D1A5FE" w:rsidR="00486E60" w:rsidRPr="00E91452" w:rsidRDefault="00486E60" w:rsidP="00486E60">
      <w:pPr>
        <w:pStyle w:val="H1"/>
      </w:pPr>
      <w:r>
        <w:t>I</w:t>
      </w:r>
      <w:r w:rsidR="00AE70D7">
        <w:t>V</w:t>
      </w:r>
      <w:r w:rsidRPr="005C3955">
        <w:t>.</w:t>
      </w:r>
      <w:r>
        <w:rPr>
          <w:rFonts w:ascii="MS Gothic" w:eastAsia="MS Gothic" w:hAnsi="MS Gothic" w:cs="MS Gothic"/>
        </w:rPr>
        <w:t> </w:t>
      </w:r>
      <w:r w:rsidR="00043752">
        <w:t>MODEL</w:t>
      </w:r>
    </w:p>
    <w:p w14:paraId="195EE33D" w14:textId="63C5DF46" w:rsidR="002224E7" w:rsidRPr="00043752" w:rsidRDefault="0006304A" w:rsidP="00043752">
      <w:pPr>
        <w:pStyle w:val="PARA"/>
        <w:rPr>
          <w:color w:val="000000"/>
        </w:rPr>
      </w:pPr>
      <w:r>
        <w:rPr>
          <w:spacing w:val="-4"/>
        </w:rPr>
        <w:t>The</w:t>
      </w:r>
      <w:r w:rsidR="00E76F97">
        <w:rPr>
          <w:spacing w:val="-4"/>
        </w:rPr>
        <w:t xml:space="preserve"> Model</w:t>
      </w:r>
    </w:p>
    <w:p w14:paraId="287D892D" w14:textId="31026885" w:rsidR="00287CD0" w:rsidRDefault="0091745E" w:rsidP="00287CD0">
      <w:pPr>
        <w:pStyle w:val="H1"/>
        <w:spacing w:before="300"/>
      </w:pPr>
      <w:r>
        <w:t>V</w:t>
      </w:r>
      <w:r w:rsidRPr="005C3955">
        <w:t>.</w:t>
      </w:r>
      <w:r>
        <w:rPr>
          <w:rFonts w:ascii="MS Gothic" w:eastAsia="MS Gothic" w:hAnsi="MS Gothic" w:cs="MS Gothic"/>
        </w:rPr>
        <w:t> </w:t>
      </w:r>
      <w:r w:rsidR="00043752">
        <w:t>MODEL ANALYSIS AND EVALUATION</w:t>
      </w:r>
    </w:p>
    <w:p w14:paraId="30B91DD9" w14:textId="71F1D76C" w:rsidR="00287CD0" w:rsidRPr="00287CD0" w:rsidRDefault="00287CD0" w:rsidP="00287CD0">
      <w:pPr>
        <w:pStyle w:val="PARA"/>
        <w:rPr>
          <w:color w:val="000000"/>
        </w:rPr>
      </w:pPr>
      <w:r>
        <w:rPr>
          <w:spacing w:val="-4"/>
        </w:rPr>
        <w:lastRenderedPageBreak/>
        <w:t>The</w:t>
      </w:r>
      <w:r w:rsidR="00E76F97">
        <w:rPr>
          <w:spacing w:val="-4"/>
        </w:rPr>
        <w:t xml:space="preserve"> Results</w:t>
      </w:r>
    </w:p>
    <w:p w14:paraId="05E97148" w14:textId="77777777" w:rsidR="00287CD0" w:rsidRDefault="00287CD0" w:rsidP="00287CD0">
      <w:pPr>
        <w:pStyle w:val="TableTitle"/>
      </w:pPr>
      <w:r>
        <w:t>TABLE 1</w:t>
      </w:r>
    </w:p>
    <w:p w14:paraId="67AB9246" w14:textId="4C817AC9" w:rsidR="00287CD0" w:rsidRDefault="00287CD0" w:rsidP="00287CD0">
      <w:pPr>
        <w:pStyle w:val="TableTitle"/>
      </w:pPr>
      <w:r>
        <w:t>Training Dataset</w:t>
      </w:r>
    </w:p>
    <w:tbl>
      <w:tblPr>
        <w:tblW w:w="48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52"/>
        <w:gridCol w:w="837"/>
        <w:gridCol w:w="941"/>
        <w:gridCol w:w="941"/>
        <w:gridCol w:w="941"/>
      </w:tblGrid>
      <w:tr w:rsidR="00287CD0" w14:paraId="05D4ED71" w14:textId="77348E48" w:rsidTr="00E645B3">
        <w:trPr>
          <w:trHeight w:val="447"/>
        </w:trPr>
        <w:tc>
          <w:tcPr>
            <w:tcW w:w="1152" w:type="dxa"/>
            <w:tcBorders>
              <w:top w:val="double" w:sz="6" w:space="0" w:color="auto"/>
              <w:left w:val="nil"/>
              <w:bottom w:val="nil"/>
              <w:right w:val="nil"/>
            </w:tcBorders>
            <w:vAlign w:val="center"/>
          </w:tcPr>
          <w:p w14:paraId="3C176D55" w14:textId="489BF998" w:rsidR="00287CD0" w:rsidRDefault="00287CD0" w:rsidP="00287CD0">
            <w:pPr>
              <w:jc w:val="center"/>
              <w:rPr>
                <w:sz w:val="16"/>
                <w:szCs w:val="16"/>
              </w:rPr>
            </w:pPr>
          </w:p>
        </w:tc>
        <w:tc>
          <w:tcPr>
            <w:tcW w:w="837" w:type="dxa"/>
            <w:tcBorders>
              <w:top w:val="double" w:sz="6" w:space="0" w:color="auto"/>
              <w:left w:val="nil"/>
              <w:bottom w:val="nil"/>
              <w:right w:val="nil"/>
            </w:tcBorders>
            <w:vAlign w:val="center"/>
          </w:tcPr>
          <w:p w14:paraId="69CA30EA" w14:textId="60563C04" w:rsidR="00287CD0" w:rsidRDefault="00287CD0" w:rsidP="00287CD0">
            <w:pPr>
              <w:pStyle w:val="TableTitle"/>
              <w:rPr>
                <w:smallCaps w:val="0"/>
              </w:rPr>
            </w:pPr>
            <w:r>
              <w:rPr>
                <w:smallCaps w:val="0"/>
              </w:rPr>
              <w:t>Precision</w:t>
            </w:r>
          </w:p>
        </w:tc>
        <w:tc>
          <w:tcPr>
            <w:tcW w:w="941" w:type="dxa"/>
            <w:tcBorders>
              <w:top w:val="double" w:sz="6" w:space="0" w:color="auto"/>
              <w:left w:val="nil"/>
              <w:bottom w:val="nil"/>
              <w:right w:val="nil"/>
            </w:tcBorders>
            <w:vAlign w:val="center"/>
          </w:tcPr>
          <w:p w14:paraId="417D7A98" w14:textId="19C67464" w:rsidR="00287CD0" w:rsidRDefault="00287CD0" w:rsidP="00287CD0">
            <w:pPr>
              <w:jc w:val="center"/>
              <w:rPr>
                <w:sz w:val="16"/>
                <w:szCs w:val="16"/>
              </w:rPr>
            </w:pPr>
            <w:r>
              <w:rPr>
                <w:sz w:val="16"/>
                <w:szCs w:val="16"/>
              </w:rPr>
              <w:t>Recall</w:t>
            </w:r>
          </w:p>
        </w:tc>
        <w:tc>
          <w:tcPr>
            <w:tcW w:w="941" w:type="dxa"/>
            <w:tcBorders>
              <w:top w:val="double" w:sz="6" w:space="0" w:color="auto"/>
              <w:left w:val="nil"/>
              <w:bottom w:val="nil"/>
              <w:right w:val="nil"/>
            </w:tcBorders>
            <w:vAlign w:val="center"/>
          </w:tcPr>
          <w:p w14:paraId="0B57AC04" w14:textId="75580107" w:rsidR="00287CD0" w:rsidRDefault="00287CD0" w:rsidP="00287CD0">
            <w:pPr>
              <w:jc w:val="center"/>
              <w:rPr>
                <w:sz w:val="16"/>
                <w:szCs w:val="16"/>
              </w:rPr>
            </w:pPr>
            <w:r>
              <w:rPr>
                <w:sz w:val="16"/>
                <w:szCs w:val="16"/>
              </w:rPr>
              <w:t>F1-Score</w:t>
            </w:r>
          </w:p>
        </w:tc>
        <w:tc>
          <w:tcPr>
            <w:tcW w:w="941" w:type="dxa"/>
            <w:tcBorders>
              <w:top w:val="double" w:sz="6" w:space="0" w:color="auto"/>
              <w:left w:val="nil"/>
              <w:bottom w:val="nil"/>
              <w:right w:val="nil"/>
            </w:tcBorders>
            <w:vAlign w:val="center"/>
          </w:tcPr>
          <w:p w14:paraId="3643624F" w14:textId="5D095737" w:rsidR="00287CD0" w:rsidRDefault="00287CD0" w:rsidP="00287CD0">
            <w:pPr>
              <w:jc w:val="center"/>
              <w:rPr>
                <w:sz w:val="16"/>
                <w:szCs w:val="16"/>
              </w:rPr>
            </w:pPr>
            <w:r>
              <w:rPr>
                <w:sz w:val="16"/>
                <w:szCs w:val="16"/>
              </w:rPr>
              <w:t>Support</w:t>
            </w:r>
          </w:p>
        </w:tc>
      </w:tr>
      <w:tr w:rsidR="00287CD0" w14:paraId="3B3E9D37" w14:textId="521F37CE" w:rsidTr="00287CD0">
        <w:trPr>
          <w:trHeight w:val="366"/>
        </w:trPr>
        <w:tc>
          <w:tcPr>
            <w:tcW w:w="1152" w:type="dxa"/>
            <w:tcBorders>
              <w:top w:val="nil"/>
              <w:left w:val="nil"/>
              <w:bottom w:val="nil"/>
              <w:right w:val="nil"/>
            </w:tcBorders>
          </w:tcPr>
          <w:p w14:paraId="265CD0B8" w14:textId="2C960A4C" w:rsidR="00287CD0" w:rsidRPr="00856CFF" w:rsidRDefault="00287CD0" w:rsidP="00287CD0">
            <w:pPr>
              <w:rPr>
                <w:sz w:val="16"/>
                <w:szCs w:val="16"/>
              </w:rPr>
            </w:pPr>
            <w:r>
              <w:rPr>
                <w:sz w:val="16"/>
                <w:szCs w:val="16"/>
              </w:rPr>
              <w:t>Corporation</w:t>
            </w:r>
          </w:p>
        </w:tc>
        <w:tc>
          <w:tcPr>
            <w:tcW w:w="837" w:type="dxa"/>
            <w:tcBorders>
              <w:top w:val="nil"/>
              <w:left w:val="nil"/>
              <w:bottom w:val="nil"/>
              <w:right w:val="nil"/>
            </w:tcBorders>
          </w:tcPr>
          <w:p w14:paraId="51BFE2AF" w14:textId="0AC9614C" w:rsidR="00287CD0" w:rsidRDefault="009B0279" w:rsidP="00287CD0">
            <w:pPr>
              <w:rPr>
                <w:sz w:val="16"/>
                <w:szCs w:val="16"/>
              </w:rPr>
            </w:pPr>
            <w:r>
              <w:rPr>
                <w:sz w:val="16"/>
                <w:szCs w:val="16"/>
              </w:rPr>
              <w:t>0.</w:t>
            </w:r>
            <w:r w:rsidR="00CC2713">
              <w:rPr>
                <w:sz w:val="16"/>
                <w:szCs w:val="16"/>
              </w:rPr>
              <w:t>79</w:t>
            </w:r>
          </w:p>
        </w:tc>
        <w:tc>
          <w:tcPr>
            <w:tcW w:w="941" w:type="dxa"/>
            <w:tcBorders>
              <w:top w:val="nil"/>
              <w:left w:val="nil"/>
              <w:bottom w:val="nil"/>
              <w:right w:val="nil"/>
            </w:tcBorders>
          </w:tcPr>
          <w:p w14:paraId="4968241F" w14:textId="44B9FA9A" w:rsidR="00287CD0" w:rsidRDefault="009B0279" w:rsidP="00287CD0">
            <w:pPr>
              <w:rPr>
                <w:sz w:val="16"/>
                <w:szCs w:val="16"/>
              </w:rPr>
            </w:pPr>
            <w:r>
              <w:rPr>
                <w:sz w:val="16"/>
                <w:szCs w:val="16"/>
              </w:rPr>
              <w:t>0.8</w:t>
            </w:r>
            <w:r w:rsidR="00CC2713">
              <w:rPr>
                <w:sz w:val="16"/>
                <w:szCs w:val="16"/>
              </w:rPr>
              <w:t>1</w:t>
            </w:r>
          </w:p>
        </w:tc>
        <w:tc>
          <w:tcPr>
            <w:tcW w:w="941" w:type="dxa"/>
            <w:tcBorders>
              <w:top w:val="nil"/>
              <w:left w:val="nil"/>
              <w:bottom w:val="nil"/>
              <w:right w:val="nil"/>
            </w:tcBorders>
          </w:tcPr>
          <w:p w14:paraId="5BEBBD7B" w14:textId="2F4FC4F6" w:rsidR="00287CD0" w:rsidRDefault="009B0279" w:rsidP="00287CD0">
            <w:pPr>
              <w:rPr>
                <w:sz w:val="16"/>
                <w:szCs w:val="16"/>
              </w:rPr>
            </w:pPr>
            <w:r>
              <w:rPr>
                <w:sz w:val="16"/>
                <w:szCs w:val="16"/>
              </w:rPr>
              <w:t>0.</w:t>
            </w:r>
            <w:r w:rsidR="00CC2713">
              <w:rPr>
                <w:sz w:val="16"/>
                <w:szCs w:val="16"/>
              </w:rPr>
              <w:t>80</w:t>
            </w:r>
          </w:p>
        </w:tc>
        <w:tc>
          <w:tcPr>
            <w:tcW w:w="941" w:type="dxa"/>
            <w:tcBorders>
              <w:top w:val="nil"/>
              <w:left w:val="nil"/>
              <w:bottom w:val="nil"/>
              <w:right w:val="nil"/>
            </w:tcBorders>
          </w:tcPr>
          <w:p w14:paraId="12ACC224" w14:textId="582F34F1" w:rsidR="00287CD0" w:rsidRDefault="009B0279" w:rsidP="00287CD0">
            <w:pPr>
              <w:rPr>
                <w:sz w:val="16"/>
                <w:szCs w:val="16"/>
              </w:rPr>
            </w:pPr>
            <w:r>
              <w:rPr>
                <w:sz w:val="16"/>
                <w:szCs w:val="16"/>
              </w:rPr>
              <w:t>34</w:t>
            </w:r>
            <w:r w:rsidR="00CC2713">
              <w:rPr>
                <w:sz w:val="16"/>
                <w:szCs w:val="16"/>
              </w:rPr>
              <w:t>34</w:t>
            </w:r>
          </w:p>
        </w:tc>
      </w:tr>
      <w:tr w:rsidR="00287CD0" w14:paraId="0AAB6FD1" w14:textId="08A08C90" w:rsidTr="00287CD0">
        <w:trPr>
          <w:trHeight w:val="378"/>
        </w:trPr>
        <w:tc>
          <w:tcPr>
            <w:tcW w:w="1152" w:type="dxa"/>
            <w:tcBorders>
              <w:top w:val="nil"/>
              <w:left w:val="nil"/>
              <w:bottom w:val="nil"/>
              <w:right w:val="nil"/>
            </w:tcBorders>
          </w:tcPr>
          <w:p w14:paraId="6C222CA8" w14:textId="23602528" w:rsidR="00287CD0" w:rsidRPr="00856CFF" w:rsidRDefault="00287CD0" w:rsidP="00287CD0">
            <w:pPr>
              <w:rPr>
                <w:sz w:val="16"/>
                <w:szCs w:val="16"/>
                <w:vertAlign w:val="subscript"/>
              </w:rPr>
            </w:pPr>
            <w:r>
              <w:rPr>
                <w:sz w:val="16"/>
                <w:szCs w:val="16"/>
              </w:rPr>
              <w:t>Finance</w:t>
            </w:r>
          </w:p>
        </w:tc>
        <w:tc>
          <w:tcPr>
            <w:tcW w:w="837" w:type="dxa"/>
            <w:tcBorders>
              <w:top w:val="nil"/>
              <w:left w:val="nil"/>
              <w:bottom w:val="nil"/>
              <w:right w:val="nil"/>
            </w:tcBorders>
          </w:tcPr>
          <w:p w14:paraId="76181586" w14:textId="0C72C4F5" w:rsidR="00287CD0" w:rsidRDefault="009B0279" w:rsidP="00287CD0">
            <w:pPr>
              <w:rPr>
                <w:sz w:val="16"/>
                <w:szCs w:val="16"/>
              </w:rPr>
            </w:pPr>
            <w:r>
              <w:rPr>
                <w:sz w:val="16"/>
                <w:szCs w:val="16"/>
              </w:rPr>
              <w:t>0.8</w:t>
            </w:r>
            <w:r w:rsidR="00CC2713">
              <w:rPr>
                <w:sz w:val="16"/>
                <w:szCs w:val="16"/>
              </w:rPr>
              <w:t>1</w:t>
            </w:r>
          </w:p>
        </w:tc>
        <w:tc>
          <w:tcPr>
            <w:tcW w:w="941" w:type="dxa"/>
            <w:tcBorders>
              <w:top w:val="nil"/>
              <w:left w:val="nil"/>
              <w:bottom w:val="nil"/>
              <w:right w:val="nil"/>
            </w:tcBorders>
          </w:tcPr>
          <w:p w14:paraId="14FEB67C" w14:textId="0F6D9D0C" w:rsidR="00287CD0" w:rsidRDefault="009B0279" w:rsidP="00287CD0">
            <w:pPr>
              <w:rPr>
                <w:sz w:val="16"/>
                <w:szCs w:val="16"/>
              </w:rPr>
            </w:pPr>
            <w:r>
              <w:rPr>
                <w:sz w:val="16"/>
                <w:szCs w:val="16"/>
              </w:rPr>
              <w:t>0.</w:t>
            </w:r>
            <w:r w:rsidR="00CC2713">
              <w:rPr>
                <w:sz w:val="16"/>
                <w:szCs w:val="16"/>
              </w:rPr>
              <w:t>78</w:t>
            </w:r>
          </w:p>
        </w:tc>
        <w:tc>
          <w:tcPr>
            <w:tcW w:w="941" w:type="dxa"/>
            <w:tcBorders>
              <w:top w:val="nil"/>
              <w:left w:val="nil"/>
              <w:bottom w:val="nil"/>
              <w:right w:val="nil"/>
            </w:tcBorders>
          </w:tcPr>
          <w:p w14:paraId="540DB081" w14:textId="52660AF8" w:rsidR="00287CD0" w:rsidRDefault="009B0279" w:rsidP="00287CD0">
            <w:pPr>
              <w:rPr>
                <w:sz w:val="16"/>
                <w:szCs w:val="16"/>
              </w:rPr>
            </w:pPr>
            <w:r>
              <w:rPr>
                <w:sz w:val="16"/>
                <w:szCs w:val="16"/>
              </w:rPr>
              <w:t>0.</w:t>
            </w:r>
            <w:r w:rsidR="00CC2713">
              <w:rPr>
                <w:sz w:val="16"/>
                <w:szCs w:val="16"/>
              </w:rPr>
              <w:t>79</w:t>
            </w:r>
          </w:p>
        </w:tc>
        <w:tc>
          <w:tcPr>
            <w:tcW w:w="941" w:type="dxa"/>
            <w:tcBorders>
              <w:top w:val="nil"/>
              <w:left w:val="nil"/>
              <w:bottom w:val="nil"/>
              <w:right w:val="nil"/>
            </w:tcBorders>
          </w:tcPr>
          <w:p w14:paraId="123D2D9B" w14:textId="57E5B635" w:rsidR="00287CD0" w:rsidRDefault="009B0279" w:rsidP="00287CD0">
            <w:pPr>
              <w:rPr>
                <w:sz w:val="16"/>
                <w:szCs w:val="16"/>
              </w:rPr>
            </w:pPr>
            <w:r>
              <w:rPr>
                <w:sz w:val="16"/>
                <w:szCs w:val="16"/>
              </w:rPr>
              <w:t>34</w:t>
            </w:r>
            <w:r w:rsidR="00CC2713">
              <w:rPr>
                <w:sz w:val="16"/>
                <w:szCs w:val="16"/>
              </w:rPr>
              <w:t>34</w:t>
            </w:r>
          </w:p>
        </w:tc>
      </w:tr>
      <w:tr w:rsidR="00287CD0" w14:paraId="52371959" w14:textId="500B5D1D" w:rsidTr="00287CD0">
        <w:trPr>
          <w:trHeight w:val="366"/>
        </w:trPr>
        <w:tc>
          <w:tcPr>
            <w:tcW w:w="1152" w:type="dxa"/>
            <w:tcBorders>
              <w:top w:val="nil"/>
              <w:left w:val="nil"/>
              <w:bottom w:val="nil"/>
              <w:right w:val="nil"/>
            </w:tcBorders>
          </w:tcPr>
          <w:p w14:paraId="6DED6450" w14:textId="42D20FDA" w:rsidR="00287CD0" w:rsidRPr="00856CFF" w:rsidRDefault="00287CD0" w:rsidP="00287CD0">
            <w:pPr>
              <w:rPr>
                <w:sz w:val="16"/>
                <w:szCs w:val="16"/>
              </w:rPr>
            </w:pPr>
            <w:r>
              <w:rPr>
                <w:sz w:val="16"/>
                <w:szCs w:val="16"/>
              </w:rPr>
              <w:t>Accuracy</w:t>
            </w:r>
          </w:p>
        </w:tc>
        <w:tc>
          <w:tcPr>
            <w:tcW w:w="837" w:type="dxa"/>
            <w:tcBorders>
              <w:top w:val="nil"/>
              <w:left w:val="nil"/>
              <w:bottom w:val="nil"/>
              <w:right w:val="nil"/>
            </w:tcBorders>
          </w:tcPr>
          <w:p w14:paraId="472E4487" w14:textId="763752CC" w:rsidR="00287CD0" w:rsidRDefault="00287CD0" w:rsidP="00287CD0">
            <w:pPr>
              <w:rPr>
                <w:sz w:val="16"/>
                <w:szCs w:val="16"/>
              </w:rPr>
            </w:pPr>
          </w:p>
        </w:tc>
        <w:tc>
          <w:tcPr>
            <w:tcW w:w="941" w:type="dxa"/>
            <w:tcBorders>
              <w:top w:val="nil"/>
              <w:left w:val="nil"/>
              <w:bottom w:val="nil"/>
              <w:right w:val="nil"/>
            </w:tcBorders>
          </w:tcPr>
          <w:p w14:paraId="262E1DB9" w14:textId="5E0BE334" w:rsidR="00287CD0" w:rsidRDefault="00287CD0" w:rsidP="00287CD0">
            <w:pPr>
              <w:rPr>
                <w:sz w:val="16"/>
                <w:szCs w:val="16"/>
              </w:rPr>
            </w:pPr>
          </w:p>
        </w:tc>
        <w:tc>
          <w:tcPr>
            <w:tcW w:w="941" w:type="dxa"/>
            <w:tcBorders>
              <w:top w:val="nil"/>
              <w:left w:val="nil"/>
              <w:bottom w:val="nil"/>
              <w:right w:val="nil"/>
            </w:tcBorders>
          </w:tcPr>
          <w:p w14:paraId="29F387AE" w14:textId="05D43CED" w:rsidR="00287CD0" w:rsidRDefault="009B0279" w:rsidP="00287CD0">
            <w:pPr>
              <w:rPr>
                <w:sz w:val="16"/>
                <w:szCs w:val="16"/>
              </w:rPr>
            </w:pPr>
            <w:r>
              <w:rPr>
                <w:sz w:val="16"/>
                <w:szCs w:val="16"/>
              </w:rPr>
              <w:t>0.</w:t>
            </w:r>
            <w:r w:rsidR="00CC2713">
              <w:rPr>
                <w:sz w:val="16"/>
                <w:szCs w:val="16"/>
              </w:rPr>
              <w:t>80</w:t>
            </w:r>
          </w:p>
        </w:tc>
        <w:tc>
          <w:tcPr>
            <w:tcW w:w="941" w:type="dxa"/>
            <w:tcBorders>
              <w:top w:val="nil"/>
              <w:left w:val="nil"/>
              <w:bottom w:val="nil"/>
              <w:right w:val="nil"/>
            </w:tcBorders>
          </w:tcPr>
          <w:p w14:paraId="5EFFF827" w14:textId="0966AC3E" w:rsidR="00287CD0" w:rsidRDefault="009B0279" w:rsidP="00287CD0">
            <w:pPr>
              <w:rPr>
                <w:sz w:val="16"/>
                <w:szCs w:val="16"/>
              </w:rPr>
            </w:pPr>
            <w:r>
              <w:rPr>
                <w:sz w:val="16"/>
                <w:szCs w:val="16"/>
              </w:rPr>
              <w:t>6</w:t>
            </w:r>
            <w:r w:rsidR="00CC2713">
              <w:rPr>
                <w:sz w:val="16"/>
                <w:szCs w:val="16"/>
              </w:rPr>
              <w:t>868</w:t>
            </w:r>
          </w:p>
        </w:tc>
      </w:tr>
      <w:tr w:rsidR="00287CD0" w14:paraId="247CBF36" w14:textId="1CDFC91C" w:rsidTr="00287CD0">
        <w:trPr>
          <w:trHeight w:val="366"/>
        </w:trPr>
        <w:tc>
          <w:tcPr>
            <w:tcW w:w="1152" w:type="dxa"/>
            <w:tcBorders>
              <w:top w:val="nil"/>
              <w:left w:val="nil"/>
              <w:bottom w:val="nil"/>
              <w:right w:val="nil"/>
            </w:tcBorders>
          </w:tcPr>
          <w:p w14:paraId="26D44EB0" w14:textId="412C0357" w:rsidR="00287CD0" w:rsidRPr="00856CFF" w:rsidRDefault="00287CD0" w:rsidP="00287CD0">
            <w:pPr>
              <w:rPr>
                <w:sz w:val="16"/>
                <w:szCs w:val="16"/>
              </w:rPr>
            </w:pPr>
            <w:r>
              <w:rPr>
                <w:sz w:val="16"/>
                <w:szCs w:val="16"/>
              </w:rPr>
              <w:t>Macro avg</w:t>
            </w:r>
          </w:p>
        </w:tc>
        <w:tc>
          <w:tcPr>
            <w:tcW w:w="837" w:type="dxa"/>
            <w:tcBorders>
              <w:top w:val="nil"/>
              <w:left w:val="nil"/>
              <w:bottom w:val="nil"/>
              <w:right w:val="nil"/>
            </w:tcBorders>
          </w:tcPr>
          <w:p w14:paraId="39DB8A3C" w14:textId="2C2FBB18" w:rsidR="00287CD0" w:rsidRDefault="009B0279" w:rsidP="00287CD0">
            <w:pPr>
              <w:rPr>
                <w:sz w:val="16"/>
                <w:szCs w:val="16"/>
              </w:rPr>
            </w:pPr>
            <w:r>
              <w:rPr>
                <w:sz w:val="16"/>
                <w:szCs w:val="16"/>
              </w:rPr>
              <w:t>0.</w:t>
            </w:r>
            <w:r w:rsidR="00CC2713">
              <w:rPr>
                <w:sz w:val="16"/>
                <w:szCs w:val="16"/>
              </w:rPr>
              <w:t>80</w:t>
            </w:r>
          </w:p>
        </w:tc>
        <w:tc>
          <w:tcPr>
            <w:tcW w:w="941" w:type="dxa"/>
            <w:tcBorders>
              <w:top w:val="nil"/>
              <w:left w:val="nil"/>
              <w:bottom w:val="nil"/>
              <w:right w:val="nil"/>
            </w:tcBorders>
          </w:tcPr>
          <w:p w14:paraId="3652E089" w14:textId="6209E423" w:rsidR="00287CD0" w:rsidRDefault="009B0279" w:rsidP="00287CD0">
            <w:pPr>
              <w:rPr>
                <w:sz w:val="16"/>
                <w:szCs w:val="16"/>
              </w:rPr>
            </w:pPr>
            <w:r>
              <w:rPr>
                <w:sz w:val="16"/>
                <w:szCs w:val="16"/>
              </w:rPr>
              <w:t>0.</w:t>
            </w:r>
            <w:r w:rsidR="00CC2713">
              <w:rPr>
                <w:sz w:val="16"/>
                <w:szCs w:val="16"/>
              </w:rPr>
              <w:t>80</w:t>
            </w:r>
          </w:p>
        </w:tc>
        <w:tc>
          <w:tcPr>
            <w:tcW w:w="941" w:type="dxa"/>
            <w:tcBorders>
              <w:top w:val="nil"/>
              <w:left w:val="nil"/>
              <w:bottom w:val="nil"/>
              <w:right w:val="nil"/>
            </w:tcBorders>
          </w:tcPr>
          <w:p w14:paraId="3107B601" w14:textId="611FD902" w:rsidR="00287CD0" w:rsidRDefault="009B0279" w:rsidP="00287CD0">
            <w:pPr>
              <w:rPr>
                <w:sz w:val="16"/>
                <w:szCs w:val="16"/>
              </w:rPr>
            </w:pPr>
            <w:r>
              <w:rPr>
                <w:sz w:val="16"/>
                <w:szCs w:val="16"/>
              </w:rPr>
              <w:t>0.</w:t>
            </w:r>
            <w:r w:rsidR="00CC2713">
              <w:rPr>
                <w:sz w:val="16"/>
                <w:szCs w:val="16"/>
              </w:rPr>
              <w:t>80</w:t>
            </w:r>
          </w:p>
        </w:tc>
        <w:tc>
          <w:tcPr>
            <w:tcW w:w="941" w:type="dxa"/>
            <w:tcBorders>
              <w:top w:val="nil"/>
              <w:left w:val="nil"/>
              <w:bottom w:val="nil"/>
              <w:right w:val="nil"/>
            </w:tcBorders>
          </w:tcPr>
          <w:p w14:paraId="503301F3" w14:textId="4E11FE7D" w:rsidR="00287CD0" w:rsidRDefault="009B0279" w:rsidP="00287CD0">
            <w:pPr>
              <w:rPr>
                <w:sz w:val="16"/>
                <w:szCs w:val="16"/>
              </w:rPr>
            </w:pPr>
            <w:r>
              <w:rPr>
                <w:sz w:val="16"/>
                <w:szCs w:val="16"/>
              </w:rPr>
              <w:t>6</w:t>
            </w:r>
            <w:r w:rsidR="00CC2713">
              <w:rPr>
                <w:sz w:val="16"/>
                <w:szCs w:val="16"/>
              </w:rPr>
              <w:t>868</w:t>
            </w:r>
          </w:p>
        </w:tc>
      </w:tr>
      <w:tr w:rsidR="00287CD0" w14:paraId="6979373F" w14:textId="4FDEABC1" w:rsidTr="00287CD0">
        <w:trPr>
          <w:trHeight w:val="366"/>
        </w:trPr>
        <w:tc>
          <w:tcPr>
            <w:tcW w:w="1152" w:type="dxa"/>
            <w:tcBorders>
              <w:top w:val="nil"/>
              <w:left w:val="nil"/>
              <w:bottom w:val="single" w:sz="4" w:space="0" w:color="auto"/>
              <w:right w:val="nil"/>
            </w:tcBorders>
          </w:tcPr>
          <w:p w14:paraId="60C0537B" w14:textId="2A1EC905" w:rsidR="00287CD0" w:rsidRPr="00856CFF" w:rsidRDefault="0025594E" w:rsidP="00287CD0">
            <w:pPr>
              <w:rPr>
                <w:i/>
                <w:iCs/>
                <w:sz w:val="16"/>
                <w:szCs w:val="16"/>
              </w:rPr>
            </w:pPr>
            <w:r>
              <w:rPr>
                <w:sz w:val="16"/>
                <w:szCs w:val="16"/>
              </w:rPr>
              <w:t>Weighted</w:t>
            </w:r>
            <w:r>
              <w:rPr>
                <w:sz w:val="16"/>
                <w:szCs w:val="16"/>
              </w:rPr>
              <w:t xml:space="preserve"> avg</w:t>
            </w:r>
          </w:p>
        </w:tc>
        <w:tc>
          <w:tcPr>
            <w:tcW w:w="837" w:type="dxa"/>
            <w:tcBorders>
              <w:top w:val="nil"/>
              <w:left w:val="nil"/>
              <w:bottom w:val="single" w:sz="4" w:space="0" w:color="auto"/>
              <w:right w:val="nil"/>
            </w:tcBorders>
          </w:tcPr>
          <w:p w14:paraId="4D4F7FDB" w14:textId="1E96FE2E" w:rsidR="00287CD0" w:rsidRDefault="009B0279" w:rsidP="00287CD0">
            <w:pPr>
              <w:rPr>
                <w:sz w:val="16"/>
                <w:szCs w:val="16"/>
              </w:rPr>
            </w:pPr>
            <w:r>
              <w:rPr>
                <w:sz w:val="16"/>
                <w:szCs w:val="16"/>
              </w:rPr>
              <w:t>0.</w:t>
            </w:r>
            <w:r w:rsidR="00CC2713">
              <w:rPr>
                <w:sz w:val="16"/>
                <w:szCs w:val="16"/>
              </w:rPr>
              <w:t>80</w:t>
            </w:r>
          </w:p>
        </w:tc>
        <w:tc>
          <w:tcPr>
            <w:tcW w:w="941" w:type="dxa"/>
            <w:tcBorders>
              <w:top w:val="nil"/>
              <w:left w:val="nil"/>
              <w:bottom w:val="single" w:sz="4" w:space="0" w:color="auto"/>
              <w:right w:val="nil"/>
            </w:tcBorders>
          </w:tcPr>
          <w:p w14:paraId="7DE8DD28" w14:textId="0448AD4A" w:rsidR="00287CD0" w:rsidRPr="009B0279" w:rsidRDefault="009B0279" w:rsidP="00287CD0">
            <w:pPr>
              <w:rPr>
                <w:sz w:val="16"/>
                <w:szCs w:val="16"/>
              </w:rPr>
            </w:pPr>
            <w:r>
              <w:rPr>
                <w:sz w:val="16"/>
                <w:szCs w:val="16"/>
              </w:rPr>
              <w:t>0.</w:t>
            </w:r>
            <w:r w:rsidR="00CC2713">
              <w:rPr>
                <w:sz w:val="16"/>
                <w:szCs w:val="16"/>
              </w:rPr>
              <w:t>80</w:t>
            </w:r>
          </w:p>
        </w:tc>
        <w:tc>
          <w:tcPr>
            <w:tcW w:w="941" w:type="dxa"/>
            <w:tcBorders>
              <w:top w:val="nil"/>
              <w:left w:val="nil"/>
              <w:bottom w:val="single" w:sz="4" w:space="0" w:color="auto"/>
              <w:right w:val="nil"/>
            </w:tcBorders>
          </w:tcPr>
          <w:p w14:paraId="52F533B5" w14:textId="61ADC35E" w:rsidR="00287CD0" w:rsidRPr="009B0279" w:rsidRDefault="009B0279" w:rsidP="00287CD0">
            <w:pPr>
              <w:rPr>
                <w:sz w:val="16"/>
                <w:szCs w:val="16"/>
              </w:rPr>
            </w:pPr>
            <w:r>
              <w:rPr>
                <w:sz w:val="16"/>
                <w:szCs w:val="16"/>
              </w:rPr>
              <w:t>0.</w:t>
            </w:r>
            <w:r w:rsidR="00CC2713">
              <w:rPr>
                <w:sz w:val="16"/>
                <w:szCs w:val="16"/>
              </w:rPr>
              <w:t>80</w:t>
            </w:r>
          </w:p>
        </w:tc>
        <w:tc>
          <w:tcPr>
            <w:tcW w:w="941" w:type="dxa"/>
            <w:tcBorders>
              <w:top w:val="nil"/>
              <w:left w:val="nil"/>
              <w:bottom w:val="single" w:sz="4" w:space="0" w:color="auto"/>
              <w:right w:val="nil"/>
            </w:tcBorders>
          </w:tcPr>
          <w:p w14:paraId="2C6FFB35" w14:textId="398F0BF8" w:rsidR="00287CD0" w:rsidRPr="009B0279" w:rsidRDefault="009B0279" w:rsidP="00287CD0">
            <w:pPr>
              <w:rPr>
                <w:sz w:val="16"/>
                <w:szCs w:val="16"/>
              </w:rPr>
            </w:pPr>
            <w:r>
              <w:rPr>
                <w:sz w:val="16"/>
                <w:szCs w:val="16"/>
              </w:rPr>
              <w:t>6</w:t>
            </w:r>
            <w:r w:rsidR="00CC2713">
              <w:rPr>
                <w:sz w:val="16"/>
                <w:szCs w:val="16"/>
              </w:rPr>
              <w:t>868</w:t>
            </w:r>
          </w:p>
        </w:tc>
      </w:tr>
    </w:tbl>
    <w:p w14:paraId="10A6493A" w14:textId="77777777" w:rsidR="00287CD0" w:rsidRDefault="00287CD0" w:rsidP="00287CD0">
      <w:pPr>
        <w:pStyle w:val="FootnoteText"/>
      </w:pPr>
    </w:p>
    <w:p w14:paraId="6B561B7D" w14:textId="77777777" w:rsidR="00287CD0" w:rsidRDefault="00287CD0" w:rsidP="00287CD0">
      <w:pPr>
        <w:pStyle w:val="FootnoteText"/>
      </w:pPr>
    </w:p>
    <w:p w14:paraId="2B474F84" w14:textId="77777777" w:rsidR="00287CD0" w:rsidRDefault="00287CD0" w:rsidP="00287CD0">
      <w:pPr>
        <w:pStyle w:val="FootnoteText"/>
      </w:pPr>
    </w:p>
    <w:p w14:paraId="07B77C7B" w14:textId="77777777" w:rsidR="001F340B" w:rsidRDefault="001F340B" w:rsidP="00287CD0">
      <w:pPr>
        <w:pStyle w:val="FootnoteText"/>
      </w:pPr>
    </w:p>
    <w:p w14:paraId="204F5272" w14:textId="77777777" w:rsidR="001F340B" w:rsidRDefault="001F340B" w:rsidP="00287CD0">
      <w:pPr>
        <w:pStyle w:val="FootnoteText"/>
      </w:pPr>
    </w:p>
    <w:p w14:paraId="5D55F746" w14:textId="77777777" w:rsidR="00287CD0" w:rsidRDefault="00287CD0" w:rsidP="00287CD0">
      <w:pPr>
        <w:pStyle w:val="FootnoteText"/>
      </w:pPr>
    </w:p>
    <w:p w14:paraId="4ECB0811" w14:textId="690EE297" w:rsidR="00287CD0" w:rsidRDefault="00287CD0" w:rsidP="00287CD0">
      <w:pPr>
        <w:pStyle w:val="TableTitle"/>
      </w:pPr>
      <w:r>
        <w:t xml:space="preserve">TABLE </w:t>
      </w:r>
      <w:r>
        <w:t>2</w:t>
      </w:r>
    </w:p>
    <w:p w14:paraId="5E015DE6" w14:textId="31874F14" w:rsidR="00287CD0" w:rsidRDefault="00287CD0" w:rsidP="00287CD0">
      <w:pPr>
        <w:pStyle w:val="TableTitle"/>
      </w:pPr>
      <w:r>
        <w:t>Testing</w:t>
      </w:r>
      <w:r>
        <w:t xml:space="preserve"> Dataset</w:t>
      </w:r>
    </w:p>
    <w:tbl>
      <w:tblPr>
        <w:tblW w:w="48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52"/>
        <w:gridCol w:w="837"/>
        <w:gridCol w:w="941"/>
        <w:gridCol w:w="941"/>
        <w:gridCol w:w="941"/>
      </w:tblGrid>
      <w:tr w:rsidR="00287CD0" w14:paraId="11E65796" w14:textId="77777777" w:rsidTr="008C1F44">
        <w:trPr>
          <w:trHeight w:val="447"/>
        </w:trPr>
        <w:tc>
          <w:tcPr>
            <w:tcW w:w="1152" w:type="dxa"/>
            <w:tcBorders>
              <w:top w:val="double" w:sz="6" w:space="0" w:color="auto"/>
              <w:left w:val="nil"/>
              <w:bottom w:val="nil"/>
              <w:right w:val="nil"/>
            </w:tcBorders>
            <w:vAlign w:val="center"/>
          </w:tcPr>
          <w:p w14:paraId="757C25B4" w14:textId="77777777" w:rsidR="00287CD0" w:rsidRDefault="00287CD0" w:rsidP="008C1F44">
            <w:pPr>
              <w:jc w:val="center"/>
              <w:rPr>
                <w:sz w:val="16"/>
                <w:szCs w:val="16"/>
              </w:rPr>
            </w:pPr>
          </w:p>
        </w:tc>
        <w:tc>
          <w:tcPr>
            <w:tcW w:w="837" w:type="dxa"/>
            <w:tcBorders>
              <w:top w:val="double" w:sz="6" w:space="0" w:color="auto"/>
              <w:left w:val="nil"/>
              <w:bottom w:val="nil"/>
              <w:right w:val="nil"/>
            </w:tcBorders>
            <w:vAlign w:val="center"/>
          </w:tcPr>
          <w:p w14:paraId="36BF72D6" w14:textId="77777777" w:rsidR="00287CD0" w:rsidRDefault="00287CD0" w:rsidP="008C1F44">
            <w:pPr>
              <w:pStyle w:val="TableTitle"/>
              <w:rPr>
                <w:smallCaps w:val="0"/>
              </w:rPr>
            </w:pPr>
            <w:r>
              <w:rPr>
                <w:smallCaps w:val="0"/>
              </w:rPr>
              <w:t>Precision</w:t>
            </w:r>
          </w:p>
        </w:tc>
        <w:tc>
          <w:tcPr>
            <w:tcW w:w="941" w:type="dxa"/>
            <w:tcBorders>
              <w:top w:val="double" w:sz="6" w:space="0" w:color="auto"/>
              <w:left w:val="nil"/>
              <w:bottom w:val="nil"/>
              <w:right w:val="nil"/>
            </w:tcBorders>
            <w:vAlign w:val="center"/>
          </w:tcPr>
          <w:p w14:paraId="69A54CBD" w14:textId="77777777" w:rsidR="00287CD0" w:rsidRDefault="00287CD0" w:rsidP="008C1F44">
            <w:pPr>
              <w:jc w:val="center"/>
              <w:rPr>
                <w:sz w:val="16"/>
                <w:szCs w:val="16"/>
              </w:rPr>
            </w:pPr>
            <w:r>
              <w:rPr>
                <w:sz w:val="16"/>
                <w:szCs w:val="16"/>
              </w:rPr>
              <w:t>Recall</w:t>
            </w:r>
          </w:p>
        </w:tc>
        <w:tc>
          <w:tcPr>
            <w:tcW w:w="941" w:type="dxa"/>
            <w:tcBorders>
              <w:top w:val="double" w:sz="6" w:space="0" w:color="auto"/>
              <w:left w:val="nil"/>
              <w:bottom w:val="nil"/>
              <w:right w:val="nil"/>
            </w:tcBorders>
            <w:vAlign w:val="center"/>
          </w:tcPr>
          <w:p w14:paraId="057DD611" w14:textId="77777777" w:rsidR="00287CD0" w:rsidRDefault="00287CD0" w:rsidP="008C1F44">
            <w:pPr>
              <w:jc w:val="center"/>
              <w:rPr>
                <w:sz w:val="16"/>
                <w:szCs w:val="16"/>
              </w:rPr>
            </w:pPr>
            <w:r>
              <w:rPr>
                <w:sz w:val="16"/>
                <w:szCs w:val="16"/>
              </w:rPr>
              <w:t>F1-Score</w:t>
            </w:r>
          </w:p>
        </w:tc>
        <w:tc>
          <w:tcPr>
            <w:tcW w:w="941" w:type="dxa"/>
            <w:tcBorders>
              <w:top w:val="double" w:sz="6" w:space="0" w:color="auto"/>
              <w:left w:val="nil"/>
              <w:bottom w:val="nil"/>
              <w:right w:val="nil"/>
            </w:tcBorders>
            <w:vAlign w:val="center"/>
          </w:tcPr>
          <w:p w14:paraId="4789F0C4" w14:textId="77777777" w:rsidR="00287CD0" w:rsidRDefault="00287CD0" w:rsidP="008C1F44">
            <w:pPr>
              <w:jc w:val="center"/>
              <w:rPr>
                <w:sz w:val="16"/>
                <w:szCs w:val="16"/>
              </w:rPr>
            </w:pPr>
            <w:r>
              <w:rPr>
                <w:sz w:val="16"/>
                <w:szCs w:val="16"/>
              </w:rPr>
              <w:t>Support</w:t>
            </w:r>
          </w:p>
        </w:tc>
      </w:tr>
      <w:tr w:rsidR="00287CD0" w14:paraId="71805654" w14:textId="77777777" w:rsidTr="008C1F44">
        <w:trPr>
          <w:trHeight w:val="366"/>
        </w:trPr>
        <w:tc>
          <w:tcPr>
            <w:tcW w:w="1152" w:type="dxa"/>
            <w:tcBorders>
              <w:top w:val="nil"/>
              <w:left w:val="nil"/>
              <w:bottom w:val="nil"/>
              <w:right w:val="nil"/>
            </w:tcBorders>
          </w:tcPr>
          <w:p w14:paraId="4CBADACD" w14:textId="09FE5AF8" w:rsidR="00287CD0" w:rsidRPr="00856CFF" w:rsidRDefault="00287CD0" w:rsidP="008C1F44">
            <w:pPr>
              <w:rPr>
                <w:sz w:val="16"/>
                <w:szCs w:val="16"/>
              </w:rPr>
            </w:pPr>
            <w:r>
              <w:rPr>
                <w:sz w:val="16"/>
                <w:szCs w:val="16"/>
              </w:rPr>
              <w:t>Corporation</w:t>
            </w:r>
          </w:p>
        </w:tc>
        <w:tc>
          <w:tcPr>
            <w:tcW w:w="837" w:type="dxa"/>
            <w:tcBorders>
              <w:top w:val="nil"/>
              <w:left w:val="nil"/>
              <w:bottom w:val="nil"/>
              <w:right w:val="nil"/>
            </w:tcBorders>
          </w:tcPr>
          <w:p w14:paraId="3768C4FD" w14:textId="7E7D6903" w:rsidR="00287CD0" w:rsidRDefault="009B0279" w:rsidP="008C1F44">
            <w:pPr>
              <w:rPr>
                <w:sz w:val="16"/>
                <w:szCs w:val="16"/>
              </w:rPr>
            </w:pPr>
            <w:r>
              <w:rPr>
                <w:sz w:val="16"/>
                <w:szCs w:val="16"/>
              </w:rPr>
              <w:t>0.6</w:t>
            </w:r>
            <w:r w:rsidR="00CC2713">
              <w:rPr>
                <w:sz w:val="16"/>
                <w:szCs w:val="16"/>
              </w:rPr>
              <w:t>7</w:t>
            </w:r>
          </w:p>
        </w:tc>
        <w:tc>
          <w:tcPr>
            <w:tcW w:w="941" w:type="dxa"/>
            <w:tcBorders>
              <w:top w:val="nil"/>
              <w:left w:val="nil"/>
              <w:bottom w:val="nil"/>
              <w:right w:val="nil"/>
            </w:tcBorders>
          </w:tcPr>
          <w:p w14:paraId="4959E192" w14:textId="307E3F87" w:rsidR="00287CD0" w:rsidRDefault="009B0279" w:rsidP="008C1F44">
            <w:pPr>
              <w:rPr>
                <w:sz w:val="16"/>
                <w:szCs w:val="16"/>
              </w:rPr>
            </w:pPr>
            <w:r>
              <w:rPr>
                <w:sz w:val="16"/>
                <w:szCs w:val="16"/>
              </w:rPr>
              <w:t>0.82</w:t>
            </w:r>
          </w:p>
        </w:tc>
        <w:tc>
          <w:tcPr>
            <w:tcW w:w="941" w:type="dxa"/>
            <w:tcBorders>
              <w:top w:val="nil"/>
              <w:left w:val="nil"/>
              <w:bottom w:val="nil"/>
              <w:right w:val="nil"/>
            </w:tcBorders>
          </w:tcPr>
          <w:p w14:paraId="182F78B4" w14:textId="3A9BEB4F" w:rsidR="00287CD0" w:rsidRDefault="009B0279" w:rsidP="008C1F44">
            <w:pPr>
              <w:rPr>
                <w:sz w:val="16"/>
                <w:szCs w:val="16"/>
              </w:rPr>
            </w:pPr>
            <w:r>
              <w:rPr>
                <w:sz w:val="16"/>
                <w:szCs w:val="16"/>
              </w:rPr>
              <w:t>0.74</w:t>
            </w:r>
          </w:p>
        </w:tc>
        <w:tc>
          <w:tcPr>
            <w:tcW w:w="941" w:type="dxa"/>
            <w:tcBorders>
              <w:top w:val="nil"/>
              <w:left w:val="nil"/>
              <w:bottom w:val="nil"/>
              <w:right w:val="nil"/>
            </w:tcBorders>
          </w:tcPr>
          <w:p w14:paraId="703662FC" w14:textId="63AD7FF2" w:rsidR="00287CD0" w:rsidRDefault="009B0279" w:rsidP="008C1F44">
            <w:pPr>
              <w:rPr>
                <w:sz w:val="16"/>
                <w:szCs w:val="16"/>
              </w:rPr>
            </w:pPr>
            <w:r>
              <w:rPr>
                <w:sz w:val="16"/>
                <w:szCs w:val="16"/>
              </w:rPr>
              <w:t>11</w:t>
            </w:r>
            <w:r w:rsidR="00CC2713">
              <w:rPr>
                <w:sz w:val="16"/>
                <w:szCs w:val="16"/>
              </w:rPr>
              <w:t>64</w:t>
            </w:r>
          </w:p>
        </w:tc>
      </w:tr>
      <w:tr w:rsidR="00287CD0" w14:paraId="2FE2B813" w14:textId="77777777" w:rsidTr="008C1F44">
        <w:trPr>
          <w:trHeight w:val="378"/>
        </w:trPr>
        <w:tc>
          <w:tcPr>
            <w:tcW w:w="1152" w:type="dxa"/>
            <w:tcBorders>
              <w:top w:val="nil"/>
              <w:left w:val="nil"/>
              <w:bottom w:val="nil"/>
              <w:right w:val="nil"/>
            </w:tcBorders>
          </w:tcPr>
          <w:p w14:paraId="637CCD39" w14:textId="77777777" w:rsidR="00287CD0" w:rsidRPr="00856CFF" w:rsidRDefault="00287CD0" w:rsidP="008C1F44">
            <w:pPr>
              <w:rPr>
                <w:sz w:val="16"/>
                <w:szCs w:val="16"/>
                <w:vertAlign w:val="subscript"/>
              </w:rPr>
            </w:pPr>
            <w:r>
              <w:rPr>
                <w:sz w:val="16"/>
                <w:szCs w:val="16"/>
              </w:rPr>
              <w:t>Finance</w:t>
            </w:r>
          </w:p>
        </w:tc>
        <w:tc>
          <w:tcPr>
            <w:tcW w:w="837" w:type="dxa"/>
            <w:tcBorders>
              <w:top w:val="nil"/>
              <w:left w:val="nil"/>
              <w:bottom w:val="nil"/>
              <w:right w:val="nil"/>
            </w:tcBorders>
          </w:tcPr>
          <w:p w14:paraId="45D9F586" w14:textId="416C457E" w:rsidR="00287CD0" w:rsidRDefault="009B0279" w:rsidP="008C1F44">
            <w:pPr>
              <w:rPr>
                <w:sz w:val="16"/>
                <w:szCs w:val="16"/>
              </w:rPr>
            </w:pPr>
            <w:r>
              <w:rPr>
                <w:sz w:val="16"/>
                <w:szCs w:val="16"/>
              </w:rPr>
              <w:t>0.88</w:t>
            </w:r>
          </w:p>
        </w:tc>
        <w:tc>
          <w:tcPr>
            <w:tcW w:w="941" w:type="dxa"/>
            <w:tcBorders>
              <w:top w:val="nil"/>
              <w:left w:val="nil"/>
              <w:bottom w:val="nil"/>
              <w:right w:val="nil"/>
            </w:tcBorders>
          </w:tcPr>
          <w:p w14:paraId="55ACEC25" w14:textId="67028527" w:rsidR="00287CD0" w:rsidRDefault="009B0279" w:rsidP="008C1F44">
            <w:pPr>
              <w:rPr>
                <w:sz w:val="16"/>
                <w:szCs w:val="16"/>
              </w:rPr>
            </w:pPr>
            <w:r>
              <w:rPr>
                <w:sz w:val="16"/>
                <w:szCs w:val="16"/>
              </w:rPr>
              <w:t>0.7</w:t>
            </w:r>
            <w:r w:rsidR="00CC2713">
              <w:rPr>
                <w:sz w:val="16"/>
                <w:szCs w:val="16"/>
              </w:rPr>
              <w:t>7</w:t>
            </w:r>
          </w:p>
        </w:tc>
        <w:tc>
          <w:tcPr>
            <w:tcW w:w="941" w:type="dxa"/>
            <w:tcBorders>
              <w:top w:val="nil"/>
              <w:left w:val="nil"/>
              <w:bottom w:val="nil"/>
              <w:right w:val="nil"/>
            </w:tcBorders>
          </w:tcPr>
          <w:p w14:paraId="65EC38CE" w14:textId="33A62121" w:rsidR="00287CD0" w:rsidRDefault="009B0279" w:rsidP="008C1F44">
            <w:pPr>
              <w:rPr>
                <w:sz w:val="16"/>
                <w:szCs w:val="16"/>
              </w:rPr>
            </w:pPr>
            <w:r>
              <w:rPr>
                <w:sz w:val="16"/>
                <w:szCs w:val="16"/>
              </w:rPr>
              <w:t>0.8</w:t>
            </w:r>
            <w:r w:rsidR="00CC2713">
              <w:rPr>
                <w:sz w:val="16"/>
                <w:szCs w:val="16"/>
              </w:rPr>
              <w:t>2</w:t>
            </w:r>
          </w:p>
        </w:tc>
        <w:tc>
          <w:tcPr>
            <w:tcW w:w="941" w:type="dxa"/>
            <w:tcBorders>
              <w:top w:val="nil"/>
              <w:left w:val="nil"/>
              <w:bottom w:val="nil"/>
              <w:right w:val="nil"/>
            </w:tcBorders>
          </w:tcPr>
          <w:p w14:paraId="324C3039" w14:textId="4379546C" w:rsidR="00287CD0" w:rsidRDefault="009B0279" w:rsidP="008C1F44">
            <w:pPr>
              <w:rPr>
                <w:sz w:val="16"/>
                <w:szCs w:val="16"/>
              </w:rPr>
            </w:pPr>
            <w:r>
              <w:rPr>
                <w:sz w:val="16"/>
                <w:szCs w:val="16"/>
              </w:rPr>
              <w:t>20</w:t>
            </w:r>
            <w:r w:rsidR="00CC2713">
              <w:rPr>
                <w:sz w:val="16"/>
                <w:szCs w:val="16"/>
              </w:rPr>
              <w:t>23</w:t>
            </w:r>
          </w:p>
        </w:tc>
      </w:tr>
      <w:tr w:rsidR="00287CD0" w14:paraId="6F9A4F39" w14:textId="77777777" w:rsidTr="008C1F44">
        <w:trPr>
          <w:trHeight w:val="366"/>
        </w:trPr>
        <w:tc>
          <w:tcPr>
            <w:tcW w:w="1152" w:type="dxa"/>
            <w:tcBorders>
              <w:top w:val="nil"/>
              <w:left w:val="nil"/>
              <w:bottom w:val="nil"/>
              <w:right w:val="nil"/>
            </w:tcBorders>
          </w:tcPr>
          <w:p w14:paraId="27BC81AD" w14:textId="77777777" w:rsidR="00287CD0" w:rsidRPr="00856CFF" w:rsidRDefault="00287CD0" w:rsidP="008C1F44">
            <w:pPr>
              <w:rPr>
                <w:sz w:val="16"/>
                <w:szCs w:val="16"/>
              </w:rPr>
            </w:pPr>
            <w:r>
              <w:rPr>
                <w:sz w:val="16"/>
                <w:szCs w:val="16"/>
              </w:rPr>
              <w:t>Accuracy</w:t>
            </w:r>
          </w:p>
        </w:tc>
        <w:tc>
          <w:tcPr>
            <w:tcW w:w="837" w:type="dxa"/>
            <w:tcBorders>
              <w:top w:val="nil"/>
              <w:left w:val="nil"/>
              <w:bottom w:val="nil"/>
              <w:right w:val="nil"/>
            </w:tcBorders>
          </w:tcPr>
          <w:p w14:paraId="05C79C59" w14:textId="77777777" w:rsidR="00287CD0" w:rsidRDefault="00287CD0" w:rsidP="008C1F44">
            <w:pPr>
              <w:rPr>
                <w:sz w:val="16"/>
                <w:szCs w:val="16"/>
              </w:rPr>
            </w:pPr>
          </w:p>
        </w:tc>
        <w:tc>
          <w:tcPr>
            <w:tcW w:w="941" w:type="dxa"/>
            <w:tcBorders>
              <w:top w:val="nil"/>
              <w:left w:val="nil"/>
              <w:bottom w:val="nil"/>
              <w:right w:val="nil"/>
            </w:tcBorders>
          </w:tcPr>
          <w:p w14:paraId="55C5B548" w14:textId="77777777" w:rsidR="00287CD0" w:rsidRDefault="00287CD0" w:rsidP="008C1F44">
            <w:pPr>
              <w:rPr>
                <w:sz w:val="16"/>
                <w:szCs w:val="16"/>
              </w:rPr>
            </w:pPr>
          </w:p>
        </w:tc>
        <w:tc>
          <w:tcPr>
            <w:tcW w:w="941" w:type="dxa"/>
            <w:tcBorders>
              <w:top w:val="nil"/>
              <w:left w:val="nil"/>
              <w:bottom w:val="nil"/>
              <w:right w:val="nil"/>
            </w:tcBorders>
          </w:tcPr>
          <w:p w14:paraId="1CC878C7" w14:textId="7105BC3D" w:rsidR="00287CD0" w:rsidRDefault="009B0279" w:rsidP="008C1F44">
            <w:pPr>
              <w:rPr>
                <w:sz w:val="16"/>
                <w:szCs w:val="16"/>
              </w:rPr>
            </w:pPr>
            <w:r>
              <w:rPr>
                <w:sz w:val="16"/>
                <w:szCs w:val="16"/>
              </w:rPr>
              <w:t>0.</w:t>
            </w:r>
            <w:r w:rsidR="00CC2713">
              <w:rPr>
                <w:sz w:val="16"/>
                <w:szCs w:val="16"/>
              </w:rPr>
              <w:t>79</w:t>
            </w:r>
          </w:p>
        </w:tc>
        <w:tc>
          <w:tcPr>
            <w:tcW w:w="941" w:type="dxa"/>
            <w:tcBorders>
              <w:top w:val="nil"/>
              <w:left w:val="nil"/>
              <w:bottom w:val="nil"/>
              <w:right w:val="nil"/>
            </w:tcBorders>
          </w:tcPr>
          <w:p w14:paraId="51CE3A2A" w14:textId="314FD55C" w:rsidR="00287CD0" w:rsidRDefault="009B0279" w:rsidP="008C1F44">
            <w:pPr>
              <w:rPr>
                <w:sz w:val="16"/>
                <w:szCs w:val="16"/>
              </w:rPr>
            </w:pPr>
            <w:r>
              <w:rPr>
                <w:sz w:val="16"/>
                <w:szCs w:val="16"/>
              </w:rPr>
              <w:t>3187</w:t>
            </w:r>
          </w:p>
        </w:tc>
      </w:tr>
      <w:tr w:rsidR="00287CD0" w14:paraId="3ABD6B6C" w14:textId="77777777" w:rsidTr="008C1F44">
        <w:trPr>
          <w:trHeight w:val="366"/>
        </w:trPr>
        <w:tc>
          <w:tcPr>
            <w:tcW w:w="1152" w:type="dxa"/>
            <w:tcBorders>
              <w:top w:val="nil"/>
              <w:left w:val="nil"/>
              <w:bottom w:val="nil"/>
              <w:right w:val="nil"/>
            </w:tcBorders>
          </w:tcPr>
          <w:p w14:paraId="0DDE221D" w14:textId="77777777" w:rsidR="00287CD0" w:rsidRPr="00856CFF" w:rsidRDefault="00287CD0" w:rsidP="008C1F44">
            <w:pPr>
              <w:rPr>
                <w:sz w:val="16"/>
                <w:szCs w:val="16"/>
              </w:rPr>
            </w:pPr>
            <w:r>
              <w:rPr>
                <w:sz w:val="16"/>
                <w:szCs w:val="16"/>
              </w:rPr>
              <w:t>Macro avg</w:t>
            </w:r>
          </w:p>
        </w:tc>
        <w:tc>
          <w:tcPr>
            <w:tcW w:w="837" w:type="dxa"/>
            <w:tcBorders>
              <w:top w:val="nil"/>
              <w:left w:val="nil"/>
              <w:bottom w:val="nil"/>
              <w:right w:val="nil"/>
            </w:tcBorders>
          </w:tcPr>
          <w:p w14:paraId="1DCF754C" w14:textId="28D04C09" w:rsidR="00287CD0" w:rsidRDefault="009B0279" w:rsidP="008C1F44">
            <w:pPr>
              <w:rPr>
                <w:sz w:val="16"/>
                <w:szCs w:val="16"/>
              </w:rPr>
            </w:pPr>
            <w:r>
              <w:rPr>
                <w:sz w:val="16"/>
                <w:szCs w:val="16"/>
              </w:rPr>
              <w:t>0.7</w:t>
            </w:r>
            <w:r w:rsidR="00CC2713">
              <w:rPr>
                <w:sz w:val="16"/>
                <w:szCs w:val="16"/>
              </w:rPr>
              <w:t>7</w:t>
            </w:r>
          </w:p>
        </w:tc>
        <w:tc>
          <w:tcPr>
            <w:tcW w:w="941" w:type="dxa"/>
            <w:tcBorders>
              <w:top w:val="nil"/>
              <w:left w:val="nil"/>
              <w:bottom w:val="nil"/>
              <w:right w:val="nil"/>
            </w:tcBorders>
          </w:tcPr>
          <w:p w14:paraId="3AD3B861" w14:textId="1902F3A1" w:rsidR="00287CD0" w:rsidRDefault="009B0279" w:rsidP="008C1F44">
            <w:pPr>
              <w:rPr>
                <w:sz w:val="16"/>
                <w:szCs w:val="16"/>
              </w:rPr>
            </w:pPr>
            <w:r>
              <w:rPr>
                <w:sz w:val="16"/>
                <w:szCs w:val="16"/>
              </w:rPr>
              <w:t>0.</w:t>
            </w:r>
            <w:r w:rsidR="00CC2713">
              <w:rPr>
                <w:sz w:val="16"/>
                <w:szCs w:val="16"/>
              </w:rPr>
              <w:t>79</w:t>
            </w:r>
          </w:p>
        </w:tc>
        <w:tc>
          <w:tcPr>
            <w:tcW w:w="941" w:type="dxa"/>
            <w:tcBorders>
              <w:top w:val="nil"/>
              <w:left w:val="nil"/>
              <w:bottom w:val="nil"/>
              <w:right w:val="nil"/>
            </w:tcBorders>
          </w:tcPr>
          <w:p w14:paraId="67553DEC" w14:textId="1050DCBA" w:rsidR="00287CD0" w:rsidRDefault="009B0279" w:rsidP="008C1F44">
            <w:pPr>
              <w:rPr>
                <w:sz w:val="16"/>
                <w:szCs w:val="16"/>
              </w:rPr>
            </w:pPr>
            <w:r>
              <w:rPr>
                <w:sz w:val="16"/>
                <w:szCs w:val="16"/>
              </w:rPr>
              <w:t>0.7</w:t>
            </w:r>
            <w:r w:rsidR="00CC2713">
              <w:rPr>
                <w:sz w:val="16"/>
                <w:szCs w:val="16"/>
              </w:rPr>
              <w:t>8</w:t>
            </w:r>
          </w:p>
        </w:tc>
        <w:tc>
          <w:tcPr>
            <w:tcW w:w="941" w:type="dxa"/>
            <w:tcBorders>
              <w:top w:val="nil"/>
              <w:left w:val="nil"/>
              <w:bottom w:val="nil"/>
              <w:right w:val="nil"/>
            </w:tcBorders>
          </w:tcPr>
          <w:p w14:paraId="4C357B06" w14:textId="1BF1F67C" w:rsidR="00287CD0" w:rsidRDefault="009B0279" w:rsidP="008C1F44">
            <w:pPr>
              <w:rPr>
                <w:sz w:val="16"/>
                <w:szCs w:val="16"/>
              </w:rPr>
            </w:pPr>
            <w:r>
              <w:rPr>
                <w:sz w:val="16"/>
                <w:szCs w:val="16"/>
              </w:rPr>
              <w:t>3187</w:t>
            </w:r>
          </w:p>
        </w:tc>
      </w:tr>
      <w:tr w:rsidR="00287CD0" w14:paraId="683BE851" w14:textId="77777777" w:rsidTr="008C1F44">
        <w:trPr>
          <w:trHeight w:val="366"/>
        </w:trPr>
        <w:tc>
          <w:tcPr>
            <w:tcW w:w="1152" w:type="dxa"/>
            <w:tcBorders>
              <w:top w:val="nil"/>
              <w:left w:val="nil"/>
              <w:bottom w:val="single" w:sz="4" w:space="0" w:color="auto"/>
              <w:right w:val="nil"/>
            </w:tcBorders>
          </w:tcPr>
          <w:p w14:paraId="0FCEEAB3" w14:textId="1B067AF0" w:rsidR="00287CD0" w:rsidRPr="00856CFF" w:rsidRDefault="0025594E" w:rsidP="008C1F44">
            <w:pPr>
              <w:rPr>
                <w:i/>
                <w:iCs/>
                <w:sz w:val="16"/>
                <w:szCs w:val="16"/>
              </w:rPr>
            </w:pPr>
            <w:r>
              <w:rPr>
                <w:sz w:val="16"/>
                <w:szCs w:val="16"/>
              </w:rPr>
              <w:t>Weighted</w:t>
            </w:r>
            <w:r>
              <w:rPr>
                <w:sz w:val="16"/>
                <w:szCs w:val="16"/>
              </w:rPr>
              <w:t xml:space="preserve"> avg</w:t>
            </w:r>
          </w:p>
        </w:tc>
        <w:tc>
          <w:tcPr>
            <w:tcW w:w="837" w:type="dxa"/>
            <w:tcBorders>
              <w:top w:val="nil"/>
              <w:left w:val="nil"/>
              <w:bottom w:val="single" w:sz="4" w:space="0" w:color="auto"/>
              <w:right w:val="nil"/>
            </w:tcBorders>
          </w:tcPr>
          <w:p w14:paraId="100E8E0D" w14:textId="1167E2E0" w:rsidR="00287CD0" w:rsidRDefault="009B0279" w:rsidP="008C1F44">
            <w:pPr>
              <w:rPr>
                <w:sz w:val="16"/>
                <w:szCs w:val="16"/>
              </w:rPr>
            </w:pPr>
            <w:r>
              <w:rPr>
                <w:sz w:val="16"/>
                <w:szCs w:val="16"/>
              </w:rPr>
              <w:t>0.8</w:t>
            </w:r>
            <w:r w:rsidR="00CC2713">
              <w:rPr>
                <w:sz w:val="16"/>
                <w:szCs w:val="16"/>
              </w:rPr>
              <w:t>0</w:t>
            </w:r>
          </w:p>
        </w:tc>
        <w:tc>
          <w:tcPr>
            <w:tcW w:w="941" w:type="dxa"/>
            <w:tcBorders>
              <w:top w:val="nil"/>
              <w:left w:val="nil"/>
              <w:bottom w:val="single" w:sz="4" w:space="0" w:color="auto"/>
              <w:right w:val="nil"/>
            </w:tcBorders>
          </w:tcPr>
          <w:p w14:paraId="196C44F8" w14:textId="4725949E" w:rsidR="00287CD0" w:rsidRPr="009B0279" w:rsidRDefault="009B0279" w:rsidP="008C1F44">
            <w:pPr>
              <w:rPr>
                <w:sz w:val="16"/>
                <w:szCs w:val="16"/>
              </w:rPr>
            </w:pPr>
            <w:r>
              <w:rPr>
                <w:sz w:val="16"/>
                <w:szCs w:val="16"/>
              </w:rPr>
              <w:t>0.79</w:t>
            </w:r>
          </w:p>
        </w:tc>
        <w:tc>
          <w:tcPr>
            <w:tcW w:w="941" w:type="dxa"/>
            <w:tcBorders>
              <w:top w:val="nil"/>
              <w:left w:val="nil"/>
              <w:bottom w:val="single" w:sz="4" w:space="0" w:color="auto"/>
              <w:right w:val="nil"/>
            </w:tcBorders>
          </w:tcPr>
          <w:p w14:paraId="699E9311" w14:textId="3C8B8ECC" w:rsidR="00287CD0" w:rsidRPr="009B0279" w:rsidRDefault="009B0279" w:rsidP="008C1F44">
            <w:pPr>
              <w:rPr>
                <w:sz w:val="16"/>
                <w:szCs w:val="16"/>
              </w:rPr>
            </w:pPr>
            <w:r>
              <w:rPr>
                <w:sz w:val="16"/>
                <w:szCs w:val="16"/>
              </w:rPr>
              <w:t>0.</w:t>
            </w:r>
            <w:r w:rsidR="00CC2713">
              <w:rPr>
                <w:sz w:val="16"/>
                <w:szCs w:val="16"/>
              </w:rPr>
              <w:t>79</w:t>
            </w:r>
          </w:p>
        </w:tc>
        <w:tc>
          <w:tcPr>
            <w:tcW w:w="941" w:type="dxa"/>
            <w:tcBorders>
              <w:top w:val="nil"/>
              <w:left w:val="nil"/>
              <w:bottom w:val="single" w:sz="4" w:space="0" w:color="auto"/>
              <w:right w:val="nil"/>
            </w:tcBorders>
          </w:tcPr>
          <w:p w14:paraId="037CDD21" w14:textId="1E28325E" w:rsidR="00287CD0" w:rsidRPr="009B0279" w:rsidRDefault="009B0279" w:rsidP="008C1F44">
            <w:pPr>
              <w:rPr>
                <w:sz w:val="16"/>
                <w:szCs w:val="16"/>
              </w:rPr>
            </w:pPr>
            <w:r>
              <w:rPr>
                <w:sz w:val="16"/>
                <w:szCs w:val="16"/>
              </w:rPr>
              <w:t>3187</w:t>
            </w:r>
          </w:p>
        </w:tc>
      </w:tr>
    </w:tbl>
    <w:p w14:paraId="279424D5" w14:textId="77777777" w:rsidR="00E76F97" w:rsidRDefault="00E76F97" w:rsidP="00E76F97">
      <w:pPr>
        <w:pStyle w:val="FootnoteText"/>
      </w:pPr>
    </w:p>
    <w:p w14:paraId="6C7E1665" w14:textId="77777777" w:rsidR="00E76F97" w:rsidRDefault="00E76F97" w:rsidP="00E76F97">
      <w:pPr>
        <w:pStyle w:val="FootnoteText"/>
      </w:pPr>
    </w:p>
    <w:p w14:paraId="0C086EAD" w14:textId="4664F4B5" w:rsidR="00043752" w:rsidRDefault="001F340B" w:rsidP="001F340B">
      <w:pPr>
        <w:pStyle w:val="FigCaption"/>
        <w:jc w:val="center"/>
      </w:pPr>
      <w:r>
        <w:rPr>
          <w:bCs w:val="0"/>
          <w:noProof/>
          <w:color w:val="00629B"/>
        </w:rPr>
        <w:drawing>
          <wp:inline distT="0" distB="0" distL="0" distR="0" wp14:anchorId="2A0C93DB" wp14:editId="7E2B735B">
            <wp:extent cx="3060700" cy="2744470"/>
            <wp:effectExtent l="0" t="0" r="0" b="0"/>
            <wp:docPr id="762233619" name="Picture 8" descr="A blue squares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33619" name="Picture 8" descr="A blue squares with white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700" cy="2744470"/>
                    </a:xfrm>
                    <a:prstGeom prst="rect">
                      <a:avLst/>
                    </a:prstGeom>
                  </pic:spPr>
                </pic:pic>
              </a:graphicData>
            </a:graphic>
          </wp:inline>
        </w:drawing>
      </w:r>
      <w:r w:rsidR="00043752" w:rsidRPr="00B06847">
        <w:rPr>
          <w:rStyle w:val="CaptionColor"/>
        </w:rPr>
        <w:t>FIGURE</w:t>
      </w:r>
      <w:r w:rsidR="00043752" w:rsidRPr="00B7110A">
        <w:rPr>
          <w:rStyle w:val="CaptionColor"/>
        </w:rPr>
        <w:t xml:space="preserve"> </w:t>
      </w:r>
      <w:r w:rsidR="005F74D8">
        <w:rPr>
          <w:rStyle w:val="CaptionColor"/>
        </w:rPr>
        <w:t>6</w:t>
      </w:r>
      <w:r w:rsidR="00043752" w:rsidRPr="00B7110A">
        <w:rPr>
          <w:rStyle w:val="CaptionColor"/>
        </w:rPr>
        <w:t>.</w:t>
      </w:r>
      <w:r w:rsidR="00043752">
        <w:rPr>
          <w:rFonts w:ascii="MS Gothic" w:eastAsia="MS Gothic" w:hAnsi="MS Gothic" w:cs="MS Gothic" w:hint="eastAsia"/>
        </w:rPr>
        <w:t> </w:t>
      </w:r>
      <w:r w:rsidR="00043752" w:rsidRPr="00486E60">
        <w:t xml:space="preserve"> </w:t>
      </w:r>
      <w:r w:rsidR="00AE70D7">
        <w:t>A confusion matrix of the training dataset</w:t>
      </w:r>
    </w:p>
    <w:p w14:paraId="37A532E0" w14:textId="77777777" w:rsidR="001F340B" w:rsidRDefault="001F340B" w:rsidP="001F340B">
      <w:pPr>
        <w:pStyle w:val="FigCaption"/>
        <w:jc w:val="center"/>
      </w:pPr>
    </w:p>
    <w:p w14:paraId="0BF33CB5" w14:textId="11AB9D55" w:rsidR="00AE70D7" w:rsidRDefault="001F340B" w:rsidP="001F340B">
      <w:pPr>
        <w:pStyle w:val="FigCaption"/>
        <w:jc w:val="center"/>
      </w:pPr>
      <w:r>
        <w:rPr>
          <w:bCs w:val="0"/>
          <w:noProof/>
          <w:color w:val="00629B"/>
        </w:rPr>
        <w:drawing>
          <wp:inline distT="0" distB="0" distL="0" distR="0" wp14:anchorId="7FBF6E1D" wp14:editId="1E1A9DFB">
            <wp:extent cx="3060700" cy="2744470"/>
            <wp:effectExtent l="0" t="0" r="0" b="0"/>
            <wp:docPr id="1283700985"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00985" name="Picture 7"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0700" cy="2744470"/>
                    </a:xfrm>
                    <a:prstGeom prst="rect">
                      <a:avLst/>
                    </a:prstGeom>
                  </pic:spPr>
                </pic:pic>
              </a:graphicData>
            </a:graphic>
          </wp:inline>
        </w:drawing>
      </w:r>
      <w:r w:rsidR="00AE70D7" w:rsidRPr="00B06847">
        <w:rPr>
          <w:rStyle w:val="CaptionColor"/>
        </w:rPr>
        <w:t>FIGURE</w:t>
      </w:r>
      <w:r w:rsidR="00AE70D7" w:rsidRPr="00B7110A">
        <w:rPr>
          <w:rStyle w:val="CaptionColor"/>
        </w:rPr>
        <w:t xml:space="preserve"> </w:t>
      </w:r>
      <w:r w:rsidR="005F74D8">
        <w:rPr>
          <w:rStyle w:val="CaptionColor"/>
        </w:rPr>
        <w:t>7</w:t>
      </w:r>
      <w:r w:rsidR="00AE70D7" w:rsidRPr="00B7110A">
        <w:rPr>
          <w:rStyle w:val="CaptionColor"/>
        </w:rPr>
        <w:t>.</w:t>
      </w:r>
      <w:r w:rsidR="00AE70D7">
        <w:rPr>
          <w:rFonts w:ascii="MS Gothic" w:eastAsia="MS Gothic" w:hAnsi="MS Gothic" w:cs="MS Gothic" w:hint="eastAsia"/>
        </w:rPr>
        <w:t> </w:t>
      </w:r>
      <w:r w:rsidR="00AE70D7" w:rsidRPr="00486E60">
        <w:t xml:space="preserve"> </w:t>
      </w:r>
      <w:r w:rsidR="00AE70D7">
        <w:t xml:space="preserve">A confusion matrix of the </w:t>
      </w:r>
      <w:r w:rsidR="00AE70D7">
        <w:t>testing</w:t>
      </w:r>
      <w:r w:rsidR="00AE70D7">
        <w:t xml:space="preserve"> dataset</w:t>
      </w:r>
    </w:p>
    <w:p w14:paraId="0D6CA36E" w14:textId="579D7DAC" w:rsidR="00AE70D7" w:rsidRDefault="009F67A5" w:rsidP="001F340B">
      <w:pPr>
        <w:pStyle w:val="FigCaption"/>
        <w:jc w:val="center"/>
      </w:pPr>
      <w:r>
        <w:rPr>
          <w:noProof/>
        </w:rPr>
        <w:drawing>
          <wp:inline distT="0" distB="0" distL="0" distR="0" wp14:anchorId="6D6C051C" wp14:editId="6D3C34E1">
            <wp:extent cx="3060700" cy="1577340"/>
            <wp:effectExtent l="0" t="0" r="0" b="0"/>
            <wp:docPr id="2059370148" name="Picture 6" descr="A graph with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70148" name="Picture 6" descr="A graph with blue and white ba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700" cy="1577340"/>
                    </a:xfrm>
                    <a:prstGeom prst="rect">
                      <a:avLst/>
                    </a:prstGeom>
                    <a:noFill/>
                    <a:ln>
                      <a:noFill/>
                    </a:ln>
                  </pic:spPr>
                </pic:pic>
              </a:graphicData>
            </a:graphic>
          </wp:inline>
        </w:drawing>
      </w:r>
      <w:r w:rsidR="00AE70D7" w:rsidRPr="00B06847">
        <w:rPr>
          <w:rStyle w:val="CaptionColor"/>
        </w:rPr>
        <w:t>FIGURE</w:t>
      </w:r>
      <w:r w:rsidR="00AE70D7" w:rsidRPr="00B7110A">
        <w:rPr>
          <w:rStyle w:val="CaptionColor"/>
        </w:rPr>
        <w:t xml:space="preserve"> </w:t>
      </w:r>
      <w:r w:rsidR="005F74D8">
        <w:rPr>
          <w:rStyle w:val="CaptionColor"/>
        </w:rPr>
        <w:t>8</w:t>
      </w:r>
      <w:r w:rsidR="00AE70D7" w:rsidRPr="00B7110A">
        <w:rPr>
          <w:rStyle w:val="CaptionColor"/>
        </w:rPr>
        <w:t>.</w:t>
      </w:r>
      <w:r w:rsidR="00AE70D7">
        <w:rPr>
          <w:rFonts w:ascii="MS Gothic" w:eastAsia="MS Gothic" w:hAnsi="MS Gothic" w:cs="MS Gothic" w:hint="eastAsia"/>
        </w:rPr>
        <w:t> </w:t>
      </w:r>
      <w:r w:rsidR="00AE70D7" w:rsidRPr="00486E60">
        <w:t xml:space="preserve"> </w:t>
      </w:r>
      <w:r w:rsidR="00AE70D7">
        <w:t xml:space="preserve">A </w:t>
      </w:r>
      <w:r w:rsidR="00AE70D7">
        <w:t>bar chart of feature importance (decreasing order)</w:t>
      </w:r>
    </w:p>
    <w:p w14:paraId="202E23A8" w14:textId="77777777" w:rsidR="00AE70D7" w:rsidRPr="00486E60" w:rsidRDefault="00AE70D7" w:rsidP="00043752">
      <w:pPr>
        <w:pStyle w:val="FigCaption"/>
      </w:pPr>
    </w:p>
    <w:p w14:paraId="69503164" w14:textId="77777777" w:rsidR="00043752" w:rsidRDefault="00043752" w:rsidP="00043752">
      <w:pPr>
        <w:pStyle w:val="PARA"/>
      </w:pPr>
    </w:p>
    <w:p w14:paraId="30265E6D" w14:textId="2008DD88" w:rsidR="0091745E" w:rsidRPr="0091745E" w:rsidRDefault="0091745E" w:rsidP="0091745E">
      <w:pPr>
        <w:pStyle w:val="H1"/>
      </w:pPr>
      <w:r>
        <w:t>V</w:t>
      </w:r>
      <w:r w:rsidR="00AE70D7">
        <w:t>I</w:t>
      </w:r>
      <w:r w:rsidRPr="005C3955">
        <w:t>.</w:t>
      </w:r>
      <w:r>
        <w:rPr>
          <w:rFonts w:ascii="MS Gothic" w:eastAsia="MS Gothic" w:hAnsi="MS Gothic" w:cs="MS Gothic"/>
        </w:rPr>
        <w:t> </w:t>
      </w:r>
      <w:r w:rsidR="00043752">
        <w:t>CONCLUSION</w:t>
      </w:r>
    </w:p>
    <w:p w14:paraId="1B01DD7F" w14:textId="2157326B" w:rsidR="00542025" w:rsidRDefault="0091745E" w:rsidP="00043752">
      <w:pPr>
        <w:pStyle w:val="PARA"/>
      </w:pPr>
      <w:r>
        <w:t xml:space="preserve">The </w:t>
      </w:r>
    </w:p>
    <w:p w14:paraId="0A44687A" w14:textId="77777777" w:rsidR="001C597C" w:rsidRPr="001C597C" w:rsidRDefault="001C597C" w:rsidP="000D7408">
      <w:pPr>
        <w:pStyle w:val="H1"/>
        <w:spacing w:before="230"/>
      </w:pPr>
      <w:r w:rsidRPr="001C597C">
        <w:t>APPENDIX</w:t>
      </w:r>
    </w:p>
    <w:p w14:paraId="7D68C73D" w14:textId="77777777" w:rsidR="001C597C" w:rsidRPr="001C597C" w:rsidRDefault="001C597C" w:rsidP="001C597C">
      <w:pPr>
        <w:pStyle w:val="PARA"/>
      </w:pPr>
      <w:r w:rsidRPr="001C597C">
        <w:t>Appendixes, if needed, appear before the acknowledgment.</w:t>
      </w:r>
    </w:p>
    <w:p w14:paraId="37B074D5" w14:textId="77777777" w:rsidR="001C597C" w:rsidRPr="001C597C" w:rsidRDefault="001C597C" w:rsidP="000D7408">
      <w:pPr>
        <w:pStyle w:val="H1"/>
        <w:spacing w:before="230"/>
      </w:pPr>
      <w:r w:rsidRPr="001C597C">
        <w:t>ACKNOWLEDGMENT</w:t>
      </w:r>
    </w:p>
    <w:p w14:paraId="077EEB05" w14:textId="77777777" w:rsidR="001C597C" w:rsidRPr="005E0E28" w:rsidRDefault="001C597C" w:rsidP="001C597C">
      <w:pPr>
        <w:pStyle w:val="PARA"/>
        <w:rPr>
          <w:spacing w:val="0"/>
        </w:rPr>
      </w:pPr>
      <w:r w:rsidRPr="005E0E28">
        <w:rPr>
          <w:spacing w:val="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134ED3F8" w14:textId="75204C34" w:rsidR="0001799E" w:rsidRPr="0001799E" w:rsidRDefault="0001799E" w:rsidP="00AE70D7">
      <w:pPr>
        <w:pStyle w:val="H1"/>
        <w:spacing w:before="340"/>
      </w:pPr>
      <w:r w:rsidRPr="007852B0">
        <w:t>REFERENCES</w:t>
      </w:r>
    </w:p>
    <w:p w14:paraId="77363A26"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reports:</w:t>
      </w:r>
    </w:p>
    <w:p w14:paraId="7661ACC7"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1C2E3A91"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34899249"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1CBDCA8C" w14:textId="77777777" w:rsidR="0001799E" w:rsidRPr="0001799E" w:rsidRDefault="0001799E" w:rsidP="0001799E">
      <w:pPr>
        <w:pStyle w:val="References"/>
      </w:pPr>
      <w:r w:rsidRPr="0001799E">
        <w:lastRenderedPageBreak/>
        <w:t>J. H. Davis and J. R. Cogdell, “Calibration program for the 16-foot antenna,” Elect. Eng. Res. Lab., Univ. Texas, Austin, TX, USA, Tech. Memo. NGL-006-69-3, Nov. 15, 1987.</w:t>
      </w:r>
    </w:p>
    <w:p w14:paraId="38101009"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1B53C4A9" w14:textId="77777777" w:rsidR="0001799E" w:rsidRPr="000D7408" w:rsidRDefault="0001799E" w:rsidP="0001799E">
      <w:pPr>
        <w:widowControl w:val="0"/>
        <w:autoSpaceDE w:val="0"/>
        <w:autoSpaceDN w:val="0"/>
        <w:adjustRightInd w:val="0"/>
        <w:spacing w:line="227" w:lineRule="exact"/>
        <w:ind w:right="-68"/>
        <w:rPr>
          <w:i/>
          <w:iCs/>
          <w:spacing w:val="35"/>
          <w:sz w:val="20"/>
          <w:szCs w:val="20"/>
        </w:rPr>
      </w:pPr>
      <w:r w:rsidRPr="000D7408">
        <w:rPr>
          <w:i/>
          <w:iCs/>
          <w:sz w:val="20"/>
          <w:szCs w:val="20"/>
        </w:rPr>
        <w:t>Basic format for books (when available online):</w:t>
      </w:r>
      <w:r w:rsidRPr="000D7408">
        <w:rPr>
          <w:i/>
          <w:iCs/>
          <w:spacing w:val="35"/>
          <w:sz w:val="20"/>
          <w:szCs w:val="20"/>
        </w:rPr>
        <w:t xml:space="preserve"> </w:t>
      </w:r>
    </w:p>
    <w:p w14:paraId="77AC5385"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ch.</w:t>
      </w:r>
      <w:r w:rsidRPr="0001799E">
        <w:rPr>
          <w:i/>
          <w:sz w:val="16"/>
          <w:szCs w:val="16"/>
        </w:rPr>
        <w:t>x</w:t>
      </w:r>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w:t>
      </w:r>
      <w:r w:rsidRPr="002E33DB">
        <w:rPr>
          <w:color w:val="000080"/>
          <w:sz w:val="16"/>
          <w:szCs w:val="16"/>
          <w:u w:val="single"/>
        </w:rPr>
        <w:t>http://www.web.com</w:t>
      </w:r>
      <w:r w:rsidRPr="0001799E">
        <w:rPr>
          <w:sz w:val="16"/>
          <w:szCs w:val="16"/>
        </w:rPr>
        <w:t xml:space="preserve"> </w:t>
      </w:r>
    </w:p>
    <w:p w14:paraId="290D0423" w14:textId="77777777" w:rsidR="0001799E" w:rsidRPr="000D7408" w:rsidRDefault="0001799E" w:rsidP="0001799E">
      <w:pPr>
        <w:widowControl w:val="0"/>
        <w:autoSpaceDE w:val="0"/>
        <w:autoSpaceDN w:val="0"/>
        <w:adjustRightInd w:val="0"/>
        <w:spacing w:before="37"/>
        <w:ind w:right="-20"/>
        <w:rPr>
          <w:sz w:val="20"/>
          <w:szCs w:val="20"/>
        </w:rPr>
      </w:pPr>
      <w:r w:rsidRPr="000D7408">
        <w:rPr>
          <w:i/>
          <w:iCs/>
          <w:sz w:val="20"/>
          <w:szCs w:val="20"/>
        </w:rPr>
        <w:t>Examples:</w:t>
      </w:r>
    </w:p>
    <w:p w14:paraId="73647F10" w14:textId="77777777" w:rsidR="0001799E" w:rsidRPr="0001799E" w:rsidRDefault="0001799E" w:rsidP="0001799E">
      <w:pPr>
        <w:pStyle w:val="References"/>
      </w:pPr>
      <w:r w:rsidRPr="0001799E">
        <w:t xml:space="preserve">G. O. Young, “Synthetic structure of industrial plastics,” in Plastics, vol. 3, Polymers of Hexadromicon, J. Peters, Ed., 2nd ed. New York, NY, USA: McGraw-Hill, 1964, pp. 15-64. [Online]. Available: </w:t>
      </w:r>
      <w:r w:rsidRPr="00EA6AD9">
        <w:rPr>
          <w:color w:val="000080"/>
          <w:u w:val="single"/>
        </w:rPr>
        <w:t>http://www.bookref.com</w:t>
      </w:r>
      <w:r w:rsidRPr="0001799E">
        <w:t xml:space="preserve">. </w:t>
      </w:r>
    </w:p>
    <w:p w14:paraId="716B8C89" w14:textId="77777777" w:rsidR="0001799E" w:rsidRPr="0001799E" w:rsidRDefault="0001799E" w:rsidP="0001799E">
      <w:pPr>
        <w:pStyle w:val="References"/>
      </w:pPr>
      <w:r w:rsidRPr="0001799E">
        <w:rPr>
          <w:i/>
          <w:iCs/>
        </w:rPr>
        <w:t>The Founders’ Constitution</w:t>
      </w:r>
      <w:r w:rsidRPr="0001799E">
        <w:t xml:space="preserve">, Philip B. Kurland and Ralph Lerner, eds., Chicago, IL, USA: Univ. Chicago Press, 1987. [Online]. Available: </w:t>
      </w:r>
      <w:r w:rsidRPr="00EA6AD9">
        <w:rPr>
          <w:color w:val="000080"/>
          <w:u w:val="single"/>
        </w:rPr>
        <w:t>http://press-pubs.uchicago.edu/founders/</w:t>
      </w:r>
    </w:p>
    <w:p w14:paraId="45FB4A32" w14:textId="77777777" w:rsidR="0001799E" w:rsidRPr="0001799E" w:rsidRDefault="0001799E" w:rsidP="0001799E">
      <w:pPr>
        <w:pStyle w:val="References"/>
      </w:pPr>
      <w:r w:rsidRPr="0001799E">
        <w:t xml:space="preserve">The Terahertz Wave eBook. ZOmega Terahertz Corp., 2014. [Online]. Available: </w:t>
      </w:r>
      <w:r w:rsidRPr="00EA6AD9">
        <w:rPr>
          <w:color w:val="000080"/>
          <w:u w:val="single"/>
        </w:rPr>
        <w:t>http://dl.z-thz.com/eBook/zomega_</w:t>
      </w:r>
      <w:r w:rsidR="001A4C25">
        <w:rPr>
          <w:color w:val="000080"/>
          <w:u w:val="single"/>
        </w:rPr>
        <w:br/>
      </w:r>
      <w:r w:rsidRPr="00EA6AD9">
        <w:rPr>
          <w:color w:val="000080"/>
          <w:u w:val="single"/>
        </w:rPr>
        <w:t>ebook_pdf_1206_sr.pdf</w:t>
      </w:r>
      <w:r w:rsidRPr="0001799E">
        <w:t xml:space="preserve">. Accessed on: May 19, 2014. </w:t>
      </w:r>
    </w:p>
    <w:p w14:paraId="545A45B1"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w:t>
      </w:r>
      <w:r w:rsidR="00EC5C8C" w:rsidRPr="00EA6AD9">
        <w:rPr>
          <w:color w:val="000080"/>
          <w:u w:val="single"/>
        </w:rPr>
        <w:t>http://press-p</w:t>
      </w:r>
      <w:r w:rsidRPr="00EA6AD9">
        <w:rPr>
          <w:color w:val="000080"/>
          <w:u w:val="single"/>
        </w:rPr>
        <w:t>ubs.uchicago.edu/founders/</w:t>
      </w:r>
      <w:r w:rsidRPr="0001799E">
        <w:t xml:space="preserve"> </w:t>
      </w:r>
    </w:p>
    <w:p w14:paraId="263075DD" w14:textId="77777777" w:rsidR="0001799E" w:rsidRPr="0001799E" w:rsidRDefault="0001799E" w:rsidP="00DE250E">
      <w:pPr>
        <w:widowControl w:val="0"/>
        <w:autoSpaceDE w:val="0"/>
        <w:autoSpaceDN w:val="0"/>
        <w:adjustRightInd w:val="0"/>
        <w:spacing w:before="50" w:line="140" w:lineRule="exact"/>
        <w:rPr>
          <w:sz w:val="14"/>
          <w:szCs w:val="14"/>
        </w:rPr>
      </w:pPr>
    </w:p>
    <w:p w14:paraId="2C265B9B" w14:textId="77777777" w:rsidR="00EC5C8C" w:rsidRPr="000D7408" w:rsidRDefault="0001799E" w:rsidP="00EC5C8C">
      <w:pPr>
        <w:widowControl w:val="0"/>
        <w:autoSpaceDE w:val="0"/>
        <w:autoSpaceDN w:val="0"/>
        <w:adjustRightInd w:val="0"/>
        <w:spacing w:line="239" w:lineRule="auto"/>
        <w:ind w:right="358"/>
        <w:rPr>
          <w:i/>
          <w:iCs/>
          <w:sz w:val="20"/>
          <w:szCs w:val="20"/>
        </w:rPr>
      </w:pPr>
      <w:r w:rsidRPr="000D7408">
        <w:rPr>
          <w:i/>
          <w:iCs/>
          <w:sz w:val="20"/>
          <w:szCs w:val="20"/>
        </w:rPr>
        <w:t>Basic format for j</w:t>
      </w:r>
      <w:r w:rsidRPr="000D7408">
        <w:rPr>
          <w:i/>
          <w:iCs/>
          <w:spacing w:val="1"/>
          <w:sz w:val="20"/>
          <w:szCs w:val="20"/>
        </w:rPr>
        <w:t>o</w:t>
      </w:r>
      <w:r w:rsidRPr="000D7408">
        <w:rPr>
          <w:i/>
          <w:iCs/>
          <w:sz w:val="20"/>
          <w:szCs w:val="20"/>
        </w:rPr>
        <w:t>urn</w:t>
      </w:r>
      <w:r w:rsidRPr="000D7408">
        <w:rPr>
          <w:i/>
          <w:iCs/>
          <w:spacing w:val="1"/>
          <w:sz w:val="20"/>
          <w:szCs w:val="20"/>
        </w:rPr>
        <w:t>a</w:t>
      </w:r>
      <w:r w:rsidRPr="000D7408">
        <w:rPr>
          <w:i/>
          <w:iCs/>
          <w:sz w:val="20"/>
          <w:szCs w:val="20"/>
        </w:rPr>
        <w:t>ls (when available online):</w:t>
      </w:r>
      <w:r w:rsidR="00EC5C8C" w:rsidRPr="000D7408">
        <w:rPr>
          <w:i/>
          <w:iCs/>
          <w:sz w:val="20"/>
          <w:szCs w:val="20"/>
        </w:rPr>
        <w:t xml:space="preserve"> </w:t>
      </w:r>
    </w:p>
    <w:p w14:paraId="56950540"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sidR="00DF4CAB">
        <w:rPr>
          <w:sz w:val="16"/>
          <w:szCs w:val="16"/>
        </w:rPr>
        <w:t>doi</w:t>
      </w:r>
      <w:r w:rsidRPr="0001799E">
        <w:rPr>
          <w:sz w:val="16"/>
          <w:szCs w:val="16"/>
        </w:rPr>
        <w:t xml:space="preserve">: </w:t>
      </w:r>
      <w:r w:rsidRPr="002E33DB">
        <w:rPr>
          <w:color w:val="000080"/>
          <w:sz w:val="16"/>
          <w:szCs w:val="16"/>
          <w:u w:val="single"/>
        </w:rPr>
        <w:t>10.1109.</w:t>
      </w:r>
      <w:r w:rsidRPr="002E33DB">
        <w:rPr>
          <w:i/>
          <w:color w:val="000080"/>
          <w:sz w:val="16"/>
          <w:szCs w:val="16"/>
          <w:u w:val="single"/>
        </w:rPr>
        <w:t>XXX</w:t>
      </w:r>
      <w:r w:rsidRPr="002E33DB">
        <w:rPr>
          <w:color w:val="000080"/>
          <w:sz w:val="16"/>
          <w:szCs w:val="16"/>
          <w:u w:val="single"/>
        </w:rPr>
        <w:t>.123456</w:t>
      </w:r>
      <w:r w:rsidRPr="0001799E">
        <w:rPr>
          <w:sz w:val="16"/>
          <w:szCs w:val="16"/>
        </w:rPr>
        <w:t xml:space="preserve">, [Online]. </w:t>
      </w:r>
    </w:p>
    <w:p w14:paraId="2DF74E14" w14:textId="77777777" w:rsidR="0001799E" w:rsidRPr="000D7408" w:rsidRDefault="0001799E" w:rsidP="0001799E">
      <w:pPr>
        <w:widowControl w:val="0"/>
        <w:autoSpaceDE w:val="0"/>
        <w:autoSpaceDN w:val="0"/>
        <w:adjustRightInd w:val="0"/>
        <w:spacing w:line="239" w:lineRule="auto"/>
        <w:ind w:right="358"/>
        <w:rPr>
          <w:i/>
          <w:iCs/>
          <w:sz w:val="20"/>
          <w:szCs w:val="20"/>
        </w:rPr>
      </w:pPr>
      <w:r w:rsidRPr="000D7408">
        <w:rPr>
          <w:i/>
          <w:iCs/>
          <w:sz w:val="20"/>
          <w:szCs w:val="20"/>
        </w:rPr>
        <w:t>Examples:</w:t>
      </w:r>
    </w:p>
    <w:p w14:paraId="037B2957" w14:textId="77777777" w:rsidR="0001799E" w:rsidRPr="0001799E" w:rsidRDefault="0001799E" w:rsidP="0001799E">
      <w:pPr>
        <w:pStyle w:val="References"/>
      </w:pPr>
      <w:r w:rsidRPr="0001799E">
        <w:t xml:space="preserve">J. S. Turner, “New directions in communications,” </w:t>
      </w:r>
      <w:r w:rsidRPr="0001799E">
        <w:rPr>
          <w:i/>
          <w:iCs/>
        </w:rPr>
        <w:t>IEEE J. Sel. Areas Commun</w:t>
      </w:r>
      <w:r w:rsidRPr="0001799E">
        <w:t xml:space="preserve">., vol. 13, no. 1, pp. 11-23, Jan. 1995. </w:t>
      </w:r>
      <w:r w:rsidR="002E33DB" w:rsidRPr="00EA6AD9">
        <w:t>DOI</w:t>
      </w:r>
      <w:r w:rsidR="002E33DB">
        <w:t>.</w:t>
      </w:r>
      <w:r w:rsidR="002E33DB" w:rsidRPr="00EA6AD9">
        <w:t xml:space="preserve"> </w:t>
      </w:r>
      <w:r w:rsidR="002E33DB" w:rsidRPr="002E33DB">
        <w:rPr>
          <w:color w:val="000080"/>
          <w:u w:val="single"/>
        </w:rPr>
        <w:t>10.1109.</w:t>
      </w:r>
      <w:r w:rsidR="002E33DB" w:rsidRPr="002E33DB">
        <w:rPr>
          <w:i/>
          <w:color w:val="000080"/>
          <w:u w:val="single"/>
        </w:rPr>
        <w:t>XXX</w:t>
      </w:r>
      <w:r w:rsidR="002E33DB" w:rsidRPr="002E33DB">
        <w:rPr>
          <w:color w:val="000080"/>
          <w:u w:val="single"/>
        </w:rPr>
        <w:t>.123456</w:t>
      </w:r>
      <w:r w:rsidR="002E33DB" w:rsidRPr="00EA6AD9">
        <w:t>.</w:t>
      </w:r>
    </w:p>
    <w:p w14:paraId="26ED9A71"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r w:rsidR="00143570">
        <w:t>, doi:</w:t>
      </w:r>
      <w:r w:rsidR="002E33DB" w:rsidRPr="00EA6AD9">
        <w:t xml:space="preserve"> </w:t>
      </w:r>
      <w:r w:rsidR="002E33DB" w:rsidRPr="002E33DB">
        <w:rPr>
          <w:color w:val="000080"/>
          <w:u w:val="single"/>
        </w:rPr>
        <w:t>10.1109.</w:t>
      </w:r>
      <w:r w:rsidR="002E33DB" w:rsidRPr="002E33DB">
        <w:rPr>
          <w:i/>
          <w:color w:val="000080"/>
          <w:u w:val="single"/>
        </w:rPr>
        <w:t>XXX</w:t>
      </w:r>
      <w:r w:rsidR="002E33DB" w:rsidRPr="002E33DB">
        <w:rPr>
          <w:color w:val="000080"/>
          <w:u w:val="single"/>
        </w:rPr>
        <w:t>.123456</w:t>
      </w:r>
      <w:r w:rsidR="002E33DB" w:rsidRPr="00EA6AD9">
        <w:t>.</w:t>
      </w:r>
    </w:p>
    <w:p w14:paraId="57D585C6" w14:textId="4823B0B5" w:rsidR="0001799E" w:rsidRPr="0001799E" w:rsidRDefault="0001799E" w:rsidP="00043752">
      <w:pPr>
        <w:pStyle w:val="References"/>
      </w:pPr>
      <w:r w:rsidRPr="0001799E">
        <w:t xml:space="preserve">P. Kopyt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w:t>
      </w:r>
      <w:r w:rsidR="00143570">
        <w:t xml:space="preserve">, </w:t>
      </w:r>
      <w:proofErr w:type="spellStart"/>
      <w:r w:rsidR="00143570">
        <w:t>doi</w:t>
      </w:r>
      <w:proofErr w:type="spellEnd"/>
      <w:r w:rsidR="00143570">
        <w:t xml:space="preserve">: </w:t>
      </w:r>
      <w:r w:rsidRPr="002E33DB">
        <w:rPr>
          <w:color w:val="000080"/>
          <w:u w:val="single"/>
        </w:rPr>
        <w:t>10.1109/TTHZ.2016.2544142</w:t>
      </w:r>
      <w:r w:rsidRPr="0001799E">
        <w:t>.</w:t>
      </w:r>
    </w:p>
    <w:p w14:paraId="3579D1D3" w14:textId="77777777" w:rsidR="0001799E" w:rsidRPr="0001799E" w:rsidRDefault="0001799E" w:rsidP="0001799E">
      <w:pPr>
        <w:pStyle w:val="References"/>
        <w:numPr>
          <w:ilvl w:val="0"/>
          <w:numId w:val="0"/>
        </w:numPr>
      </w:pPr>
    </w:p>
    <w:p w14:paraId="1D735DC7" w14:textId="77777777" w:rsidR="0001799E" w:rsidRPr="000D7408" w:rsidRDefault="0001799E" w:rsidP="00C53B54">
      <w:pPr>
        <w:autoSpaceDE w:val="0"/>
        <w:autoSpaceDN w:val="0"/>
        <w:adjustRightInd w:val="0"/>
        <w:spacing w:before="10"/>
        <w:rPr>
          <w:rFonts w:cs="TimesNewRomanPS-ItalicMT"/>
          <w:i/>
          <w:iCs/>
          <w:sz w:val="20"/>
          <w:szCs w:val="20"/>
        </w:rPr>
      </w:pPr>
      <w:r w:rsidRPr="000D7408">
        <w:rPr>
          <w:rFonts w:cs="TimesNewRomanPS-ItalicMT"/>
          <w:i/>
          <w:iCs/>
          <w:sz w:val="20"/>
          <w:szCs w:val="20"/>
        </w:rPr>
        <w:t>Basic format for the most common types of unpublished references:</w:t>
      </w:r>
    </w:p>
    <w:p w14:paraId="6DE151C3" w14:textId="77777777" w:rsidR="0001799E" w:rsidRPr="0001799E" w:rsidRDefault="0001799E" w:rsidP="0001799E">
      <w:pPr>
        <w:rPr>
          <w:sz w:val="16"/>
          <w:szCs w:val="16"/>
        </w:rPr>
      </w:pPr>
      <w:r w:rsidRPr="0001799E">
        <w:rPr>
          <w:sz w:val="16"/>
          <w:szCs w:val="16"/>
        </w:rPr>
        <w:t>a) J. K. Author, private communication, Abbrev. Month, year.</w:t>
      </w:r>
    </w:p>
    <w:p w14:paraId="780AA810" w14:textId="77777777" w:rsidR="0001799E" w:rsidRPr="0001799E" w:rsidRDefault="0001799E" w:rsidP="0001799E">
      <w:pPr>
        <w:rPr>
          <w:sz w:val="16"/>
          <w:szCs w:val="16"/>
        </w:rPr>
      </w:pPr>
      <w:r w:rsidRPr="0001799E">
        <w:rPr>
          <w:sz w:val="16"/>
          <w:szCs w:val="16"/>
        </w:rPr>
        <w:t>b) J. K. Author, “Title of paper,” unpublished.</w:t>
      </w:r>
    </w:p>
    <w:p w14:paraId="4BDE6253" w14:textId="77777777" w:rsidR="0001799E" w:rsidRPr="0001799E" w:rsidRDefault="0001799E" w:rsidP="0001799E">
      <w:pPr>
        <w:rPr>
          <w:sz w:val="16"/>
          <w:szCs w:val="16"/>
        </w:rPr>
      </w:pPr>
      <w:r w:rsidRPr="0001799E">
        <w:rPr>
          <w:sz w:val="16"/>
          <w:szCs w:val="16"/>
        </w:rPr>
        <w:t>c) J. K. Author, “Title of paper,” to be published.</w:t>
      </w:r>
    </w:p>
    <w:p w14:paraId="2D6EF56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14C83AF2" w14:textId="77777777" w:rsidR="0001799E" w:rsidRPr="0001799E" w:rsidRDefault="0001799E" w:rsidP="0001799E">
      <w:pPr>
        <w:pStyle w:val="References"/>
      </w:pPr>
      <w:r w:rsidRPr="0001799E">
        <w:t>A. Harrison, private communication, May 1995.</w:t>
      </w:r>
    </w:p>
    <w:p w14:paraId="608A0BF0" w14:textId="0024A8AF" w:rsidR="0001799E" w:rsidRPr="0001799E" w:rsidRDefault="0001799E" w:rsidP="0001799E">
      <w:pPr>
        <w:pStyle w:val="References"/>
      </w:pPr>
      <w:r w:rsidRPr="0001799E">
        <w:t>B. Smith, “An approach to graphs of linear forms,” unpublished.</w:t>
      </w:r>
    </w:p>
    <w:p w14:paraId="1D9784B0" w14:textId="237BFFBD" w:rsidR="00DF4CAB" w:rsidRPr="00677568" w:rsidRDefault="00DF4CAB" w:rsidP="00DF4CAB">
      <w:pPr>
        <w:adjustRightInd w:val="0"/>
        <w:jc w:val="both"/>
        <w:rPr>
          <w:rFonts w:ascii="Times-Roman" w:hAnsi="Times-Roman" w:cs="Times-Roman"/>
          <w:sz w:val="16"/>
          <w:szCs w:val="16"/>
        </w:rPr>
      </w:pPr>
    </w:p>
    <w:sectPr w:rsidR="00DF4CAB" w:rsidRPr="00677568" w:rsidSect="00422716">
      <w:footerReference w:type="default" r:id="rId17"/>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BC9F" w14:textId="77777777" w:rsidR="00D271F8" w:rsidRDefault="00D271F8">
      <w:r>
        <w:separator/>
      </w:r>
    </w:p>
  </w:endnote>
  <w:endnote w:type="continuationSeparator" w:id="0">
    <w:p w14:paraId="1861E04F" w14:textId="77777777" w:rsidR="00D271F8" w:rsidRDefault="00D2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LTStd-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100" w14:textId="77777777" w:rsidR="00E41E3E" w:rsidRPr="00B979BB" w:rsidRDefault="00E41E3E"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1258" w14:textId="77777777" w:rsidR="00E41E3E" w:rsidRPr="00B979BB" w:rsidRDefault="00E41E3E"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02009" w14:textId="77777777" w:rsidR="00D271F8" w:rsidRDefault="00D271F8">
      <w:r>
        <w:separator/>
      </w:r>
    </w:p>
  </w:footnote>
  <w:footnote w:type="continuationSeparator" w:id="0">
    <w:p w14:paraId="1E12FB8C" w14:textId="77777777" w:rsidR="00D271F8" w:rsidRDefault="00D27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9E3BF9"/>
    <w:multiLevelType w:val="hybridMultilevel"/>
    <w:tmpl w:val="469E87DC"/>
    <w:lvl w:ilvl="0" w:tplc="72A00126">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73C7E44"/>
    <w:multiLevelType w:val="hybridMultilevel"/>
    <w:tmpl w:val="7200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195796">
    <w:abstractNumId w:val="9"/>
  </w:num>
  <w:num w:numId="2" w16cid:durableId="174804728">
    <w:abstractNumId w:val="7"/>
  </w:num>
  <w:num w:numId="3" w16cid:durableId="1383409597">
    <w:abstractNumId w:val="6"/>
  </w:num>
  <w:num w:numId="4" w16cid:durableId="891308890">
    <w:abstractNumId w:val="5"/>
  </w:num>
  <w:num w:numId="5" w16cid:durableId="1255168222">
    <w:abstractNumId w:val="4"/>
  </w:num>
  <w:num w:numId="6" w16cid:durableId="1736777629">
    <w:abstractNumId w:val="8"/>
  </w:num>
  <w:num w:numId="7" w16cid:durableId="288125126">
    <w:abstractNumId w:val="3"/>
  </w:num>
  <w:num w:numId="8" w16cid:durableId="1701927833">
    <w:abstractNumId w:val="2"/>
  </w:num>
  <w:num w:numId="9" w16cid:durableId="1641768531">
    <w:abstractNumId w:val="1"/>
  </w:num>
  <w:num w:numId="10" w16cid:durableId="600525448">
    <w:abstractNumId w:val="0"/>
  </w:num>
  <w:num w:numId="11" w16cid:durableId="1150102001">
    <w:abstractNumId w:val="10"/>
  </w:num>
  <w:num w:numId="12" w16cid:durableId="1050377723">
    <w:abstractNumId w:val="15"/>
    <w:lvlOverride w:ilvl="0">
      <w:lvl w:ilvl="0">
        <w:start w:val="1"/>
        <w:numFmt w:val="decimal"/>
        <w:lvlText w:val="%1."/>
        <w:legacy w:legacy="1" w:legacySpace="0" w:legacyIndent="360"/>
        <w:lvlJc w:val="left"/>
        <w:pPr>
          <w:ind w:left="360" w:hanging="360"/>
        </w:pPr>
      </w:lvl>
    </w:lvlOverride>
  </w:num>
  <w:num w:numId="13" w16cid:durableId="254246678">
    <w:abstractNumId w:val="12"/>
  </w:num>
  <w:num w:numId="14" w16cid:durableId="451827656">
    <w:abstractNumId w:val="14"/>
  </w:num>
  <w:num w:numId="15" w16cid:durableId="446000551">
    <w:abstractNumId w:val="11"/>
  </w:num>
  <w:num w:numId="16" w16cid:durableId="664162027">
    <w:abstractNumId w:val="16"/>
  </w:num>
  <w:num w:numId="17" w16cid:durableId="254486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A52"/>
    <w:rsid w:val="00015E73"/>
    <w:rsid w:val="00015E9A"/>
    <w:rsid w:val="0001799E"/>
    <w:rsid w:val="00017C56"/>
    <w:rsid w:val="00021C67"/>
    <w:rsid w:val="00023D75"/>
    <w:rsid w:val="00024A01"/>
    <w:rsid w:val="00027AA1"/>
    <w:rsid w:val="0003186C"/>
    <w:rsid w:val="0003253A"/>
    <w:rsid w:val="00033D56"/>
    <w:rsid w:val="00034A7F"/>
    <w:rsid w:val="00035315"/>
    <w:rsid w:val="00036C39"/>
    <w:rsid w:val="00040536"/>
    <w:rsid w:val="00041819"/>
    <w:rsid w:val="00043752"/>
    <w:rsid w:val="00043A88"/>
    <w:rsid w:val="00045E22"/>
    <w:rsid w:val="000518DD"/>
    <w:rsid w:val="00052666"/>
    <w:rsid w:val="00052968"/>
    <w:rsid w:val="00057E9A"/>
    <w:rsid w:val="00060D60"/>
    <w:rsid w:val="00061511"/>
    <w:rsid w:val="00061B24"/>
    <w:rsid w:val="0006304A"/>
    <w:rsid w:val="00065CD5"/>
    <w:rsid w:val="000714C3"/>
    <w:rsid w:val="00083EC4"/>
    <w:rsid w:val="00084BD2"/>
    <w:rsid w:val="00090E84"/>
    <w:rsid w:val="00091F92"/>
    <w:rsid w:val="00092C74"/>
    <w:rsid w:val="00094BAA"/>
    <w:rsid w:val="00097026"/>
    <w:rsid w:val="000A1FA2"/>
    <w:rsid w:val="000A3B16"/>
    <w:rsid w:val="000A40E6"/>
    <w:rsid w:val="000B2C18"/>
    <w:rsid w:val="000B330B"/>
    <w:rsid w:val="000B4854"/>
    <w:rsid w:val="000B7135"/>
    <w:rsid w:val="000C01F4"/>
    <w:rsid w:val="000C0E3B"/>
    <w:rsid w:val="000C221B"/>
    <w:rsid w:val="000D3A5A"/>
    <w:rsid w:val="000D4A20"/>
    <w:rsid w:val="000D7408"/>
    <w:rsid w:val="000E4447"/>
    <w:rsid w:val="000F08EC"/>
    <w:rsid w:val="000F25D7"/>
    <w:rsid w:val="000F4EEC"/>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51"/>
    <w:rsid w:val="0013342E"/>
    <w:rsid w:val="00134A06"/>
    <w:rsid w:val="0014000F"/>
    <w:rsid w:val="00141D98"/>
    <w:rsid w:val="00143570"/>
    <w:rsid w:val="00144CAE"/>
    <w:rsid w:val="0016308D"/>
    <w:rsid w:val="00164873"/>
    <w:rsid w:val="001661D9"/>
    <w:rsid w:val="00166BEA"/>
    <w:rsid w:val="00166E62"/>
    <w:rsid w:val="00167C65"/>
    <w:rsid w:val="00170818"/>
    <w:rsid w:val="0017288F"/>
    <w:rsid w:val="00174020"/>
    <w:rsid w:val="00176753"/>
    <w:rsid w:val="001777E5"/>
    <w:rsid w:val="00182839"/>
    <w:rsid w:val="0019262C"/>
    <w:rsid w:val="001955E9"/>
    <w:rsid w:val="001A4C25"/>
    <w:rsid w:val="001A7827"/>
    <w:rsid w:val="001B1B9C"/>
    <w:rsid w:val="001B2F14"/>
    <w:rsid w:val="001B32B9"/>
    <w:rsid w:val="001B4688"/>
    <w:rsid w:val="001C2E5E"/>
    <w:rsid w:val="001C597C"/>
    <w:rsid w:val="001C7822"/>
    <w:rsid w:val="001D0247"/>
    <w:rsid w:val="001D3924"/>
    <w:rsid w:val="001D3AED"/>
    <w:rsid w:val="001D4C0D"/>
    <w:rsid w:val="001D5163"/>
    <w:rsid w:val="001D5407"/>
    <w:rsid w:val="001D6D14"/>
    <w:rsid w:val="001D6F48"/>
    <w:rsid w:val="001E3E87"/>
    <w:rsid w:val="001E4698"/>
    <w:rsid w:val="001E69B5"/>
    <w:rsid w:val="001E6A66"/>
    <w:rsid w:val="001E6CFA"/>
    <w:rsid w:val="001E7D06"/>
    <w:rsid w:val="001F0601"/>
    <w:rsid w:val="001F340B"/>
    <w:rsid w:val="001F4FA0"/>
    <w:rsid w:val="001F73C8"/>
    <w:rsid w:val="00201A76"/>
    <w:rsid w:val="002021FD"/>
    <w:rsid w:val="00205C43"/>
    <w:rsid w:val="00207411"/>
    <w:rsid w:val="00210E41"/>
    <w:rsid w:val="00211824"/>
    <w:rsid w:val="00215F8D"/>
    <w:rsid w:val="002170E6"/>
    <w:rsid w:val="00220965"/>
    <w:rsid w:val="002224E7"/>
    <w:rsid w:val="00223B9B"/>
    <w:rsid w:val="00227DAA"/>
    <w:rsid w:val="00231E14"/>
    <w:rsid w:val="00241628"/>
    <w:rsid w:val="00242C14"/>
    <w:rsid w:val="002467D5"/>
    <w:rsid w:val="00252416"/>
    <w:rsid w:val="00253CFC"/>
    <w:rsid w:val="0025594E"/>
    <w:rsid w:val="002560D8"/>
    <w:rsid w:val="00257B2E"/>
    <w:rsid w:val="002705FA"/>
    <w:rsid w:val="0027128A"/>
    <w:rsid w:val="00275282"/>
    <w:rsid w:val="0028303E"/>
    <w:rsid w:val="00285B40"/>
    <w:rsid w:val="00285DD4"/>
    <w:rsid w:val="00287CD0"/>
    <w:rsid w:val="00295093"/>
    <w:rsid w:val="002967D4"/>
    <w:rsid w:val="002971FC"/>
    <w:rsid w:val="002A000F"/>
    <w:rsid w:val="002A048A"/>
    <w:rsid w:val="002A14BA"/>
    <w:rsid w:val="002A3234"/>
    <w:rsid w:val="002A486E"/>
    <w:rsid w:val="002B17AE"/>
    <w:rsid w:val="002B379B"/>
    <w:rsid w:val="002B5DFD"/>
    <w:rsid w:val="002B62BC"/>
    <w:rsid w:val="002B678A"/>
    <w:rsid w:val="002B7F19"/>
    <w:rsid w:val="002C2CCF"/>
    <w:rsid w:val="002C419A"/>
    <w:rsid w:val="002C707C"/>
    <w:rsid w:val="002D11FD"/>
    <w:rsid w:val="002D26B0"/>
    <w:rsid w:val="002D3E91"/>
    <w:rsid w:val="002D4A44"/>
    <w:rsid w:val="002D5CA2"/>
    <w:rsid w:val="002D79D2"/>
    <w:rsid w:val="002E02B1"/>
    <w:rsid w:val="002E33DB"/>
    <w:rsid w:val="002E396B"/>
    <w:rsid w:val="002E3D2C"/>
    <w:rsid w:val="002F1879"/>
    <w:rsid w:val="002F1D45"/>
    <w:rsid w:val="002F3420"/>
    <w:rsid w:val="002F5EA0"/>
    <w:rsid w:val="002F63A1"/>
    <w:rsid w:val="00304392"/>
    <w:rsid w:val="00304479"/>
    <w:rsid w:val="003061AB"/>
    <w:rsid w:val="00307A3B"/>
    <w:rsid w:val="00313105"/>
    <w:rsid w:val="003141B6"/>
    <w:rsid w:val="00321775"/>
    <w:rsid w:val="00321EB5"/>
    <w:rsid w:val="00322DAA"/>
    <w:rsid w:val="00323E56"/>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6EB"/>
    <w:rsid w:val="003758D5"/>
    <w:rsid w:val="003763CB"/>
    <w:rsid w:val="00380D62"/>
    <w:rsid w:val="00381001"/>
    <w:rsid w:val="0038145D"/>
    <w:rsid w:val="00382E5B"/>
    <w:rsid w:val="00383853"/>
    <w:rsid w:val="00384980"/>
    <w:rsid w:val="003874CB"/>
    <w:rsid w:val="003913FA"/>
    <w:rsid w:val="00391E44"/>
    <w:rsid w:val="00393CE8"/>
    <w:rsid w:val="003940D4"/>
    <w:rsid w:val="00397505"/>
    <w:rsid w:val="00397ED1"/>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34B7"/>
    <w:rsid w:val="003F7D7E"/>
    <w:rsid w:val="00402953"/>
    <w:rsid w:val="00410A00"/>
    <w:rsid w:val="0041108E"/>
    <w:rsid w:val="004127AE"/>
    <w:rsid w:val="0041399D"/>
    <w:rsid w:val="00417315"/>
    <w:rsid w:val="00420A45"/>
    <w:rsid w:val="00420CA6"/>
    <w:rsid w:val="00422716"/>
    <w:rsid w:val="00437DE9"/>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594A"/>
    <w:rsid w:val="004C6BFB"/>
    <w:rsid w:val="004D0892"/>
    <w:rsid w:val="004D0B9B"/>
    <w:rsid w:val="004D3858"/>
    <w:rsid w:val="004D67B3"/>
    <w:rsid w:val="004D6A9F"/>
    <w:rsid w:val="004E4602"/>
    <w:rsid w:val="004F105E"/>
    <w:rsid w:val="004F27F0"/>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6A5"/>
    <w:rsid w:val="00555F01"/>
    <w:rsid w:val="0055767F"/>
    <w:rsid w:val="005633DA"/>
    <w:rsid w:val="00564E0C"/>
    <w:rsid w:val="00566CE5"/>
    <w:rsid w:val="005722AA"/>
    <w:rsid w:val="005762F3"/>
    <w:rsid w:val="00577734"/>
    <w:rsid w:val="00577FB4"/>
    <w:rsid w:val="0058007E"/>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36BF"/>
    <w:rsid w:val="005F60DA"/>
    <w:rsid w:val="005F74D8"/>
    <w:rsid w:val="005F7D12"/>
    <w:rsid w:val="00602624"/>
    <w:rsid w:val="00604D84"/>
    <w:rsid w:val="00607722"/>
    <w:rsid w:val="0062116B"/>
    <w:rsid w:val="00622CC0"/>
    <w:rsid w:val="0062439C"/>
    <w:rsid w:val="0062501A"/>
    <w:rsid w:val="006259D1"/>
    <w:rsid w:val="0063180F"/>
    <w:rsid w:val="00631923"/>
    <w:rsid w:val="00632C12"/>
    <w:rsid w:val="00640D98"/>
    <w:rsid w:val="0064321C"/>
    <w:rsid w:val="0064778A"/>
    <w:rsid w:val="00647B74"/>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1AF3"/>
    <w:rsid w:val="006C2A2F"/>
    <w:rsid w:val="006C599B"/>
    <w:rsid w:val="006D02FC"/>
    <w:rsid w:val="006D096B"/>
    <w:rsid w:val="006D2F5B"/>
    <w:rsid w:val="006D446E"/>
    <w:rsid w:val="006D4A1A"/>
    <w:rsid w:val="006D6A18"/>
    <w:rsid w:val="006D6BB5"/>
    <w:rsid w:val="006D7BFC"/>
    <w:rsid w:val="006F1138"/>
    <w:rsid w:val="006F6F42"/>
    <w:rsid w:val="0070502C"/>
    <w:rsid w:val="007074FD"/>
    <w:rsid w:val="0070798C"/>
    <w:rsid w:val="00711BC9"/>
    <w:rsid w:val="00712829"/>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1ED5"/>
    <w:rsid w:val="007831C2"/>
    <w:rsid w:val="0078331C"/>
    <w:rsid w:val="00785008"/>
    <w:rsid w:val="007852B0"/>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0987"/>
    <w:rsid w:val="007E42D5"/>
    <w:rsid w:val="007E44F5"/>
    <w:rsid w:val="007F0C04"/>
    <w:rsid w:val="007F2F1F"/>
    <w:rsid w:val="007F2F72"/>
    <w:rsid w:val="007F3553"/>
    <w:rsid w:val="007F4EC6"/>
    <w:rsid w:val="007F7287"/>
    <w:rsid w:val="007F7FD1"/>
    <w:rsid w:val="0080221D"/>
    <w:rsid w:val="00802FF6"/>
    <w:rsid w:val="00803F2B"/>
    <w:rsid w:val="008042EA"/>
    <w:rsid w:val="008053A6"/>
    <w:rsid w:val="00805B41"/>
    <w:rsid w:val="008105D3"/>
    <w:rsid w:val="00814D2E"/>
    <w:rsid w:val="008158A3"/>
    <w:rsid w:val="008166F7"/>
    <w:rsid w:val="008208C7"/>
    <w:rsid w:val="00821BA5"/>
    <w:rsid w:val="00825012"/>
    <w:rsid w:val="008310FF"/>
    <w:rsid w:val="00833C2D"/>
    <w:rsid w:val="00844C33"/>
    <w:rsid w:val="0084556B"/>
    <w:rsid w:val="0084716E"/>
    <w:rsid w:val="00853F30"/>
    <w:rsid w:val="008540B3"/>
    <w:rsid w:val="0085574D"/>
    <w:rsid w:val="00855E21"/>
    <w:rsid w:val="00856CFF"/>
    <w:rsid w:val="0086016B"/>
    <w:rsid w:val="00860963"/>
    <w:rsid w:val="008612B0"/>
    <w:rsid w:val="00864000"/>
    <w:rsid w:val="00865D5B"/>
    <w:rsid w:val="008773E5"/>
    <w:rsid w:val="00877747"/>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013D"/>
    <w:rsid w:val="008E2ED6"/>
    <w:rsid w:val="008E4786"/>
    <w:rsid w:val="008E5D55"/>
    <w:rsid w:val="008F26AD"/>
    <w:rsid w:val="008F2FB3"/>
    <w:rsid w:val="008F78D5"/>
    <w:rsid w:val="00902F55"/>
    <w:rsid w:val="0090470C"/>
    <w:rsid w:val="00906198"/>
    <w:rsid w:val="00911CA6"/>
    <w:rsid w:val="00914B9C"/>
    <w:rsid w:val="0091745E"/>
    <w:rsid w:val="0092114D"/>
    <w:rsid w:val="009233F5"/>
    <w:rsid w:val="00926D5C"/>
    <w:rsid w:val="0093163D"/>
    <w:rsid w:val="00933BBF"/>
    <w:rsid w:val="009342CD"/>
    <w:rsid w:val="009360D1"/>
    <w:rsid w:val="009364DE"/>
    <w:rsid w:val="00947BF1"/>
    <w:rsid w:val="00950F2C"/>
    <w:rsid w:val="009512A7"/>
    <w:rsid w:val="009543EE"/>
    <w:rsid w:val="00956F6B"/>
    <w:rsid w:val="009702DE"/>
    <w:rsid w:val="00971B64"/>
    <w:rsid w:val="00971D4D"/>
    <w:rsid w:val="00973331"/>
    <w:rsid w:val="00976266"/>
    <w:rsid w:val="00976C8C"/>
    <w:rsid w:val="00977BEF"/>
    <w:rsid w:val="0098218D"/>
    <w:rsid w:val="009839EE"/>
    <w:rsid w:val="00990E54"/>
    <w:rsid w:val="00990EA8"/>
    <w:rsid w:val="009A239C"/>
    <w:rsid w:val="009A3976"/>
    <w:rsid w:val="009A3AAF"/>
    <w:rsid w:val="009A3EAE"/>
    <w:rsid w:val="009A4956"/>
    <w:rsid w:val="009A6156"/>
    <w:rsid w:val="009A7747"/>
    <w:rsid w:val="009A7DCC"/>
    <w:rsid w:val="009B0279"/>
    <w:rsid w:val="009B0652"/>
    <w:rsid w:val="009B23BA"/>
    <w:rsid w:val="009B271F"/>
    <w:rsid w:val="009B2AEC"/>
    <w:rsid w:val="009B2C68"/>
    <w:rsid w:val="009B6ADC"/>
    <w:rsid w:val="009C4DE4"/>
    <w:rsid w:val="009D1F2E"/>
    <w:rsid w:val="009D219C"/>
    <w:rsid w:val="009D2CDF"/>
    <w:rsid w:val="009D562C"/>
    <w:rsid w:val="009D72AA"/>
    <w:rsid w:val="009E393C"/>
    <w:rsid w:val="009E6008"/>
    <w:rsid w:val="009E6385"/>
    <w:rsid w:val="009F0268"/>
    <w:rsid w:val="009F4313"/>
    <w:rsid w:val="009F494B"/>
    <w:rsid w:val="009F67A5"/>
    <w:rsid w:val="00A009EA"/>
    <w:rsid w:val="00A07761"/>
    <w:rsid w:val="00A12D02"/>
    <w:rsid w:val="00A139C5"/>
    <w:rsid w:val="00A17980"/>
    <w:rsid w:val="00A21E33"/>
    <w:rsid w:val="00A21E81"/>
    <w:rsid w:val="00A25047"/>
    <w:rsid w:val="00A30934"/>
    <w:rsid w:val="00A33184"/>
    <w:rsid w:val="00A36342"/>
    <w:rsid w:val="00A42896"/>
    <w:rsid w:val="00A43179"/>
    <w:rsid w:val="00A43E48"/>
    <w:rsid w:val="00A4771A"/>
    <w:rsid w:val="00A50D78"/>
    <w:rsid w:val="00A52005"/>
    <w:rsid w:val="00A53223"/>
    <w:rsid w:val="00A53866"/>
    <w:rsid w:val="00A56683"/>
    <w:rsid w:val="00A57B18"/>
    <w:rsid w:val="00A57BE7"/>
    <w:rsid w:val="00A6563F"/>
    <w:rsid w:val="00A67F48"/>
    <w:rsid w:val="00A704D5"/>
    <w:rsid w:val="00A70752"/>
    <w:rsid w:val="00A7774E"/>
    <w:rsid w:val="00A816BD"/>
    <w:rsid w:val="00A86C97"/>
    <w:rsid w:val="00A86DE0"/>
    <w:rsid w:val="00A86E28"/>
    <w:rsid w:val="00A92AC5"/>
    <w:rsid w:val="00A93E28"/>
    <w:rsid w:val="00AA5163"/>
    <w:rsid w:val="00AA701D"/>
    <w:rsid w:val="00AB4207"/>
    <w:rsid w:val="00AC40A2"/>
    <w:rsid w:val="00AD0FD6"/>
    <w:rsid w:val="00AD7994"/>
    <w:rsid w:val="00AE31C7"/>
    <w:rsid w:val="00AE3911"/>
    <w:rsid w:val="00AE709A"/>
    <w:rsid w:val="00AE70D7"/>
    <w:rsid w:val="00AF7E75"/>
    <w:rsid w:val="00B00868"/>
    <w:rsid w:val="00B013D3"/>
    <w:rsid w:val="00B06847"/>
    <w:rsid w:val="00B07042"/>
    <w:rsid w:val="00B071FD"/>
    <w:rsid w:val="00B1256A"/>
    <w:rsid w:val="00B159DB"/>
    <w:rsid w:val="00B22516"/>
    <w:rsid w:val="00B225B8"/>
    <w:rsid w:val="00B24F0E"/>
    <w:rsid w:val="00B2754F"/>
    <w:rsid w:val="00B367A1"/>
    <w:rsid w:val="00B40077"/>
    <w:rsid w:val="00B42160"/>
    <w:rsid w:val="00B45A43"/>
    <w:rsid w:val="00B45D4C"/>
    <w:rsid w:val="00B51016"/>
    <w:rsid w:val="00B5501D"/>
    <w:rsid w:val="00B61668"/>
    <w:rsid w:val="00B61B53"/>
    <w:rsid w:val="00B70AB8"/>
    <w:rsid w:val="00B7110A"/>
    <w:rsid w:val="00B73845"/>
    <w:rsid w:val="00B76BA6"/>
    <w:rsid w:val="00B76BE5"/>
    <w:rsid w:val="00B85469"/>
    <w:rsid w:val="00B902AE"/>
    <w:rsid w:val="00B9337F"/>
    <w:rsid w:val="00B94BF5"/>
    <w:rsid w:val="00B958C0"/>
    <w:rsid w:val="00B979BB"/>
    <w:rsid w:val="00B97F8D"/>
    <w:rsid w:val="00BA0D9F"/>
    <w:rsid w:val="00BA34E1"/>
    <w:rsid w:val="00BA7B2F"/>
    <w:rsid w:val="00BB4689"/>
    <w:rsid w:val="00BB5D21"/>
    <w:rsid w:val="00BB6C89"/>
    <w:rsid w:val="00BC1036"/>
    <w:rsid w:val="00BC2D8F"/>
    <w:rsid w:val="00BC4302"/>
    <w:rsid w:val="00BD13D0"/>
    <w:rsid w:val="00BD2E2F"/>
    <w:rsid w:val="00BD6B49"/>
    <w:rsid w:val="00BE0B38"/>
    <w:rsid w:val="00BE4777"/>
    <w:rsid w:val="00BF47AC"/>
    <w:rsid w:val="00BF608F"/>
    <w:rsid w:val="00C017C5"/>
    <w:rsid w:val="00C02BA6"/>
    <w:rsid w:val="00C03393"/>
    <w:rsid w:val="00C03F49"/>
    <w:rsid w:val="00C05CA9"/>
    <w:rsid w:val="00C061C7"/>
    <w:rsid w:val="00C07C7D"/>
    <w:rsid w:val="00C129E3"/>
    <w:rsid w:val="00C1435D"/>
    <w:rsid w:val="00C162ED"/>
    <w:rsid w:val="00C202C1"/>
    <w:rsid w:val="00C2639C"/>
    <w:rsid w:val="00C263CC"/>
    <w:rsid w:val="00C34A5B"/>
    <w:rsid w:val="00C36E6D"/>
    <w:rsid w:val="00C3787E"/>
    <w:rsid w:val="00C42011"/>
    <w:rsid w:val="00C42BCF"/>
    <w:rsid w:val="00C45E9C"/>
    <w:rsid w:val="00C4774B"/>
    <w:rsid w:val="00C50D1B"/>
    <w:rsid w:val="00C525DB"/>
    <w:rsid w:val="00C52B44"/>
    <w:rsid w:val="00C53B54"/>
    <w:rsid w:val="00C557BA"/>
    <w:rsid w:val="00C55C70"/>
    <w:rsid w:val="00C56EF3"/>
    <w:rsid w:val="00C57B14"/>
    <w:rsid w:val="00C65B54"/>
    <w:rsid w:val="00C74121"/>
    <w:rsid w:val="00C74475"/>
    <w:rsid w:val="00C74538"/>
    <w:rsid w:val="00C74BFC"/>
    <w:rsid w:val="00C74C7A"/>
    <w:rsid w:val="00C76007"/>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2713"/>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C08"/>
    <w:rsid w:val="00CF61B0"/>
    <w:rsid w:val="00CF6965"/>
    <w:rsid w:val="00CF6EC5"/>
    <w:rsid w:val="00CF7690"/>
    <w:rsid w:val="00D01A21"/>
    <w:rsid w:val="00D02B6A"/>
    <w:rsid w:val="00D03554"/>
    <w:rsid w:val="00D04273"/>
    <w:rsid w:val="00D06451"/>
    <w:rsid w:val="00D10464"/>
    <w:rsid w:val="00D11438"/>
    <w:rsid w:val="00D11F00"/>
    <w:rsid w:val="00D11FD0"/>
    <w:rsid w:val="00D1286E"/>
    <w:rsid w:val="00D210E0"/>
    <w:rsid w:val="00D26E50"/>
    <w:rsid w:val="00D271F8"/>
    <w:rsid w:val="00D30B3E"/>
    <w:rsid w:val="00D321C7"/>
    <w:rsid w:val="00D41CF4"/>
    <w:rsid w:val="00D44556"/>
    <w:rsid w:val="00D44B55"/>
    <w:rsid w:val="00D45F11"/>
    <w:rsid w:val="00D45F7B"/>
    <w:rsid w:val="00D464EF"/>
    <w:rsid w:val="00D5108D"/>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2A42"/>
    <w:rsid w:val="00DC59D1"/>
    <w:rsid w:val="00DC643D"/>
    <w:rsid w:val="00DC7D0F"/>
    <w:rsid w:val="00DD2B2D"/>
    <w:rsid w:val="00DD6641"/>
    <w:rsid w:val="00DE168E"/>
    <w:rsid w:val="00DE250E"/>
    <w:rsid w:val="00DE4C1A"/>
    <w:rsid w:val="00DF172F"/>
    <w:rsid w:val="00DF17BF"/>
    <w:rsid w:val="00DF2140"/>
    <w:rsid w:val="00DF49FE"/>
    <w:rsid w:val="00DF4CAB"/>
    <w:rsid w:val="00DF4F2C"/>
    <w:rsid w:val="00DF616E"/>
    <w:rsid w:val="00DF65DE"/>
    <w:rsid w:val="00E013D4"/>
    <w:rsid w:val="00E02368"/>
    <w:rsid w:val="00E119C1"/>
    <w:rsid w:val="00E12A76"/>
    <w:rsid w:val="00E12DAF"/>
    <w:rsid w:val="00E15E99"/>
    <w:rsid w:val="00E1687C"/>
    <w:rsid w:val="00E213C4"/>
    <w:rsid w:val="00E25C96"/>
    <w:rsid w:val="00E3158C"/>
    <w:rsid w:val="00E35052"/>
    <w:rsid w:val="00E35309"/>
    <w:rsid w:val="00E356FE"/>
    <w:rsid w:val="00E41196"/>
    <w:rsid w:val="00E41E3E"/>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76F97"/>
    <w:rsid w:val="00E86C0D"/>
    <w:rsid w:val="00E91452"/>
    <w:rsid w:val="00E97E35"/>
    <w:rsid w:val="00EA4301"/>
    <w:rsid w:val="00EA5D2D"/>
    <w:rsid w:val="00EA6AD9"/>
    <w:rsid w:val="00EB0BA5"/>
    <w:rsid w:val="00EB3128"/>
    <w:rsid w:val="00EB7F44"/>
    <w:rsid w:val="00EC189B"/>
    <w:rsid w:val="00EC3F6B"/>
    <w:rsid w:val="00EC532E"/>
    <w:rsid w:val="00EC5C8C"/>
    <w:rsid w:val="00EC7BD8"/>
    <w:rsid w:val="00ED04DC"/>
    <w:rsid w:val="00ED0B50"/>
    <w:rsid w:val="00ED1033"/>
    <w:rsid w:val="00ED20D7"/>
    <w:rsid w:val="00ED3993"/>
    <w:rsid w:val="00ED473E"/>
    <w:rsid w:val="00ED4B30"/>
    <w:rsid w:val="00ED5206"/>
    <w:rsid w:val="00ED72C1"/>
    <w:rsid w:val="00ED788C"/>
    <w:rsid w:val="00EE1CF4"/>
    <w:rsid w:val="00EE46FF"/>
    <w:rsid w:val="00EE4709"/>
    <w:rsid w:val="00EE6643"/>
    <w:rsid w:val="00EE71F1"/>
    <w:rsid w:val="00EE739B"/>
    <w:rsid w:val="00EF051A"/>
    <w:rsid w:val="00EF1336"/>
    <w:rsid w:val="00EF1E4E"/>
    <w:rsid w:val="00EF5447"/>
    <w:rsid w:val="00F06E6E"/>
    <w:rsid w:val="00F11CFC"/>
    <w:rsid w:val="00F153BA"/>
    <w:rsid w:val="00F17E72"/>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57F18"/>
    <w:rsid w:val="00F62237"/>
    <w:rsid w:val="00F639C8"/>
    <w:rsid w:val="00F70DB5"/>
    <w:rsid w:val="00F710F9"/>
    <w:rsid w:val="00F72187"/>
    <w:rsid w:val="00F817DE"/>
    <w:rsid w:val="00F90B52"/>
    <w:rsid w:val="00F91E50"/>
    <w:rsid w:val="00F91F7C"/>
    <w:rsid w:val="00F9337E"/>
    <w:rsid w:val="00F97224"/>
    <w:rsid w:val="00FA1152"/>
    <w:rsid w:val="00FA186C"/>
    <w:rsid w:val="00FA1E7F"/>
    <w:rsid w:val="00FA2D02"/>
    <w:rsid w:val="00FA48FA"/>
    <w:rsid w:val="00FA4D0F"/>
    <w:rsid w:val="00FA7965"/>
    <w:rsid w:val="00FB3B21"/>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8FEB4"/>
  <w15:docId w15:val="{A559BD59-15FB-4124-8492-DFAF08FD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link w:val="TextChar"/>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2D5CA2"/>
    <w:pPr>
      <w:numPr>
        <w:numId w:val="14"/>
      </w:numPr>
      <w:tabs>
        <w:tab w:val="clear" w:pos="1170"/>
        <w:tab w:val="left" w:pos="360"/>
      </w:tabs>
      <w:ind w:left="72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BalloonText">
    <w:name w:val="Balloon Text"/>
    <w:basedOn w:val="Normal"/>
    <w:semiHidden/>
    <w:rsid w:val="00EA6AD9"/>
    <w:rPr>
      <w:rFonts w:ascii="Tahoma" w:hAnsi="Tahoma" w:cs="Tahoma"/>
      <w:sz w:val="16"/>
      <w:szCs w:val="16"/>
    </w:rPr>
  </w:style>
  <w:style w:type="character" w:styleId="PageNumber">
    <w:name w:val="page number"/>
    <w:basedOn w:val="DefaultParagraphFont"/>
    <w:rsid w:val="0013342E"/>
  </w:style>
  <w:style w:type="character" w:customStyle="1" w:styleId="UnresolvedMention1">
    <w:name w:val="Unresolved Mention1"/>
    <w:uiPriority w:val="99"/>
    <w:semiHidden/>
    <w:unhideWhenUsed/>
    <w:rsid w:val="0035794B"/>
    <w:rPr>
      <w:color w:val="605E5C"/>
      <w:shd w:val="clear" w:color="auto" w:fill="E1DFDD"/>
    </w:rPr>
  </w:style>
  <w:style w:type="character" w:styleId="FollowedHyperlink">
    <w:name w:val="FollowedHyperlink"/>
    <w:rsid w:val="00844C33"/>
    <w:rPr>
      <w:color w:val="954F72"/>
      <w:u w:val="single"/>
    </w:rPr>
  </w:style>
  <w:style w:type="character" w:customStyle="1" w:styleId="TextChar">
    <w:name w:val="Text Char"/>
    <w:link w:val="Text"/>
    <w:rsid w:val="007E0987"/>
  </w:style>
  <w:style w:type="paragraph" w:customStyle="1" w:styleId="StyleReferencesLeft">
    <w:name w:val="Style References + Left"/>
    <w:basedOn w:val="References"/>
    <w:rsid w:val="00EC532E"/>
    <w:pPr>
      <w:jc w:val="left"/>
    </w:pPr>
    <w:rPr>
      <w:szCs w:val="20"/>
    </w:rPr>
  </w:style>
  <w:style w:type="character" w:customStyle="1" w:styleId="PARAIndentChar">
    <w:name w:val="PARA_Indent Char"/>
    <w:link w:val="PARAIndent"/>
    <w:rsid w:val="002224E7"/>
    <w:rPr>
      <w:rFonts w:cs="TimesLTStd-Roman"/>
      <w:spacing w:val="-2"/>
    </w:rPr>
  </w:style>
  <w:style w:type="character" w:customStyle="1" w:styleId="PARAChar">
    <w:name w:val="PARA Char"/>
    <w:link w:val="PARA"/>
    <w:rsid w:val="002224E7"/>
    <w:rPr>
      <w:rFonts w:cs="TimesLTStd-Roman"/>
      <w:spacing w:val="-2"/>
    </w:rPr>
  </w:style>
  <w:style w:type="character" w:styleId="UnresolvedMention">
    <w:name w:val="Unresolved Mention"/>
    <w:basedOn w:val="DefaultParagraphFont"/>
    <w:uiPriority w:val="99"/>
    <w:semiHidden/>
    <w:unhideWhenUsed/>
    <w:rsid w:val="001E7D06"/>
    <w:rPr>
      <w:color w:val="605E5C"/>
      <w:shd w:val="clear" w:color="auto" w:fill="E1DFDD"/>
    </w:rPr>
  </w:style>
  <w:style w:type="paragraph" w:styleId="NormalWeb">
    <w:name w:val="Normal (Web)"/>
    <w:basedOn w:val="Normal"/>
    <w:uiPriority w:val="99"/>
    <w:semiHidden/>
    <w:unhideWhenUsed/>
    <w:rsid w:val="00914B9C"/>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10303">
      <w:bodyDiv w:val="1"/>
      <w:marLeft w:val="0"/>
      <w:marRight w:val="0"/>
      <w:marTop w:val="0"/>
      <w:marBottom w:val="0"/>
      <w:divBdr>
        <w:top w:val="none" w:sz="0" w:space="0" w:color="auto"/>
        <w:left w:val="none" w:sz="0" w:space="0" w:color="auto"/>
        <w:bottom w:val="none" w:sz="0" w:space="0" w:color="auto"/>
        <w:right w:val="none" w:sz="0" w:space="0" w:color="auto"/>
      </w:divBdr>
    </w:div>
    <w:div w:id="684941810">
      <w:bodyDiv w:val="1"/>
      <w:marLeft w:val="0"/>
      <w:marRight w:val="0"/>
      <w:marTop w:val="0"/>
      <w:marBottom w:val="0"/>
      <w:divBdr>
        <w:top w:val="none" w:sz="0" w:space="0" w:color="auto"/>
        <w:left w:val="none" w:sz="0" w:space="0" w:color="auto"/>
        <w:bottom w:val="none" w:sz="0" w:space="0" w:color="auto"/>
        <w:right w:val="none" w:sz="0" w:space="0" w:color="auto"/>
      </w:divBdr>
    </w:div>
    <w:div w:id="911350082">
      <w:bodyDiv w:val="1"/>
      <w:marLeft w:val="0"/>
      <w:marRight w:val="0"/>
      <w:marTop w:val="0"/>
      <w:marBottom w:val="0"/>
      <w:divBdr>
        <w:top w:val="none" w:sz="0" w:space="0" w:color="auto"/>
        <w:left w:val="none" w:sz="0" w:space="0" w:color="auto"/>
        <w:bottom w:val="none" w:sz="0" w:space="0" w:color="auto"/>
        <w:right w:val="none" w:sz="0" w:space="0" w:color="auto"/>
      </w:divBdr>
    </w:div>
    <w:div w:id="19436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D7B9B-F70B-4118-A320-FC4199FD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Transactions in Quantum Engineering Template</vt:lpstr>
    </vt:vector>
  </TitlesOfParts>
  <Company>IEEE</Company>
  <LinksUpToDate>false</LinksUpToDate>
  <CharactersWithSpaces>8311</CharactersWithSpaces>
  <SharedDoc>false</SharedDoc>
  <HLinks>
    <vt:vector size="48" baseType="variant">
      <vt:variant>
        <vt:i4>3342363</vt:i4>
      </vt:variant>
      <vt:variant>
        <vt:i4>30</vt:i4>
      </vt:variant>
      <vt:variant>
        <vt:i4>0</vt:i4>
      </vt:variant>
      <vt:variant>
        <vt:i4>5</vt:i4>
      </vt:variant>
      <vt:variant>
        <vt:lpwstr>https://journals.ieeeauthorcenter.ieee.org/_x000b_become-an-ieee-journal-author/publishing-ethics/guidelines-and-policies/</vt:lpwstr>
      </vt:variant>
      <vt:variant>
        <vt:lpwstr/>
      </vt:variant>
      <vt:variant>
        <vt:i4>1703942</vt:i4>
      </vt:variant>
      <vt:variant>
        <vt:i4>27</vt:i4>
      </vt:variant>
      <vt:variant>
        <vt:i4>0</vt:i4>
      </vt:variant>
      <vt:variant>
        <vt:i4>5</vt:i4>
      </vt:variant>
      <vt:variant>
        <vt:lpwstr>http://www.ieee.org/publications_standards/publications/authors/authors_submission.html</vt:lpwstr>
      </vt:variant>
      <vt:variant>
        <vt:lpwstr/>
      </vt:variant>
      <vt:variant>
        <vt:i4>6357084</vt:i4>
      </vt:variant>
      <vt:variant>
        <vt:i4>15</vt:i4>
      </vt:variant>
      <vt:variant>
        <vt:i4>0</vt:i4>
      </vt:variant>
      <vt:variant>
        <vt:i4>5</vt:i4>
      </vt:variant>
      <vt:variant>
        <vt:lpwstr>http://journals.ieeeauthorcenter.ieee.org/wp-content/uploads/_x000b_sites/7/Editing-Mathematics.pdf</vt:lpwstr>
      </vt:variant>
      <vt:variant>
        <vt:lpwstr/>
      </vt:variant>
      <vt:variant>
        <vt:i4>786481</vt:i4>
      </vt:variant>
      <vt:variant>
        <vt:i4>12</vt:i4>
      </vt:variant>
      <vt:variant>
        <vt:i4>0</vt:i4>
      </vt:variant>
      <vt:variant>
        <vt:i4>5</vt:i4>
      </vt:variant>
      <vt:variant>
        <vt:lpwstr>https://store.wiris.com/en/_x000b_products/mathtype/download</vt:lpwstr>
      </vt:variant>
      <vt:variant>
        <vt:lpwstr/>
      </vt:variant>
      <vt:variant>
        <vt:i4>1179728</vt:i4>
      </vt:variant>
      <vt:variant>
        <vt:i4>9</vt:i4>
      </vt:variant>
      <vt:variant>
        <vt:i4>0</vt:i4>
      </vt:variant>
      <vt:variant>
        <vt:i4>5</vt:i4>
      </vt:variant>
      <vt:variant>
        <vt:lpwstr>https://journals.ieeeauthorcenter.ieee.org/create-your-ieee-journal-article/create-the-text-of-your-article/structure-your-article/</vt:lpwstr>
      </vt:variant>
      <vt:variant>
        <vt:lpwstr>editing-service</vt:lpwstr>
      </vt:variant>
      <vt:variant>
        <vt:i4>5308508</vt:i4>
      </vt:variant>
      <vt:variant>
        <vt:i4>6</vt:i4>
      </vt:variant>
      <vt:variant>
        <vt:i4>0</vt:i4>
      </vt:variant>
      <vt:variant>
        <vt:i4>5</vt:i4>
      </vt:variant>
      <vt:variant>
        <vt:lpwstr>https://journals.ieeeauthorcenter.ieee.org/create-your-ieee-journal-article/create-the-text-of-your-article/ieee-editorial-style-manual/</vt:lpwstr>
      </vt:variant>
      <vt:variant>
        <vt:lpwstr/>
      </vt:variant>
      <vt:variant>
        <vt:i4>7602227</vt:i4>
      </vt:variant>
      <vt:variant>
        <vt:i4>3</vt:i4>
      </vt:variant>
      <vt:variant>
        <vt:i4>0</vt:i4>
      </vt:variant>
      <vt:variant>
        <vt:i4>5</vt:i4>
      </vt:variant>
      <vt:variant>
        <vt:lpwstr>https://www.overleaf.com/blog/278-how-to-use-overleaf-with-ieee-collabratec-your-quick-guide-to-getting-started%23.Vp6tpPkrKM9</vt:lpwstr>
      </vt:variant>
      <vt:variant>
        <vt:lpwstr/>
      </vt:variant>
      <vt:variant>
        <vt:i4>6094849</vt:i4>
      </vt:variant>
      <vt:variant>
        <vt:i4>0</vt:i4>
      </vt:variant>
      <vt:variant>
        <vt:i4>0</vt:i4>
      </vt:variant>
      <vt:variant>
        <vt:i4>5</vt:i4>
      </vt:variant>
      <vt:variant>
        <vt:lpwstr>https://www.ieee.org/publications/services/thesaurus-access-page.html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in Quantum Engineering Template</dc:title>
  <dc:creator>Erik P. DeBenedictis</dc:creator>
  <cp:lastModifiedBy>Yuta Sugiyama</cp:lastModifiedBy>
  <cp:revision>97</cp:revision>
  <cp:lastPrinted>2022-10-12T04:23:00Z</cp:lastPrinted>
  <dcterms:created xsi:type="dcterms:W3CDTF">2023-11-08T05:59:00Z</dcterms:created>
  <dcterms:modified xsi:type="dcterms:W3CDTF">2023-11-08T08:33:00Z</dcterms:modified>
</cp:coreProperties>
</file>