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Employee Report</w:t>
      </w:r>
    </w:p>
    <w:p>
      <w:pPr>
        <w:spacing w:after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Prepared by: </w:t>
      </w:r>
      <w:r>
        <w:rPr>
          <w:rFonts w:ascii="Arial" w:cs="Arial" w:eastAsia="Arial" w:hAnsi="Arial"/>
          <w:sz w:val="22"/>
          <w:szCs w:val="22"/>
        </w:rPr>
        <w:t xml:space="preserve">HR Department  |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Date: </w:t>
      </w:r>
      <w:r>
        <w:rPr>
          <w:rFonts w:ascii="Arial" w:cs="Arial" w:eastAsia="Arial" w:hAnsi="Arial"/>
          <w:sz w:val="22"/>
          <w:szCs w:val="22"/>
        </w:rPr>
        <w:t xml:space="preserve">April 2026  |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Classification: </w:t>
      </w:r>
      <w:r>
        <w:rPr>
          <w:rFonts w:ascii="Arial" w:cs="Arial" w:eastAsia="Arial" w:hAnsi="Arial"/>
          <w:color w:val="CC0000"/>
          <w:sz w:val="22"/>
          <w:szCs w:val="22"/>
        </w:rPr>
        <w:t xml:space="preserve">Confidential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 Overview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This report provides a comprehensive summary of employee records across all departments. It covers headcount, salary distribution, and current employment status as of Q1 2026.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 Key Highlights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Total headcount: 5 employees across 5 departments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3 employees currently Active, 1 On Leave, 1 status Delivered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Highest salary: Carol White (IT) at ₹15,00,000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Lowest salary: David Lee (HR) at ₹7,00,000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Average salary: ₹10,80,000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 Employee Data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table below lists all employees with their department, salary, and current status: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Employee 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Department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Salary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EMP-001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Alice Johnson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Sales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₹12,00,000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Delivered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EMP-002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Bob Smith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Marketing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₹8,50,000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Active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EMP-003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Carol White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₹15,00,000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Active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EMP-004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David Lee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₹7,00,000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On Leave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EMP-005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Eva Green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Finance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₹11,50,000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Active</w:t>
            </w:r>
          </w:p>
        </w:tc>
      </w:tr>
    </w:tbl>
    <w:p>
      <w:pPr>
        <w:spacing w:after="3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 Department Notes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Sales &amp; Marketing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Sales and Marketing teams are fully operational. Alice Johnson completed her Q1 targets and has been marked as Delivered. Bob Smith continues active campaigns for Q2.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IT &amp; Finance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Carol White leads the IT department and is currently overseeing the infrastructure upgrade project. Eva Green in Finance is managing the annual audit scheduled for May 2026.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HR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David Lee is currently on approved leave until May 15, 2026. Responsibilities are being handled by the department head in the interim.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 Conclusion</w:t>
      </w:r>
    </w:p>
    <w:p>
      <w:r>
        <w:rPr>
          <w:rFonts w:ascii="Arial" w:cs="Arial" w:eastAsia="Arial" w:hAnsi="Arial"/>
          <w:sz w:val="22"/>
          <w:szCs w:val="22"/>
        </w:rPr>
        <w:t xml:space="preserve">Overall employee health is strong. Attrition remains at 0% for Q1 2026. HR recommends a salary review for the HR and Marketing departments in Q3 2026.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1"/>
      </w:pBdr>
      <w:tabs>
        <w:tab w:val="right" w:pos="9026"/>
      </w:tabs>
    </w:pPr>
    <w:r>
      <w:rPr>
        <w:rFonts w:ascii="Arial" w:cs="Arial" w:eastAsia="Arial" w:hAnsi="Arial"/>
        <w:color w:val="888888"/>
        <w:sz w:val="18"/>
        <w:szCs w:val="18"/>
      </w:rPr>
      <w:t xml:space="preserve">Confidential</w:t>
    </w:r>
    <w:r>
      <w:rPr>
        <w:rFonts w:ascii="Arial" w:cs="Arial" w:eastAsia="Arial" w:hAnsi="Arial"/>
        <w:color w:val="888888"/>
        <w:sz w:val="18"/>
        <w:szCs w:val="18"/>
      </w:rPr>
      <w:t xml:space="preserve">	Page 1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</w:pPr>
    <w:r>
      <w:rPr>
        <w:rFonts w:ascii="Arial" w:cs="Arial" w:eastAsia="Arial" w:hAnsi="Arial"/>
        <w:b/>
        <w:bCs/>
        <w:color w:val="2E75B6"/>
        <w:sz w:val="20"/>
        <w:szCs w:val="20"/>
      </w:rPr>
      <w:t xml:space="preserve">Employee Report — HR Department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00"/>
      <w:outlineLvl w:val="0"/>
    </w:pPr>
    <w:rPr>
      <w:rFonts w:ascii="Arial" w:cs="Arial" w:eastAsia="Arial" w:hAnsi="Arial"/>
      <w:b/>
      <w:bCs/>
      <w:color w:val="2E75B6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180"/>
      <w:outlineLvl w:val="2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2026-04-09T17:13:54.336Z</dcterms:created>
  <dcterms:modified xsi:type="dcterms:W3CDTF">2026-04-09T17:13:54.338Z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