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E79"/>
          <w:sz w:val="56"/>
        </w:rPr>
        <w:t>AgriVision</w:t>
      </w:r>
    </w:p>
    <w:p>
      <w:pPr>
        <w:jc w:val="center"/>
      </w:pPr>
      <w:r>
        <w:rPr>
          <w:rFonts w:ascii="Calibri" w:hAnsi="Calibri"/>
          <w:b w:val="0"/>
          <w:i/>
          <w:color w:val="4A5568"/>
          <w:sz w:val="28"/>
        </w:rPr>
        <w:t>Satellite-Based Precision Agriculture</w:t>
      </w:r>
    </w:p>
    <w:p>
      <w:pPr>
        <w:jc w:val="center"/>
      </w:pPr>
      <w:r>
        <w:rPr>
          <w:rFonts w:ascii="Calibri" w:hAnsi="Calibri"/>
          <w:b/>
          <w:i w:val="0"/>
          <w:color w:val="2E75B6"/>
          <w:sz w:val="24"/>
        </w:rPr>
        <w:t>Phase 2 — Deep Learning: Crop Yield Prediction using BiLSTM + Temporal Attention</w:t>
      </w:r>
    </w:p>
    <w:p/>
    <w:p>
      <w:pPr>
        <w:jc w:val="center"/>
      </w:pPr>
      <w:r>
        <w:rPr>
          <w:rFonts w:ascii="Calibri" w:hAnsi="Calibri"/>
          <w:b w:val="0"/>
          <w:i w:val="0"/>
          <w:color w:val="4A5568"/>
          <w:sz w:val="20"/>
        </w:rPr>
        <w:t>Dataset: FAO Crop Yield  |  101 countries  |  10 crops  |  1990–2013</w:t>
      </w:r>
    </w:p>
    <w:p>
      <w:pPr>
        <w:jc w:val="center"/>
      </w:pPr>
      <w:r>
        <w:rPr>
          <w:rFonts w:ascii="Calibri" w:hAnsi="Calibri"/>
          <w:b/>
          <w:i w:val="0"/>
          <w:color w:val="1F4E79"/>
          <w:sz w:val="20"/>
        </w:rPr>
        <w:t>Final R² = 0.929  |  RMSE = 2.28 t/ha  |  40.6% improvement over Phase 1 SVR</w:t>
      </w:r>
    </w:p>
    <w:p>
      <w:r>
        <w:br w:type="page"/>
      </w:r>
    </w:p>
    <w:p>
      <w:pPr>
        <w:spacing w:before="360" w:after="80"/>
        <w:pBdr>
          <w:bottom w:val="single" w:sz="6" w:space="1" w:color="2E75B6"/>
        </w:pBdr>
      </w:pPr>
      <w:r>
        <w:rPr>
          <w:rFonts w:ascii="Calibri" w:hAnsi="Calibri"/>
          <w:b/>
          <w:i w:val="0"/>
          <w:color w:val="1F4E79"/>
          <w:sz w:val="30"/>
        </w:rPr>
        <w:t>1. Introduction</w:t>
      </w:r>
    </w:p>
    <w:p>
      <w:pPr>
        <w:spacing w:after="120"/>
        <w:ind w:firstLine="0"/>
      </w:pPr>
      <w:r>
        <w:rPr>
          <w:rFonts w:ascii="Calibri" w:hAnsi="Calibri"/>
          <w:b w:val="0"/>
          <w:i w:val="0"/>
          <w:sz w:val="22"/>
        </w:rPr>
        <w:t>AgriVision Phase 1 demonstrated that a Support Vector Regression model with per-crop target normalisation achieves R² = 0.796 on crop yield prediction across 101 countries and 10 crop types. While this represents a substantial improvement over trivial baselines, SVR operates under a fundamental structural limitation: it treats every (country, crop, year) row as an independent observation, discarding the temporal structure that is inherent in the dataset.</w:t>
      </w:r>
    </w:p>
    <w:p>
      <w:pPr>
        <w:spacing w:after="120"/>
        <w:ind w:firstLine="0"/>
      </w:pPr>
      <w:r>
        <w:rPr>
          <w:rFonts w:ascii="Calibri" w:hAnsi="Calibri"/>
          <w:b w:val="0"/>
          <w:i w:val="0"/>
          <w:sz w:val="22"/>
        </w:rPr>
        <w:t>Each country-crop pair has up to 24 consecutive yearly observations from 1990 to 2013. The climate conditions of prior years — drought streaks, temperature trends, multi-year soil moisture accumulation — are predictive of current-year yield in ways that a single-row model cannot capture. A model that sees three consecutive years of below-average rainfall for the same country-crop pair should predict a different yield than one that sees only the current year's deficit.</w:t>
      </w:r>
    </w:p>
    <w:p>
      <w:pPr>
        <w:spacing w:after="120"/>
        <w:ind w:firstLine="0"/>
      </w:pPr>
      <w:r>
        <w:rPr>
          <w:rFonts w:ascii="Calibri" w:hAnsi="Calibri"/>
          <w:b w:val="0"/>
          <w:i w:val="0"/>
          <w:sz w:val="22"/>
        </w:rPr>
        <w:t>Phase 2 addresses this limitation by formulating the prediction task as a temporal sequence problem. For each row (country, crop, year t), a 5-year lookback window of climate features is constructed. A Bidirectional LSTM with Temporal Attention then learns which historical patterns precede yield changes, and which specific years within the window carry the most predictive signal.</w:t>
      </w:r>
    </w:p>
    <w:p>
      <w:pPr>
        <w:spacing w:before="240" w:after="60"/>
      </w:pPr>
      <w:r>
        <w:rPr>
          <w:rFonts w:ascii="Calibri" w:hAnsi="Calibri"/>
          <w:b/>
          <w:i w:val="0"/>
          <w:color w:val="2E75B6"/>
          <w:sz w:val="24"/>
        </w:rPr>
        <w:t>1.1 Problem Statement</w:t>
      </w:r>
    </w:p>
    <w:p>
      <w:pPr>
        <w:spacing w:after="120"/>
        <w:ind w:firstLine="0"/>
      </w:pPr>
      <w:r>
        <w:rPr>
          <w:rFonts w:ascii="Calibri" w:hAnsi="Calibri"/>
          <w:b w:val="0"/>
          <w:i w:val="0"/>
          <w:sz w:val="22"/>
        </w:rPr>
        <w:t>Given a 5-year sequence of climate features (rainfall, temperature, log-pesticides, heat stress index, rainfall-temperature ratio) for a specific (country, crop) pair, predict the crop yield in tonnes per hectare for the final year in the sequence. Static features (country identity, crop type) are provided separately and merged via a skip connection.</w:t>
      </w:r>
    </w:p>
    <w:p>
      <w:pPr>
        <w:spacing w:before="240" w:after="60"/>
      </w:pPr>
      <w:r>
        <w:rPr>
          <w:rFonts w:ascii="Calibri" w:hAnsi="Calibri"/>
          <w:b/>
          <w:i w:val="0"/>
          <w:color w:val="2E75B6"/>
          <w:sz w:val="24"/>
        </w:rPr>
        <w:t>1.2 Objectives</w:t>
      </w:r>
    </w:p>
    <w:p>
      <w:pPr>
        <w:pStyle w:val="ListBullet"/>
        <w:spacing w:after="60"/>
        <w:ind w:left="432"/>
      </w:pPr>
      <w:r>
        <w:rPr>
          <w:rFonts w:ascii="Calibri" w:hAnsi="Calibri"/>
          <w:b w:val="0"/>
          <w:i w:val="0"/>
          <w:sz w:val="22"/>
        </w:rPr>
        <w:t>Build temporal lookback sequences from the existing tabular dataset without introducing data leakage</w:t>
      </w:r>
    </w:p>
    <w:p>
      <w:pPr>
        <w:pStyle w:val="ListBullet"/>
        <w:spacing w:after="60"/>
        <w:ind w:left="432"/>
      </w:pPr>
      <w:r>
        <w:rPr>
          <w:rFonts w:ascii="Calibri" w:hAnsi="Calibri"/>
          <w:b w:val="0"/>
          <w:i w:val="0"/>
          <w:sz w:val="22"/>
        </w:rPr>
        <w:t>Design a BiLSTM + Attention architecture with principled choices for every component</w:t>
      </w:r>
    </w:p>
    <w:p>
      <w:pPr>
        <w:pStyle w:val="ListBullet"/>
        <w:spacing w:after="60"/>
        <w:ind w:left="432"/>
      </w:pPr>
      <w:r>
        <w:rPr>
          <w:rFonts w:ascii="Calibri" w:hAnsi="Calibri"/>
          <w:b w:val="0"/>
          <w:i w:val="0"/>
          <w:sz w:val="22"/>
        </w:rPr>
        <w:t>Train with stratified splits, adaptive learning rate scheduling, and early stopping</w:t>
      </w:r>
    </w:p>
    <w:p>
      <w:pPr>
        <w:pStyle w:val="ListBullet"/>
        <w:spacing w:after="60"/>
        <w:ind w:left="432"/>
      </w:pPr>
      <w:r>
        <w:rPr>
          <w:rFonts w:ascii="Calibri" w:hAnsi="Calibri"/>
          <w:b w:val="0"/>
          <w:i w:val="0"/>
          <w:sz w:val="22"/>
        </w:rPr>
        <w:t>Evaluate with learning curves, per-crop R² breakdown, and attention weight visualisation</w:t>
      </w:r>
    </w:p>
    <w:p>
      <w:pPr>
        <w:pStyle w:val="ListBullet"/>
        <w:spacing w:after="60"/>
        <w:ind w:left="432"/>
      </w:pPr>
      <w:r>
        <w:rPr>
          <w:rFonts w:ascii="Calibri" w:hAnsi="Calibri"/>
          <w:b w:val="0"/>
          <w:i w:val="0"/>
          <w:sz w:val="22"/>
        </w:rPr>
        <w:t>Demonstrate measurable improvement over Phase 1 SVR baseline on identical data</w:t>
      </w:r>
    </w:p>
    <w:p>
      <w:pPr>
        <w:spacing w:before="360" w:after="80"/>
        <w:pBdr>
          <w:bottom w:val="single" w:sz="6" w:space="1" w:color="2E75B6"/>
        </w:pBdr>
      </w:pPr>
      <w:r>
        <w:rPr>
          <w:rFonts w:ascii="Calibri" w:hAnsi="Calibri"/>
          <w:b/>
          <w:i w:val="0"/>
          <w:color w:val="1F4E79"/>
          <w:sz w:val="30"/>
        </w:rPr>
        <w:t>2. Literature Review</w:t>
      </w:r>
    </w:p>
    <w:p>
      <w:pPr>
        <w:spacing w:after="120"/>
        <w:ind w:firstLine="0"/>
      </w:pPr>
      <w:r>
        <w:rPr>
          <w:rFonts w:ascii="Calibri" w:hAnsi="Calibri"/>
          <w:b w:val="0"/>
          <w:i w:val="0"/>
          <w:sz w:val="22"/>
        </w:rPr>
        <w:t>Crop yield prediction literature has followed a clear trajectory from process-based simulation through classical ML to deep learning, with recent work converging on temporal sequence models as the standard approach for multi-year agricultural data.</w:t>
      </w:r>
    </w:p>
    <w:p>
      <w:pPr>
        <w:spacing w:before="240" w:after="60"/>
      </w:pPr>
      <w:r>
        <w:rPr>
          <w:rFonts w:ascii="Calibri" w:hAnsi="Calibri"/>
          <w:b/>
          <w:i w:val="0"/>
          <w:color w:val="2E75B6"/>
          <w:sz w:val="24"/>
        </w:rPr>
        <w:t>2.1 Limitations of Temporal-Blind Models</w:t>
      </w:r>
    </w:p>
    <w:p>
      <w:pPr>
        <w:spacing w:after="120"/>
        <w:ind w:firstLine="0"/>
      </w:pPr>
      <w:r>
        <w:rPr>
          <w:rFonts w:ascii="Calibri" w:hAnsi="Calibri"/>
          <w:b w:val="0"/>
          <w:i w:val="0"/>
          <w:sz w:val="22"/>
        </w:rPr>
        <w:t>Jeong et al. (2016) applied Random Forests to soybean yield prediction across US counties, achieving strong performance but noting that the models treat each year independently and therefore cannot encode multi-year effects such as crop rotation, soil degradation, or cumulative drought stress. This observation directly motivates the sequence-based approach in Phase 2.</w:t>
      </w:r>
    </w:p>
    <w:p>
      <w:pPr>
        <w:spacing w:after="120"/>
        <w:ind w:firstLine="0"/>
      </w:pPr>
      <w:r>
        <w:rPr>
          <w:rFonts w:ascii="Calibri" w:hAnsi="Calibri"/>
          <w:b w:val="0"/>
          <w:i w:val="0"/>
          <w:sz w:val="22"/>
        </w:rPr>
        <w:t>Feng et al. (2019) demonstrated that machine learning models for crop yield that incorporate temporal weather sequences consistently outperform models trained on single-year snapshots. They found that a 5-year context window captures the majority of yield-predictive signal for the crops in their study, providing empirical support for the LOOKBACK=5 choice in this project.</w:t>
      </w:r>
    </w:p>
    <w:p>
      <w:pPr>
        <w:spacing w:before="240" w:after="60"/>
      </w:pPr>
      <w:r>
        <w:rPr>
          <w:rFonts w:ascii="Calibri" w:hAnsi="Calibri"/>
          <w:b/>
          <w:i w:val="0"/>
          <w:color w:val="2E75B6"/>
          <w:sz w:val="24"/>
        </w:rPr>
        <w:t>2.2 Recurrent Models for Agricultural Time Series</w:t>
      </w:r>
    </w:p>
    <w:p>
      <w:pPr>
        <w:spacing w:after="120"/>
        <w:ind w:firstLine="0"/>
      </w:pPr>
      <w:r>
        <w:rPr>
          <w:rFonts w:ascii="Calibri" w:hAnsi="Calibri"/>
          <w:b w:val="0"/>
          <w:i w:val="0"/>
          <w:sz w:val="22"/>
        </w:rPr>
        <w:t>Khaki and Wang (2019) applied LSTM networks to corn yield prediction across US counties, reporting R² improvements of 12–18% over Random Forest baselines by incorporating weather sequences. Their architecture used a single-direction LSTM; the present work extends this with bidirectional processing and additive attention.</w:t>
      </w:r>
    </w:p>
    <w:p>
      <w:pPr>
        <w:spacing w:after="120"/>
        <w:ind w:firstLine="0"/>
      </w:pPr>
      <w:r>
        <w:rPr>
          <w:rFonts w:ascii="Calibri" w:hAnsi="Calibri"/>
          <w:b w:val="0"/>
          <w:i w:val="0"/>
          <w:sz w:val="22"/>
        </w:rPr>
        <w:t>Shen (2018) demonstrated that LSTM networks trained on multi-year climate sequences can capture non-stationary relationships between climate variables and crop outcomes — a capability that single-year models fundamentally lack. This work provided the theoretical grounding for the claim that temporal context adds predictive value beyond what feature engineering can recover.</w:t>
      </w:r>
    </w:p>
    <w:p>
      <w:pPr>
        <w:spacing w:before="240" w:after="60"/>
      </w:pPr>
      <w:r>
        <w:rPr>
          <w:rFonts w:ascii="Calibri" w:hAnsi="Calibri"/>
          <w:b/>
          <w:i w:val="0"/>
          <w:color w:val="2E75B6"/>
          <w:sz w:val="24"/>
        </w:rPr>
        <w:t>2.3 Attention Mechanisms in Agricultural ML</w:t>
      </w:r>
    </w:p>
    <w:p>
      <w:pPr>
        <w:spacing w:after="120"/>
        <w:ind w:firstLine="0"/>
      </w:pPr>
      <w:r>
        <w:rPr>
          <w:rFonts w:ascii="Calibri" w:hAnsi="Calibri"/>
          <w:b w:val="0"/>
          <w:i w:val="0"/>
          <w:sz w:val="22"/>
        </w:rPr>
        <w:t>The additive attention mechanism used in this project is based on Bahdanau et al. (2015), originally developed for neural machine translation. The mechanism computes a scalar weight α_t for each timestep, enabling the model to focus on the most informative years within the lookback window. Xu et al. (2019) applied attention-augmented LSTMs to soil moisture prediction and found that attention weights correlate meaningfully with known physical mechanisms, validating the interpretability claims made for attention-based crop yield models.</w:t>
      </w:r>
    </w:p>
    <w:p>
      <w:pPr>
        <w:spacing w:before="240" w:after="60"/>
      </w:pPr>
      <w:r>
        <w:rPr>
          <w:rFonts w:ascii="Calibri" w:hAnsi="Calibri"/>
          <w:b/>
          <w:i w:val="0"/>
          <w:color w:val="2E75B6"/>
          <w:sz w:val="24"/>
        </w:rPr>
        <w:t>2.4 Gap This Project Fills</w:t>
      </w:r>
    </w:p>
    <w:p>
      <w:pPr>
        <w:spacing w:after="120"/>
        <w:ind w:firstLine="0"/>
      </w:pPr>
      <w:r>
        <w:rPr>
          <w:rFonts w:ascii="Calibri" w:hAnsi="Calibri"/>
          <w:b w:val="0"/>
          <w:i w:val="0"/>
          <w:sz w:val="22"/>
        </w:rPr>
        <w:t>Existing deep learning work on crop yield prediction is primarily single-country or single-crop, limiting generalisability. This project applies BiLSTM + Attention to a 101-country, 10-crop dataset, the largest scope in the reviewed literature. The combination of per-crop target normalisation (from Phase 1) with temporal sequence modelling has not been explicitly reported in the reviewed papers, representing a methodological contribution of this work.</w:t>
      </w:r>
    </w:p>
    <w:p>
      <w:pPr>
        <w:spacing w:before="360" w:after="80"/>
        <w:pBdr>
          <w:bottom w:val="single" w:sz="6" w:space="1" w:color="2E75B6"/>
        </w:pBdr>
      </w:pPr>
      <w:r>
        <w:rPr>
          <w:rFonts w:ascii="Calibri" w:hAnsi="Calibri"/>
          <w:b/>
          <w:i w:val="0"/>
          <w:color w:val="1F4E79"/>
          <w:sz w:val="30"/>
        </w:rPr>
        <w:t>3. Data Preparation for Sequence Modelling</w:t>
      </w:r>
    </w:p>
    <w:p>
      <w:pPr>
        <w:spacing w:before="240" w:after="60"/>
      </w:pPr>
      <w:r>
        <w:rPr>
          <w:rFonts w:ascii="Calibri" w:hAnsi="Calibri"/>
          <w:b/>
          <w:i w:val="0"/>
          <w:color w:val="2E75B6"/>
          <w:sz w:val="24"/>
        </w:rPr>
        <w:t>3.1 Dataset Recap</w:t>
      </w:r>
    </w:p>
    <w:p>
      <w:pPr>
        <w:spacing w:after="120"/>
        <w:ind w:firstLine="0"/>
      </w:pPr>
      <w:r>
        <w:rPr>
          <w:rFonts w:ascii="Calibri" w:hAnsi="Calibri"/>
          <w:b w:val="0"/>
          <w:i w:val="0"/>
          <w:sz w:val="22"/>
        </w:rPr>
        <w:t>The dataset used is identical to Phase 1: 25,932 rows (after deduplication) covering 101 countries, 10 crop types, and years 1990–2013. Each row contains country, crop, year, rainfall_mm, avg_temp, pesticides_tonnes, and yield_tonnes_per_ha. The features_dataset.csv additionally contains three engineered features from Phase 1: rainfall_temp_ratio, log_pesticides, and heat_stress_index.</w:t>
      </w:r>
    </w:p>
    <w:p>
      <w:pPr>
        <w:spacing w:before="240" w:after="60"/>
      </w:pPr>
      <w:r>
        <w:rPr>
          <w:rFonts w:ascii="Calibri" w:hAnsi="Calibri"/>
          <w:b/>
          <w:i w:val="0"/>
          <w:color w:val="2E75B6"/>
          <w:sz w:val="24"/>
        </w:rPr>
        <w:t>3.2 Lookback Sequence Construction</w:t>
      </w:r>
    </w:p>
    <w:p>
      <w:pPr>
        <w:spacing w:after="120"/>
        <w:ind w:firstLine="0"/>
      </w:pPr>
      <w:r>
        <w:rPr>
          <w:rFonts w:ascii="Calibri" w:hAnsi="Calibri"/>
          <w:b w:val="0"/>
          <w:i w:val="0"/>
          <w:sz w:val="22"/>
        </w:rPr>
        <w:t>The tabular dataset is converted to temporal sequences as follows. For each (country, crop) group sorted by year, a sliding window of width LOOKBACK=5 is applied. The sample at position t receives a sequence containing the temporal feature values from year t-4 through year t (inclusive). When fewer than 5 years of history exist — which occurs for the first 4 years in each group (1990–1993) — the window is left-padded with zero vectors of the same feature dimension.</w:t>
      </w:r>
    </w:p>
    <w:p>
      <w:pPr>
        <w:spacing w:after="120"/>
        <w:ind w:firstLine="0"/>
      </w:pPr>
      <w:r>
        <w:rPr>
          <w:rFonts w:ascii="Calibri" w:hAnsi="Calibri"/>
          <w:b w:val="0"/>
          <w:i w:val="0"/>
          <w:sz w:val="22"/>
        </w:rPr>
        <w:t>This produces N = 25,932 sequences, each of shape (5, 5): 5 timesteps × 5 temporal features. Static features (country_enc, crop_enc) are stored separately as a (25,932, 2) array and passed to the model through a different pathway.</w:t>
      </w:r>
    </w:p>
    <w:tbl>
      <w:tblPr>
        <w:tblStyle w:val="TableGrid"/>
        <w:tblW w:type="auto" w:w="0"/>
        <w:jc w:val="center"/>
        <w:tblLook w:firstColumn="1" w:firstRow="1" w:lastColumn="0" w:lastRow="0" w:noHBand="0" w:noVBand="1" w:val="04A0"/>
      </w:tblPr>
      <w:tblGrid>
        <w:gridCol w:w="2976"/>
        <w:gridCol w:w="2976"/>
        <w:gridCol w:w="2976"/>
      </w:tblGrid>
      <w:tr>
        <w:tc>
          <w:tcPr>
            <w:tcW w:type="dxa" w:w="2592"/>
            <w:shd w:val="clear" w:color="auto" w:fill="1F4E79"/>
          </w:tcPr>
          <w:p>
            <w:pPr>
              <w:jc w:val="center"/>
            </w:pPr>
            <w:r>
              <w:rPr>
                <w:rFonts w:ascii="Calibri" w:hAnsi="Calibri"/>
                <w:b/>
                <w:i w:val="0"/>
                <w:color w:val="FFFFFF"/>
                <w:sz w:val="20"/>
              </w:rPr>
              <w:t>Component</w:t>
            </w:r>
          </w:p>
        </w:tc>
        <w:tc>
          <w:tcPr>
            <w:tcW w:type="dxa" w:w="2160"/>
            <w:shd w:val="clear" w:color="auto" w:fill="1F4E79"/>
          </w:tcPr>
          <w:p>
            <w:pPr>
              <w:jc w:val="center"/>
            </w:pPr>
            <w:r>
              <w:rPr>
                <w:rFonts w:ascii="Calibri" w:hAnsi="Calibri"/>
                <w:b/>
                <w:i w:val="0"/>
                <w:color w:val="FFFFFF"/>
                <w:sz w:val="20"/>
              </w:rPr>
              <w:t>Shape</w:t>
            </w:r>
          </w:p>
        </w:tc>
        <w:tc>
          <w:tcPr>
            <w:tcW w:type="dxa" w:w="5328"/>
            <w:shd w:val="clear" w:color="auto" w:fill="1F4E79"/>
          </w:tcPr>
          <w:p>
            <w:pPr>
              <w:jc w:val="center"/>
            </w:pPr>
            <w:r>
              <w:rPr>
                <w:rFonts w:ascii="Calibri" w:hAnsi="Calibri"/>
                <w:b/>
                <w:i w:val="0"/>
                <w:color w:val="FFFFFF"/>
                <w:sz w:val="20"/>
              </w:rPr>
              <w:t>Description</w:t>
            </w:r>
          </w:p>
        </w:tc>
      </w:tr>
      <w:tr>
        <w:tc>
          <w:tcPr>
            <w:tcW w:type="dxa" w:w="2592"/>
            <w:shd w:val="clear" w:color="auto" w:fill="F0F4F8"/>
          </w:tcPr>
          <w:p>
            <w:pPr>
              <w:jc w:val="left"/>
            </w:pPr>
            <w:r>
              <w:rPr>
                <w:rFonts w:ascii="Calibri" w:hAnsi="Calibri"/>
                <w:b w:val="0"/>
                <w:i w:val="0"/>
                <w:sz w:val="20"/>
              </w:rPr>
              <w:t>Temporal sequences</w:t>
            </w:r>
          </w:p>
        </w:tc>
        <w:tc>
          <w:tcPr>
            <w:tcW w:type="dxa" w:w="2160"/>
            <w:shd w:val="clear" w:color="auto" w:fill="F0F4F8"/>
          </w:tcPr>
          <w:p>
            <w:pPr>
              <w:jc w:val="left"/>
            </w:pPr>
            <w:r>
              <w:rPr>
                <w:rFonts w:ascii="Calibri" w:hAnsi="Calibri"/>
                <w:b w:val="0"/>
                <w:i w:val="0"/>
                <w:sz w:val="20"/>
              </w:rPr>
              <w:t>(25,932, 5, 5)</w:t>
            </w:r>
          </w:p>
        </w:tc>
        <w:tc>
          <w:tcPr>
            <w:tcW w:type="dxa" w:w="5328"/>
            <w:shd w:val="clear" w:color="auto" w:fill="F0F4F8"/>
          </w:tcPr>
          <w:p>
            <w:pPr>
              <w:jc w:val="left"/>
            </w:pPr>
            <w:r>
              <w:rPr>
                <w:rFonts w:ascii="Calibri" w:hAnsi="Calibri"/>
                <w:b w:val="0"/>
                <w:i w:val="0"/>
                <w:sz w:val="20"/>
              </w:rPr>
              <w:t>5 timesteps × 5 climate features per row</w:t>
            </w:r>
          </w:p>
        </w:tc>
      </w:tr>
      <w:tr>
        <w:tc>
          <w:tcPr>
            <w:tcW w:type="dxa" w:w="2592"/>
            <w:shd w:val="clear" w:color="auto" w:fill="FFFFFF"/>
          </w:tcPr>
          <w:p>
            <w:pPr>
              <w:jc w:val="left"/>
            </w:pPr>
            <w:r>
              <w:rPr>
                <w:rFonts w:ascii="Calibri" w:hAnsi="Calibri"/>
                <w:b w:val="0"/>
                <w:i w:val="0"/>
                <w:sz w:val="20"/>
              </w:rPr>
              <w:t>Static features</w:t>
            </w:r>
          </w:p>
        </w:tc>
        <w:tc>
          <w:tcPr>
            <w:tcW w:type="dxa" w:w="2160"/>
            <w:shd w:val="clear" w:color="auto" w:fill="FFFFFF"/>
          </w:tcPr>
          <w:p>
            <w:pPr>
              <w:jc w:val="left"/>
            </w:pPr>
            <w:r>
              <w:rPr>
                <w:rFonts w:ascii="Calibri" w:hAnsi="Calibri"/>
                <w:b w:val="0"/>
                <w:i w:val="0"/>
                <w:sz w:val="20"/>
              </w:rPr>
              <w:t>(25,932, 2)</w:t>
            </w:r>
          </w:p>
        </w:tc>
        <w:tc>
          <w:tcPr>
            <w:tcW w:type="dxa" w:w="5328"/>
            <w:shd w:val="clear" w:color="auto" w:fill="FFFFFF"/>
          </w:tcPr>
          <w:p>
            <w:pPr>
              <w:jc w:val="left"/>
            </w:pPr>
            <w:r>
              <w:rPr>
                <w:rFonts w:ascii="Calibri" w:hAnsi="Calibri"/>
                <w:b w:val="0"/>
                <w:i w:val="0"/>
                <w:sz w:val="20"/>
              </w:rPr>
              <w:t>country_enc, crop_enc — passed via skip connection</w:t>
            </w:r>
          </w:p>
        </w:tc>
      </w:tr>
      <w:tr>
        <w:tc>
          <w:tcPr>
            <w:tcW w:type="dxa" w:w="2592"/>
            <w:shd w:val="clear" w:color="auto" w:fill="F0F4F8"/>
          </w:tcPr>
          <w:p>
            <w:pPr>
              <w:jc w:val="left"/>
            </w:pPr>
            <w:r>
              <w:rPr>
                <w:rFonts w:ascii="Calibri" w:hAnsi="Calibri"/>
                <w:b w:val="0"/>
                <w:i w:val="0"/>
                <w:sz w:val="20"/>
              </w:rPr>
              <w:t>Targets (original)</w:t>
            </w:r>
          </w:p>
        </w:tc>
        <w:tc>
          <w:tcPr>
            <w:tcW w:type="dxa" w:w="2160"/>
            <w:shd w:val="clear" w:color="auto" w:fill="F0F4F8"/>
          </w:tcPr>
          <w:p>
            <w:pPr>
              <w:jc w:val="left"/>
            </w:pPr>
            <w:r>
              <w:rPr>
                <w:rFonts w:ascii="Calibri" w:hAnsi="Calibri"/>
                <w:b w:val="0"/>
                <w:i w:val="0"/>
                <w:sz w:val="20"/>
              </w:rPr>
              <w:t>(25,932,)</w:t>
            </w:r>
          </w:p>
        </w:tc>
        <w:tc>
          <w:tcPr>
            <w:tcW w:type="dxa" w:w="5328"/>
            <w:shd w:val="clear" w:color="auto" w:fill="F0F4F8"/>
          </w:tcPr>
          <w:p>
            <w:pPr>
              <w:jc w:val="left"/>
            </w:pPr>
            <w:r>
              <w:rPr>
                <w:rFonts w:ascii="Calibri" w:hAnsi="Calibri"/>
                <w:b w:val="0"/>
                <w:i w:val="0"/>
                <w:sz w:val="20"/>
              </w:rPr>
              <w:t>yield_tonnes_per_ha in t/ha</w:t>
            </w:r>
          </w:p>
        </w:tc>
      </w:tr>
      <w:tr>
        <w:tc>
          <w:tcPr>
            <w:tcW w:type="dxa" w:w="2592"/>
            <w:shd w:val="clear" w:color="auto" w:fill="FFFFFF"/>
          </w:tcPr>
          <w:p>
            <w:pPr>
              <w:jc w:val="left"/>
            </w:pPr>
            <w:r>
              <w:rPr>
                <w:rFonts w:ascii="Calibri" w:hAnsi="Calibri"/>
                <w:b w:val="0"/>
                <w:i w:val="0"/>
                <w:sz w:val="20"/>
              </w:rPr>
              <w:t>Targets (normalised)</w:t>
            </w:r>
          </w:p>
        </w:tc>
        <w:tc>
          <w:tcPr>
            <w:tcW w:type="dxa" w:w="2160"/>
            <w:shd w:val="clear" w:color="auto" w:fill="FFFFFF"/>
          </w:tcPr>
          <w:p>
            <w:pPr>
              <w:jc w:val="left"/>
            </w:pPr>
            <w:r>
              <w:rPr>
                <w:rFonts w:ascii="Calibri" w:hAnsi="Calibri"/>
                <w:b w:val="0"/>
                <w:i w:val="0"/>
                <w:sz w:val="20"/>
              </w:rPr>
              <w:t>(25,932,)</w:t>
            </w:r>
          </w:p>
        </w:tc>
        <w:tc>
          <w:tcPr>
            <w:tcW w:type="dxa" w:w="5328"/>
            <w:shd w:val="clear" w:color="auto" w:fill="FFFFFF"/>
          </w:tcPr>
          <w:p>
            <w:pPr>
              <w:jc w:val="left"/>
            </w:pPr>
            <w:r>
              <w:rPr>
                <w:rFonts w:ascii="Calibri" w:hAnsi="Calibri"/>
                <w:b w:val="0"/>
                <w:i w:val="0"/>
                <w:sz w:val="20"/>
              </w:rPr>
              <w:t>Per-crop z-score: (yield − crop_mean) / crop_std</w:t>
            </w:r>
          </w:p>
        </w:tc>
      </w:tr>
      <w:tr>
        <w:tc>
          <w:tcPr>
            <w:tcW w:type="dxa" w:w="2592"/>
            <w:shd w:val="clear" w:color="auto" w:fill="F0F4F8"/>
          </w:tcPr>
          <w:p>
            <w:pPr>
              <w:jc w:val="left"/>
            </w:pPr>
            <w:r>
              <w:rPr>
                <w:rFonts w:ascii="Calibri" w:hAnsi="Calibri"/>
                <w:b w:val="0"/>
                <w:i w:val="0"/>
                <w:sz w:val="20"/>
              </w:rPr>
              <w:t>Crop means</w:t>
            </w:r>
          </w:p>
        </w:tc>
        <w:tc>
          <w:tcPr>
            <w:tcW w:type="dxa" w:w="2160"/>
            <w:shd w:val="clear" w:color="auto" w:fill="F0F4F8"/>
          </w:tcPr>
          <w:p>
            <w:pPr>
              <w:jc w:val="left"/>
            </w:pPr>
            <w:r>
              <w:rPr>
                <w:rFonts w:ascii="Calibri" w:hAnsi="Calibri"/>
                <w:b w:val="0"/>
                <w:i w:val="0"/>
                <w:sz w:val="20"/>
              </w:rPr>
              <w:t>(25,932,)</w:t>
            </w:r>
          </w:p>
        </w:tc>
        <w:tc>
          <w:tcPr>
            <w:tcW w:type="dxa" w:w="5328"/>
            <w:shd w:val="clear" w:color="auto" w:fill="F0F4F8"/>
          </w:tcPr>
          <w:p>
            <w:pPr>
              <w:jc w:val="left"/>
            </w:pPr>
            <w:r>
              <w:rPr>
                <w:rFonts w:ascii="Calibri" w:hAnsi="Calibri"/>
                <w:b w:val="0"/>
                <w:i w:val="0"/>
                <w:sz w:val="20"/>
              </w:rPr>
              <w:t>Per-row crop mean for inverse transform at inference</w:t>
            </w:r>
          </w:p>
        </w:tc>
      </w:tr>
      <w:tr>
        <w:tc>
          <w:tcPr>
            <w:tcW w:type="dxa" w:w="2592"/>
            <w:shd w:val="clear" w:color="auto" w:fill="FFFFFF"/>
          </w:tcPr>
          <w:p>
            <w:pPr>
              <w:jc w:val="left"/>
            </w:pPr>
            <w:r>
              <w:rPr>
                <w:rFonts w:ascii="Calibri" w:hAnsi="Calibri"/>
                <w:b w:val="0"/>
                <w:i w:val="0"/>
                <w:sz w:val="20"/>
              </w:rPr>
              <w:t>Crop stds</w:t>
            </w:r>
          </w:p>
        </w:tc>
        <w:tc>
          <w:tcPr>
            <w:tcW w:type="dxa" w:w="2160"/>
            <w:shd w:val="clear" w:color="auto" w:fill="FFFFFF"/>
          </w:tcPr>
          <w:p>
            <w:pPr>
              <w:jc w:val="left"/>
            </w:pPr>
            <w:r>
              <w:rPr>
                <w:rFonts w:ascii="Calibri" w:hAnsi="Calibri"/>
                <w:b w:val="0"/>
                <w:i w:val="0"/>
                <w:sz w:val="20"/>
              </w:rPr>
              <w:t>(25,932,)</w:t>
            </w:r>
          </w:p>
        </w:tc>
        <w:tc>
          <w:tcPr>
            <w:tcW w:type="dxa" w:w="5328"/>
            <w:shd w:val="clear" w:color="auto" w:fill="FFFFFF"/>
          </w:tcPr>
          <w:p>
            <w:pPr>
              <w:jc w:val="left"/>
            </w:pPr>
            <w:r>
              <w:rPr>
                <w:rFonts w:ascii="Calibri" w:hAnsi="Calibri"/>
                <w:b w:val="0"/>
                <w:i w:val="0"/>
                <w:sz w:val="20"/>
              </w:rPr>
              <w:t>Per-row crop std for inverse transform at inference</w:t>
            </w:r>
          </w:p>
        </w:tc>
      </w:tr>
    </w:tbl>
    <w:p/>
    <w:p>
      <w:pPr>
        <w:spacing w:before="240" w:after="60"/>
      </w:pPr>
      <w:r>
        <w:rPr>
          <w:rFonts w:ascii="Calibri" w:hAnsi="Calibri"/>
          <w:b/>
          <w:i w:val="0"/>
          <w:color w:val="2E75B6"/>
          <w:sz w:val="24"/>
        </w:rPr>
        <w:t>3.3 Per-Crop Target Normalisation</w:t>
      </w:r>
    </w:p>
    <w:p>
      <w:pPr>
        <w:spacing w:after="120"/>
        <w:ind w:firstLine="0"/>
      </w:pPr>
      <w:r>
        <w:rPr>
          <w:rFonts w:ascii="Calibri" w:hAnsi="Calibri"/>
          <w:b w:val="0"/>
          <w:i w:val="0"/>
          <w:sz w:val="22"/>
        </w:rPr>
        <w:t>Following the Phase 1 design, the target variable is normalised within each crop group before training. The formula yield_norm = (yield − crop_mean) / crop_std converts raw yield values to z-scores within each crop's distribution. This ensures the model learns climate effects within crops — how yield deviates from the crop's typical performance — rather than the trivial fact that some crops produce more than others.</w:t>
      </w:r>
    </w:p>
    <w:p>
      <w:pPr>
        <w:spacing w:after="120"/>
        <w:ind w:firstLine="0"/>
      </w:pPr>
      <w:r>
        <w:rPr>
          <w:rFonts w:ascii="Calibri" w:hAnsi="Calibri"/>
          <w:b w:val="0"/>
          <w:i w:val="0"/>
          <w:sz w:val="22"/>
        </w:rPr>
        <w:t>At inference time, predictions are inverse-transformed: yield = (pred_norm × crop_std) + crop_mean. The crop_mean and crop_std are aligned with each sequence row and are never used during model training — they are only applied post-hoc.</w:t>
      </w:r>
    </w:p>
    <w:p>
      <w:pPr>
        <w:spacing w:before="240" w:after="60"/>
      </w:pPr>
      <w:r>
        <w:rPr>
          <w:rFonts w:ascii="Calibri" w:hAnsi="Calibri"/>
          <w:b/>
          <w:i w:val="0"/>
          <w:color w:val="2E75B6"/>
          <w:sz w:val="24"/>
        </w:rPr>
        <w:t>3.4 Train/Validation/Test Split</w:t>
      </w:r>
    </w:p>
    <w:p>
      <w:pPr>
        <w:spacing w:after="120"/>
        <w:ind w:firstLine="0"/>
      </w:pPr>
      <w:r>
        <w:rPr>
          <w:rFonts w:ascii="Calibri" w:hAnsi="Calibri"/>
          <w:b w:val="0"/>
          <w:i w:val="0"/>
          <w:sz w:val="22"/>
        </w:rPr>
        <w:t>A stratified 70/15/15 split is applied using the crop label as the stratification key. This ensures every crop type is represented in training, validation, and test sets in proportion to its frequency in the full dataset. Using a purely random split risks leaving some crops entirely absent from validation, making it impossible to detect crop-specific overfitting during training.</w:t>
      </w:r>
    </w:p>
    <w:p>
      <w:pPr>
        <w:spacing w:after="120"/>
        <w:ind w:firstLine="0"/>
      </w:pPr>
      <w:r>
        <w:rPr>
          <w:rFonts w:ascii="Calibri" w:hAnsi="Calibri"/>
          <w:b w:val="0"/>
          <w:i w:val="0"/>
          <w:sz w:val="22"/>
        </w:rPr>
        <w:t>Feature scaling (StandardScaler) is fit exclusively on training sequences, then applied to validation and test sequences. Fitting the scaler on all data would constitute data leakage, as the scaler would encode information about the test distribution into the model's input normalisation.</w:t>
      </w:r>
    </w:p>
    <w:p>
      <w:pPr>
        <w:spacing w:before="360" w:after="80"/>
        <w:pBdr>
          <w:bottom w:val="single" w:sz="6" w:space="1" w:color="2E75B6"/>
        </w:pBdr>
      </w:pPr>
      <w:r>
        <w:rPr>
          <w:rFonts w:ascii="Calibri" w:hAnsi="Calibri"/>
          <w:b/>
          <w:i w:val="0"/>
          <w:color w:val="1F4E79"/>
          <w:sz w:val="30"/>
        </w:rPr>
        <w:t>4. Model Architecture</w:t>
      </w:r>
    </w:p>
    <w:p>
      <w:pPr>
        <w:spacing w:after="120"/>
        <w:ind w:firstLine="0"/>
      </w:pPr>
      <w:r>
        <w:rPr>
          <w:rFonts w:ascii="Calibri" w:hAnsi="Calibri"/>
          <w:b w:val="0"/>
          <w:i w:val="0"/>
          <w:sz w:val="22"/>
        </w:rPr>
        <w:t>The architecture consists of four components arranged in series with one parallel bypass: a 2-layer Bidirectional LSTM, a Temporal Attention module, a 2-layer dense head with batch normalisation, and a static feature skip connection.</w:t>
      </w:r>
    </w:p>
    <w:p>
      <w:pPr>
        <w:spacing w:before="240" w:after="60"/>
      </w:pPr>
      <w:r>
        <w:rPr>
          <w:rFonts w:ascii="Calibri" w:hAnsi="Calibri"/>
          <w:b/>
          <w:i w:val="0"/>
          <w:color w:val="2E75B6"/>
          <w:sz w:val="24"/>
        </w:rPr>
        <w:t>4.1 Bidirectional LSTM</w:t>
      </w:r>
    </w:p>
    <w:p>
      <w:pPr>
        <w:spacing w:after="120"/>
        <w:ind w:firstLine="0"/>
      </w:pPr>
      <w:r>
        <w:rPr>
          <w:rFonts w:ascii="Calibri" w:hAnsi="Calibri"/>
          <w:b w:val="0"/>
          <w:i w:val="0"/>
          <w:sz w:val="22"/>
        </w:rPr>
        <w:t>The LSTM processes the 5-year temporal feature sequence (B, 5, 5) and produces hidden states (B, 5, 128). The bidirectional configuration runs two LSTM stacks simultaneously: a forward pass reading from t-4 to t, and a backward pass reading from t to t-4. The hidden states from both directions are concatenated at each timestep, producing a 128-dimensional representation per timestep (64 from each direction).</w:t>
      </w:r>
    </w:p>
    <w:p>
      <w:pPr>
        <w:spacing w:after="120"/>
        <w:ind w:firstLine="0"/>
      </w:pPr>
      <w:r>
        <w:rPr>
          <w:rFonts w:ascii="Calibri" w:hAnsi="Calibri"/>
          <w:b w:val="0"/>
          <w:i w:val="0"/>
          <w:sz w:val="22"/>
        </w:rPr>
        <w:t>Two LSTM layers are stacked, with dropout=0.3 applied between layers. The first layer learns low-level patterns (individual year anomalies); the second layer learns higher-level temporal abstractions (multi-year trends and turning points). Gradient clipping at max_norm=1.0 is applied during training to prevent the exploding gradient problem that can destabilise LSTM training on longer sequences.</w:t>
      </w:r>
    </w:p>
    <w:p>
      <w:pPr>
        <w:spacing w:before="240" w:after="60"/>
      </w:pPr>
      <w:r>
        <w:rPr>
          <w:rFonts w:ascii="Calibri" w:hAnsi="Calibri"/>
          <w:b/>
          <w:i w:val="0"/>
          <w:color w:val="2E75B6"/>
          <w:sz w:val="24"/>
        </w:rPr>
        <w:t>4.2 Temporal Attention</w:t>
      </w:r>
    </w:p>
    <w:p>
      <w:pPr>
        <w:spacing w:after="120"/>
        <w:ind w:firstLine="0"/>
      </w:pPr>
      <w:r>
        <w:rPr>
          <w:rFonts w:ascii="Calibri" w:hAnsi="Calibri"/>
          <w:b w:val="0"/>
          <w:i w:val="0"/>
          <w:sz w:val="22"/>
        </w:rPr>
        <w:t>The attention module receives the full sequence of LSTM hidden states (B, 5, 128) and computes a weighted sum, reducing the temporal dimension to a single context vector (B, 128).</w:t>
      </w:r>
    </w:p>
    <w:p>
      <w:pPr>
        <w:spacing w:after="120"/>
        <w:ind w:firstLine="0"/>
      </w:pPr>
      <w:r>
        <w:rPr>
          <w:rFonts w:ascii="Calibri" w:hAnsi="Calibri"/>
          <w:b w:val="0"/>
          <w:i w:val="0"/>
          <w:sz w:val="22"/>
        </w:rPr>
        <w:t>The computation follows the additive (Bahdanau-style) mechanism:</w:t>
      </w:r>
    </w:p>
    <w:p>
      <w:pPr>
        <w:pStyle w:val="ListBullet"/>
        <w:spacing w:after="60"/>
        <w:ind w:left="432"/>
      </w:pPr>
      <w:r>
        <w:rPr>
          <w:rFonts w:ascii="Calibri" w:hAnsi="Calibri"/>
          <w:b w:val="0"/>
          <w:i w:val="0"/>
          <w:sz w:val="22"/>
        </w:rPr>
        <w:t>score_t = v · tanh(W · h_t)   where W ∈ R^{128×128}, v ∈ R^128</w:t>
      </w:r>
    </w:p>
    <w:p>
      <w:pPr>
        <w:pStyle w:val="ListBullet"/>
        <w:spacing w:after="60"/>
        <w:ind w:left="432"/>
      </w:pPr>
      <w:r>
        <w:rPr>
          <w:rFonts w:ascii="Calibri" w:hAnsi="Calibri"/>
          <w:b w:val="0"/>
          <w:i w:val="0"/>
          <w:sz w:val="22"/>
        </w:rPr>
        <w:t>α = softmax(scores)            α ∈ R^5, elements sum to 1</w:t>
      </w:r>
    </w:p>
    <w:p>
      <w:pPr>
        <w:pStyle w:val="ListBullet"/>
        <w:spacing w:after="60"/>
        <w:ind w:left="432"/>
      </w:pPr>
      <w:r>
        <w:rPr>
          <w:rFonts w:ascii="Calibri" w:hAnsi="Calibri"/>
          <w:b w:val="0"/>
          <w:i w:val="0"/>
          <w:sz w:val="22"/>
        </w:rPr>
        <w:t>context = Σ_t α_t × h_t       weighted sum over 5 timesteps → R^128</w:t>
      </w:r>
    </w:p>
    <w:p>
      <w:pPr>
        <w:spacing w:after="120"/>
        <w:ind w:firstLine="0"/>
      </w:pPr>
      <w:r>
        <w:rPr>
          <w:rFonts w:ascii="Calibri" w:hAnsi="Calibri"/>
          <w:b w:val="0"/>
          <w:i w:val="0"/>
          <w:sz w:val="22"/>
        </w:rPr>
        <w:t>The learned weights α represent a probability distribution over the 5 lookback years, interpretable as: 'what fraction of the model's focus goes to each historical year?' These weights are visualised in the attention heatmap plots.</w:t>
      </w:r>
    </w:p>
    <w:p>
      <w:pPr>
        <w:spacing w:before="240" w:after="60"/>
      </w:pPr>
      <w:r>
        <w:rPr>
          <w:rFonts w:ascii="Calibri" w:hAnsi="Calibri"/>
          <w:b/>
          <w:i w:val="0"/>
          <w:color w:val="2E75B6"/>
          <w:sz w:val="24"/>
        </w:rPr>
        <w:t>4.3 Dense Head and Skip Connection</w:t>
      </w:r>
    </w:p>
    <w:p>
      <w:pPr>
        <w:spacing w:after="120"/>
        <w:ind w:firstLine="0"/>
      </w:pPr>
      <w:r>
        <w:rPr>
          <w:rFonts w:ascii="Calibri" w:hAnsi="Calibri"/>
          <w:b w:val="0"/>
          <w:i w:val="0"/>
          <w:sz w:val="22"/>
        </w:rPr>
        <w:t>The context vector (B, 128) is concatenated with the static features (B, 2) to form a (B, 130) input to the dense layers. Two fully connected layers reduce the dimensionality: 130 → 128 (with BatchNorm and Dropout) → 64 (with BatchNorm).</w:t>
      </w:r>
    </w:p>
    <w:p>
      <w:pPr>
        <w:spacing w:after="120"/>
        <w:ind w:firstLine="0"/>
      </w:pPr>
      <w:r>
        <w:rPr>
          <w:rFonts w:ascii="Calibri" w:hAnsi="Calibri"/>
          <w:b w:val="0"/>
          <w:i w:val="0"/>
          <w:sz w:val="22"/>
        </w:rPr>
        <w:t>A skip connection adds a linear projection of the static features directly to the 64-dim representation: x = Dense(64)(context + static) + Linear(2→64)(static). This separates two distinct signals: the LSTM and attention layers focus on climate deviation patterns that are domain-invariant, while the skip path carries country and crop baseline identity directly to the prediction layer without requiring the LSTM to memorise it.</w:t>
      </w:r>
    </w:p>
    <w:p>
      <w:pPr>
        <w:spacing w:after="120"/>
        <w:ind w:firstLine="0"/>
      </w:pPr>
      <w:r>
        <w:rPr>
          <w:rFonts w:ascii="Calibri" w:hAnsi="Calibri"/>
          <w:b w:val="0"/>
          <w:i w:val="0"/>
          <w:sz w:val="22"/>
        </w:rPr>
        <w:t>The final layer Dense(64 → 1) produces a scalar normalised yield prediction.</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592"/>
            <w:shd w:val="clear" w:color="auto" w:fill="1F4E79"/>
          </w:tcPr>
          <w:p>
            <w:pPr>
              <w:jc w:val="center"/>
            </w:pPr>
            <w:r>
              <w:rPr>
                <w:rFonts w:ascii="Calibri" w:hAnsi="Calibri"/>
                <w:b/>
                <w:i w:val="0"/>
                <w:color w:val="FFFFFF"/>
                <w:sz w:val="20"/>
              </w:rPr>
              <w:t>Layer</w:t>
            </w:r>
          </w:p>
        </w:tc>
        <w:tc>
          <w:tcPr>
            <w:tcW w:type="dxa" w:w="1728"/>
            <w:shd w:val="clear" w:color="auto" w:fill="1F4E79"/>
          </w:tcPr>
          <w:p>
            <w:pPr>
              <w:jc w:val="center"/>
            </w:pPr>
            <w:r>
              <w:rPr>
                <w:rFonts w:ascii="Calibri" w:hAnsi="Calibri"/>
                <w:b/>
                <w:i w:val="0"/>
                <w:color w:val="FFFFFF"/>
                <w:sz w:val="20"/>
              </w:rPr>
              <w:t>Input Shape</w:t>
            </w:r>
          </w:p>
        </w:tc>
        <w:tc>
          <w:tcPr>
            <w:tcW w:type="dxa" w:w="1728"/>
            <w:shd w:val="clear" w:color="auto" w:fill="1F4E79"/>
          </w:tcPr>
          <w:p>
            <w:pPr>
              <w:jc w:val="center"/>
            </w:pPr>
            <w:r>
              <w:rPr>
                <w:rFonts w:ascii="Calibri" w:hAnsi="Calibri"/>
                <w:b/>
                <w:i w:val="0"/>
                <w:color w:val="FFFFFF"/>
                <w:sz w:val="20"/>
              </w:rPr>
              <w:t>Output Shape</w:t>
            </w:r>
          </w:p>
        </w:tc>
        <w:tc>
          <w:tcPr>
            <w:tcW w:type="dxa" w:w="4032"/>
            <w:shd w:val="clear" w:color="auto" w:fill="1F4E79"/>
          </w:tcPr>
          <w:p>
            <w:pPr>
              <w:jc w:val="center"/>
            </w:pPr>
            <w:r>
              <w:rPr>
                <w:rFonts w:ascii="Calibri" w:hAnsi="Calibri"/>
                <w:b/>
                <w:i w:val="0"/>
                <w:color w:val="FFFFFF"/>
                <w:sz w:val="20"/>
              </w:rPr>
              <w:t>Notes</w:t>
            </w:r>
          </w:p>
        </w:tc>
      </w:tr>
      <w:tr>
        <w:tc>
          <w:tcPr>
            <w:tcW w:type="dxa" w:w="2592"/>
            <w:shd w:val="clear" w:color="auto" w:fill="F0F4F8"/>
          </w:tcPr>
          <w:p>
            <w:pPr>
              <w:jc w:val="left"/>
            </w:pPr>
            <w:r>
              <w:rPr>
                <w:rFonts w:ascii="Calibri" w:hAnsi="Calibri"/>
                <w:b w:val="0"/>
                <w:i w:val="0"/>
                <w:sz w:val="20"/>
              </w:rPr>
              <w:t>BiLSTM × 2</w:t>
            </w:r>
          </w:p>
        </w:tc>
        <w:tc>
          <w:tcPr>
            <w:tcW w:type="dxa" w:w="1728"/>
            <w:shd w:val="clear" w:color="auto" w:fill="F0F4F8"/>
          </w:tcPr>
          <w:p>
            <w:pPr>
              <w:jc w:val="left"/>
            </w:pPr>
            <w:r>
              <w:rPr>
                <w:rFonts w:ascii="Calibri" w:hAnsi="Calibri"/>
                <w:b w:val="0"/>
                <w:i w:val="0"/>
                <w:sz w:val="20"/>
              </w:rPr>
              <w:t>(B, 5, 5)</w:t>
            </w:r>
          </w:p>
        </w:tc>
        <w:tc>
          <w:tcPr>
            <w:tcW w:type="dxa" w:w="1728"/>
            <w:shd w:val="clear" w:color="auto" w:fill="F0F4F8"/>
          </w:tcPr>
          <w:p>
            <w:pPr>
              <w:jc w:val="left"/>
            </w:pPr>
            <w:r>
              <w:rPr>
                <w:rFonts w:ascii="Calibri" w:hAnsi="Calibri"/>
                <w:b w:val="0"/>
                <w:i w:val="0"/>
                <w:sz w:val="20"/>
              </w:rPr>
              <w:t>(B, 5, 128)</w:t>
            </w:r>
          </w:p>
        </w:tc>
        <w:tc>
          <w:tcPr>
            <w:tcW w:type="dxa" w:w="4032"/>
            <w:shd w:val="clear" w:color="auto" w:fill="F0F4F8"/>
          </w:tcPr>
          <w:p>
            <w:pPr>
              <w:jc w:val="left"/>
            </w:pPr>
            <w:r>
              <w:rPr>
                <w:rFonts w:ascii="Calibri" w:hAnsi="Calibri"/>
                <w:b w:val="0"/>
                <w:i w:val="0"/>
                <w:sz w:val="20"/>
              </w:rPr>
              <w:t>H=64, bidirectional, dropout=0.3 between layers</w:t>
            </w:r>
          </w:p>
        </w:tc>
      </w:tr>
      <w:tr>
        <w:tc>
          <w:tcPr>
            <w:tcW w:type="dxa" w:w="2592"/>
            <w:shd w:val="clear" w:color="auto" w:fill="FFFFFF"/>
          </w:tcPr>
          <w:p>
            <w:pPr>
              <w:jc w:val="left"/>
            </w:pPr>
            <w:r>
              <w:rPr>
                <w:rFonts w:ascii="Calibri" w:hAnsi="Calibri"/>
                <w:b w:val="0"/>
                <w:i w:val="0"/>
                <w:sz w:val="20"/>
              </w:rPr>
              <w:t>Temporal Attention</w:t>
            </w:r>
          </w:p>
        </w:tc>
        <w:tc>
          <w:tcPr>
            <w:tcW w:type="dxa" w:w="1728"/>
            <w:shd w:val="clear" w:color="auto" w:fill="FFFFFF"/>
          </w:tcPr>
          <w:p>
            <w:pPr>
              <w:jc w:val="left"/>
            </w:pPr>
            <w:r>
              <w:rPr>
                <w:rFonts w:ascii="Calibri" w:hAnsi="Calibri"/>
                <w:b w:val="0"/>
                <w:i w:val="0"/>
                <w:sz w:val="20"/>
              </w:rPr>
              <w:t>(B, 5, 128)</w:t>
            </w:r>
          </w:p>
        </w:tc>
        <w:tc>
          <w:tcPr>
            <w:tcW w:type="dxa" w:w="1728"/>
            <w:shd w:val="clear" w:color="auto" w:fill="FFFFFF"/>
          </w:tcPr>
          <w:p>
            <w:pPr>
              <w:jc w:val="left"/>
            </w:pPr>
            <w:r>
              <w:rPr>
                <w:rFonts w:ascii="Calibri" w:hAnsi="Calibri"/>
                <w:b w:val="0"/>
                <w:i w:val="0"/>
                <w:sz w:val="20"/>
              </w:rPr>
              <w:t>(B, 128)</w:t>
            </w:r>
          </w:p>
        </w:tc>
        <w:tc>
          <w:tcPr>
            <w:tcW w:type="dxa" w:w="4032"/>
            <w:shd w:val="clear" w:color="auto" w:fill="FFFFFF"/>
          </w:tcPr>
          <w:p>
            <w:pPr>
              <w:jc w:val="left"/>
            </w:pPr>
            <w:r>
              <w:rPr>
                <w:rFonts w:ascii="Calibri" w:hAnsi="Calibri"/>
                <w:b w:val="0"/>
                <w:i w:val="0"/>
                <w:sz w:val="20"/>
              </w:rPr>
              <w:t>Additive attention; also returns (B, 5) weight vector</w:t>
            </w:r>
          </w:p>
        </w:tc>
      </w:tr>
      <w:tr>
        <w:tc>
          <w:tcPr>
            <w:tcW w:type="dxa" w:w="2592"/>
            <w:shd w:val="clear" w:color="auto" w:fill="F0F4F8"/>
          </w:tcPr>
          <w:p>
            <w:pPr>
              <w:jc w:val="left"/>
            </w:pPr>
            <w:r>
              <w:rPr>
                <w:rFonts w:ascii="Calibri" w:hAnsi="Calibri"/>
                <w:b w:val="0"/>
                <w:i w:val="0"/>
                <w:sz w:val="20"/>
              </w:rPr>
              <w:t>Concat + static</w:t>
            </w:r>
          </w:p>
        </w:tc>
        <w:tc>
          <w:tcPr>
            <w:tcW w:type="dxa" w:w="1728"/>
            <w:shd w:val="clear" w:color="auto" w:fill="F0F4F8"/>
          </w:tcPr>
          <w:p>
            <w:pPr>
              <w:jc w:val="left"/>
            </w:pPr>
            <w:r>
              <w:rPr>
                <w:rFonts w:ascii="Calibri" w:hAnsi="Calibri"/>
                <w:b w:val="0"/>
                <w:i w:val="0"/>
                <w:sz w:val="20"/>
              </w:rPr>
              <w:t>(B, 130)</w:t>
            </w:r>
          </w:p>
        </w:tc>
        <w:tc>
          <w:tcPr>
            <w:tcW w:type="dxa" w:w="1728"/>
            <w:shd w:val="clear" w:color="auto" w:fill="F0F4F8"/>
          </w:tcPr>
          <w:p>
            <w:pPr>
              <w:jc w:val="left"/>
            </w:pPr>
            <w:r>
              <w:rPr>
                <w:rFonts w:ascii="Calibri" w:hAnsi="Calibri"/>
                <w:b w:val="0"/>
                <w:i w:val="0"/>
                <w:sz w:val="20"/>
              </w:rPr>
              <w:t>(B, 130)</w:t>
            </w:r>
          </w:p>
        </w:tc>
        <w:tc>
          <w:tcPr>
            <w:tcW w:type="dxa" w:w="4032"/>
            <w:shd w:val="clear" w:color="auto" w:fill="F0F4F8"/>
          </w:tcPr>
          <w:p>
            <w:pPr>
              <w:jc w:val="left"/>
            </w:pPr>
            <w:r>
              <w:rPr>
                <w:rFonts w:ascii="Calibri" w:hAnsi="Calibri"/>
                <w:b w:val="0"/>
                <w:i w:val="0"/>
                <w:sz w:val="20"/>
              </w:rPr>
              <w:t>Append country_enc, crop_enc to context</w:t>
            </w:r>
          </w:p>
        </w:tc>
      </w:tr>
      <w:tr>
        <w:tc>
          <w:tcPr>
            <w:tcW w:type="dxa" w:w="2592"/>
            <w:shd w:val="clear" w:color="auto" w:fill="FFFFFF"/>
          </w:tcPr>
          <w:p>
            <w:pPr>
              <w:jc w:val="left"/>
            </w:pPr>
            <w:r>
              <w:rPr>
                <w:rFonts w:ascii="Calibri" w:hAnsi="Calibri"/>
                <w:b w:val="0"/>
                <w:i w:val="0"/>
                <w:sz w:val="20"/>
              </w:rPr>
              <w:t>Dense + BN + Dropout</w:t>
            </w:r>
          </w:p>
        </w:tc>
        <w:tc>
          <w:tcPr>
            <w:tcW w:type="dxa" w:w="1728"/>
            <w:shd w:val="clear" w:color="auto" w:fill="FFFFFF"/>
          </w:tcPr>
          <w:p>
            <w:pPr>
              <w:jc w:val="left"/>
            </w:pPr>
            <w:r>
              <w:rPr>
                <w:rFonts w:ascii="Calibri" w:hAnsi="Calibri"/>
                <w:b w:val="0"/>
                <w:i w:val="0"/>
                <w:sz w:val="20"/>
              </w:rPr>
              <w:t>(B, 130)</w:t>
            </w:r>
          </w:p>
        </w:tc>
        <w:tc>
          <w:tcPr>
            <w:tcW w:type="dxa" w:w="1728"/>
            <w:shd w:val="clear" w:color="auto" w:fill="FFFFFF"/>
          </w:tcPr>
          <w:p>
            <w:pPr>
              <w:jc w:val="left"/>
            </w:pPr>
            <w:r>
              <w:rPr>
                <w:rFonts w:ascii="Calibri" w:hAnsi="Calibri"/>
                <w:b w:val="0"/>
                <w:i w:val="0"/>
                <w:sz w:val="20"/>
              </w:rPr>
              <w:t>(B, 128)</w:t>
            </w:r>
          </w:p>
        </w:tc>
        <w:tc>
          <w:tcPr>
            <w:tcW w:type="dxa" w:w="4032"/>
            <w:shd w:val="clear" w:color="auto" w:fill="FFFFFF"/>
          </w:tcPr>
          <w:p>
            <w:pPr>
              <w:jc w:val="left"/>
            </w:pPr>
            <w:r>
              <w:rPr>
                <w:rFonts w:ascii="Calibri" w:hAnsi="Calibri"/>
                <w:b w:val="0"/>
                <w:i w:val="0"/>
                <w:sz w:val="20"/>
              </w:rPr>
              <w:t>ReLU activation, BatchNorm, Dropout(0.3)</w:t>
            </w:r>
          </w:p>
        </w:tc>
      </w:tr>
      <w:tr>
        <w:tc>
          <w:tcPr>
            <w:tcW w:type="dxa" w:w="2592"/>
            <w:shd w:val="clear" w:color="auto" w:fill="F0F4F8"/>
          </w:tcPr>
          <w:p>
            <w:pPr>
              <w:jc w:val="left"/>
            </w:pPr>
            <w:r>
              <w:rPr>
                <w:rFonts w:ascii="Calibri" w:hAnsi="Calibri"/>
                <w:b w:val="0"/>
                <w:i w:val="0"/>
                <w:sz w:val="20"/>
              </w:rPr>
              <w:t>Dense + BN</w:t>
            </w:r>
          </w:p>
        </w:tc>
        <w:tc>
          <w:tcPr>
            <w:tcW w:type="dxa" w:w="1728"/>
            <w:shd w:val="clear" w:color="auto" w:fill="F0F4F8"/>
          </w:tcPr>
          <w:p>
            <w:pPr>
              <w:jc w:val="left"/>
            </w:pPr>
            <w:r>
              <w:rPr>
                <w:rFonts w:ascii="Calibri" w:hAnsi="Calibri"/>
                <w:b w:val="0"/>
                <w:i w:val="0"/>
                <w:sz w:val="20"/>
              </w:rPr>
              <w:t>(B, 128)</w:t>
            </w:r>
          </w:p>
        </w:tc>
        <w:tc>
          <w:tcPr>
            <w:tcW w:type="dxa" w:w="1728"/>
            <w:shd w:val="clear" w:color="auto" w:fill="F0F4F8"/>
          </w:tcPr>
          <w:p>
            <w:pPr>
              <w:jc w:val="left"/>
            </w:pPr>
            <w:r>
              <w:rPr>
                <w:rFonts w:ascii="Calibri" w:hAnsi="Calibri"/>
                <w:b w:val="0"/>
                <w:i w:val="0"/>
                <w:sz w:val="20"/>
              </w:rPr>
              <w:t>(B, 64)</w:t>
            </w:r>
          </w:p>
        </w:tc>
        <w:tc>
          <w:tcPr>
            <w:tcW w:type="dxa" w:w="4032"/>
            <w:shd w:val="clear" w:color="auto" w:fill="F0F4F8"/>
          </w:tcPr>
          <w:p>
            <w:pPr>
              <w:jc w:val="left"/>
            </w:pPr>
            <w:r>
              <w:rPr>
                <w:rFonts w:ascii="Calibri" w:hAnsi="Calibri"/>
                <w:b w:val="0"/>
                <w:i w:val="0"/>
                <w:sz w:val="20"/>
              </w:rPr>
              <w:t>ReLU activation, BatchNorm</w:t>
            </w:r>
          </w:p>
        </w:tc>
      </w:tr>
      <w:tr>
        <w:tc>
          <w:tcPr>
            <w:tcW w:type="dxa" w:w="2592"/>
            <w:shd w:val="clear" w:color="auto" w:fill="FFFFFF"/>
          </w:tcPr>
          <w:p>
            <w:pPr>
              <w:jc w:val="left"/>
            </w:pPr>
            <w:r>
              <w:rPr>
                <w:rFonts w:ascii="Calibri" w:hAnsi="Calibri"/>
                <w:b w:val="0"/>
                <w:i w:val="0"/>
                <w:sz w:val="20"/>
              </w:rPr>
              <w:t>+ Skip(static)</w:t>
            </w:r>
          </w:p>
        </w:tc>
        <w:tc>
          <w:tcPr>
            <w:tcW w:type="dxa" w:w="1728"/>
            <w:shd w:val="clear" w:color="auto" w:fill="FFFFFF"/>
          </w:tcPr>
          <w:p>
            <w:pPr>
              <w:jc w:val="left"/>
            </w:pPr>
            <w:r>
              <w:rPr>
                <w:rFonts w:ascii="Calibri" w:hAnsi="Calibri"/>
                <w:b w:val="0"/>
                <w:i w:val="0"/>
                <w:sz w:val="20"/>
              </w:rPr>
              <w:t>(B, 64+2)</w:t>
            </w:r>
          </w:p>
        </w:tc>
        <w:tc>
          <w:tcPr>
            <w:tcW w:type="dxa" w:w="1728"/>
            <w:shd w:val="clear" w:color="auto" w:fill="FFFFFF"/>
          </w:tcPr>
          <w:p>
            <w:pPr>
              <w:jc w:val="left"/>
            </w:pPr>
            <w:r>
              <w:rPr>
                <w:rFonts w:ascii="Calibri" w:hAnsi="Calibri"/>
                <w:b w:val="0"/>
                <w:i w:val="0"/>
                <w:sz w:val="20"/>
              </w:rPr>
              <w:t>(B, 64)</w:t>
            </w:r>
          </w:p>
        </w:tc>
        <w:tc>
          <w:tcPr>
            <w:tcW w:type="dxa" w:w="4032"/>
            <w:shd w:val="clear" w:color="auto" w:fill="FFFFFF"/>
          </w:tcPr>
          <w:p>
            <w:pPr>
              <w:jc w:val="left"/>
            </w:pPr>
            <w:r>
              <w:rPr>
                <w:rFonts w:ascii="Calibri" w:hAnsi="Calibri"/>
                <w:b w:val="0"/>
                <w:i w:val="0"/>
                <w:sz w:val="20"/>
              </w:rPr>
              <w:t>Linear(2→64) added to dense output</w:t>
            </w:r>
          </w:p>
        </w:tc>
      </w:tr>
      <w:tr>
        <w:tc>
          <w:tcPr>
            <w:tcW w:type="dxa" w:w="2592"/>
            <w:shd w:val="clear" w:color="auto" w:fill="F0F4F8"/>
          </w:tcPr>
          <w:p>
            <w:pPr>
              <w:jc w:val="left"/>
            </w:pPr>
            <w:r>
              <w:rPr>
                <w:rFonts w:ascii="Calibri" w:hAnsi="Calibri"/>
                <w:b w:val="0"/>
                <w:i w:val="0"/>
                <w:sz w:val="20"/>
              </w:rPr>
              <w:t>Output</w:t>
            </w:r>
          </w:p>
        </w:tc>
        <w:tc>
          <w:tcPr>
            <w:tcW w:type="dxa" w:w="1728"/>
            <w:shd w:val="clear" w:color="auto" w:fill="F0F4F8"/>
          </w:tcPr>
          <w:p>
            <w:pPr>
              <w:jc w:val="left"/>
            </w:pPr>
            <w:r>
              <w:rPr>
                <w:rFonts w:ascii="Calibri" w:hAnsi="Calibri"/>
                <w:b w:val="0"/>
                <w:i w:val="0"/>
                <w:sz w:val="20"/>
              </w:rPr>
              <w:t>(B, 64)</w:t>
            </w:r>
          </w:p>
        </w:tc>
        <w:tc>
          <w:tcPr>
            <w:tcW w:type="dxa" w:w="1728"/>
            <w:shd w:val="clear" w:color="auto" w:fill="F0F4F8"/>
          </w:tcPr>
          <w:p>
            <w:pPr>
              <w:jc w:val="left"/>
            </w:pPr>
            <w:r>
              <w:rPr>
                <w:rFonts w:ascii="Calibri" w:hAnsi="Calibri"/>
                <w:b w:val="0"/>
                <w:i w:val="0"/>
                <w:sz w:val="20"/>
              </w:rPr>
              <w:t>(B,)</w:t>
            </w:r>
          </w:p>
        </w:tc>
        <w:tc>
          <w:tcPr>
            <w:tcW w:type="dxa" w:w="4032"/>
            <w:shd w:val="clear" w:color="auto" w:fill="F0F4F8"/>
          </w:tcPr>
          <w:p>
            <w:pPr>
              <w:jc w:val="left"/>
            </w:pPr>
            <w:r>
              <w:rPr>
                <w:rFonts w:ascii="Calibri" w:hAnsi="Calibri"/>
                <w:b w:val="0"/>
                <w:i w:val="0"/>
                <w:sz w:val="20"/>
              </w:rPr>
              <w:t>Linear(64→1), squeeze; normalised yield</w:t>
            </w:r>
          </w:p>
        </w:tc>
      </w:tr>
    </w:tbl>
    <w:p/>
    <w:p>
      <w:pPr>
        <w:spacing w:before="360" w:after="80"/>
        <w:pBdr>
          <w:bottom w:val="single" w:sz="6" w:space="1" w:color="2E75B6"/>
        </w:pBdr>
      </w:pPr>
      <w:r>
        <w:rPr>
          <w:rFonts w:ascii="Calibri" w:hAnsi="Calibri"/>
          <w:b/>
          <w:i w:val="0"/>
          <w:color w:val="1F4E79"/>
          <w:sz w:val="30"/>
        </w:rPr>
        <w:t>5. Training Procedure</w:t>
      </w:r>
    </w:p>
    <w:p>
      <w:pPr>
        <w:spacing w:before="240" w:after="60"/>
      </w:pPr>
      <w:r>
        <w:rPr>
          <w:rFonts w:ascii="Calibri" w:hAnsi="Calibri"/>
          <w:b/>
          <w:i w:val="0"/>
          <w:color w:val="2E75B6"/>
          <w:sz w:val="24"/>
        </w:rPr>
        <w:t>5.1 Loss Function and Optimiser</w:t>
      </w:r>
    </w:p>
    <w:p>
      <w:pPr>
        <w:spacing w:after="120"/>
        <w:ind w:firstLine="0"/>
      </w:pPr>
      <w:r>
        <w:rPr>
          <w:rFonts w:ascii="Calibri" w:hAnsi="Calibri"/>
          <w:b w:val="0"/>
          <w:i w:val="0"/>
          <w:sz w:val="22"/>
        </w:rPr>
        <w:t>Mean Squared Error (MSELoss) is used as the training objective on normalised targets. MSE penalises large prediction errors quadratically — consistent with minimising RMSE on the original scale after inverse transformation.</w:t>
      </w:r>
    </w:p>
    <w:p>
      <w:pPr>
        <w:spacing w:after="120"/>
        <w:ind w:firstLine="0"/>
      </w:pPr>
      <w:r>
        <w:rPr>
          <w:rFonts w:ascii="Calibri" w:hAnsi="Calibri"/>
          <w:b w:val="0"/>
          <w:i w:val="0"/>
          <w:sz w:val="22"/>
        </w:rPr>
        <w:t>The Adam optimiser (Kingma and Ba, 2014) is used with initial learning rate 1e-3 and weight_decay=1e-4. Weight decay implements L2 regularisation by adding a penalty proportional to the squared magnitude of all parameters. This penalises large weights without requiring a separate Dropout layer at the output, reducing the risk of overfitting on the dense head.</w:t>
      </w:r>
    </w:p>
    <w:p>
      <w:pPr>
        <w:spacing w:after="120"/>
        <w:ind w:firstLine="0"/>
      </w:pPr>
      <w:r>
        <w:rPr>
          <w:rFonts w:ascii="Calibri" w:hAnsi="Calibri"/>
          <w:b w:val="0"/>
          <w:i w:val="0"/>
          <w:sz w:val="22"/>
        </w:rPr>
        <w:t>Adam was preferred over SGD because it maintains per-parameter adaptive learning rates using first and second moment estimates of the gradient. In a dataset with multi-scale features (rainfall in hundreds, temperature in tens, encoded labels in units), gradient magnitudes vary significantly across parameters. Adam adapts the effective step size for each parameter individually, achieving faster and more stable convergence than a single global learning rate.</w:t>
      </w:r>
    </w:p>
    <w:p>
      <w:pPr>
        <w:spacing w:before="240" w:after="60"/>
      </w:pPr>
      <w:r>
        <w:rPr>
          <w:rFonts w:ascii="Calibri" w:hAnsi="Calibri"/>
          <w:b/>
          <w:i w:val="0"/>
          <w:color w:val="2E75B6"/>
          <w:sz w:val="24"/>
        </w:rPr>
        <w:t>5.2 Learning Rate Schedule</w:t>
      </w:r>
    </w:p>
    <w:p>
      <w:pPr>
        <w:spacing w:after="120"/>
        <w:ind w:firstLine="0"/>
      </w:pPr>
      <w:r>
        <w:rPr>
          <w:rFonts w:ascii="Calibri" w:hAnsi="Calibri"/>
          <w:b w:val="0"/>
          <w:i w:val="0"/>
          <w:sz w:val="22"/>
        </w:rPr>
        <w:t>ReduceLROnPlateau monitors validation loss and halves the learning rate (factor=0.5) when no improvement is observed for 5 consecutive epochs (patience=5). This allows the model to make rapid progress early in training with a large learning rate, then transition to finer weight adjustments as it approaches convergence. The effect is visible in the learning curve as a kink — a sharp drop in both train and validation loss following the LR reduction.</w:t>
      </w:r>
    </w:p>
    <w:p>
      <w:pPr>
        <w:spacing w:before="240" w:after="60"/>
      </w:pPr>
      <w:r>
        <w:rPr>
          <w:rFonts w:ascii="Calibri" w:hAnsi="Calibri"/>
          <w:b/>
          <w:i w:val="0"/>
          <w:color w:val="2E75B6"/>
          <w:sz w:val="24"/>
        </w:rPr>
        <w:t>5.3 Early Stopping</w:t>
      </w:r>
    </w:p>
    <w:p>
      <w:pPr>
        <w:spacing w:after="120"/>
        <w:ind w:firstLine="0"/>
      </w:pPr>
      <w:r>
        <w:rPr>
          <w:rFonts w:ascii="Calibri" w:hAnsi="Calibri"/>
          <w:b w:val="0"/>
          <w:i w:val="0"/>
          <w:sz w:val="22"/>
        </w:rPr>
        <w:t>Training halts when validation loss fails to improve for 15 consecutive epochs (patience=15). At that point, the model weights from the best validation epoch are restored. This prevents continued training from overfitting the training sequences while validation performance has already plateaued. The best epoch number is recorded and marked on the learning curve plot.</w:t>
      </w:r>
    </w:p>
    <w:p>
      <w:pPr>
        <w:spacing w:before="240" w:after="60"/>
      </w:pPr>
      <w:r>
        <w:rPr>
          <w:rFonts w:ascii="Calibri" w:hAnsi="Calibri"/>
          <w:b/>
          <w:i w:val="0"/>
          <w:color w:val="2E75B6"/>
          <w:sz w:val="24"/>
        </w:rPr>
        <w:t>5.4 Hyperparameter Summary</w:t>
      </w:r>
    </w:p>
    <w:tbl>
      <w:tblPr>
        <w:tblStyle w:val="TableGrid"/>
        <w:tblW w:type="auto" w:w="0"/>
        <w:jc w:val="center"/>
        <w:tblLook w:firstColumn="1" w:firstRow="1" w:lastColumn="0" w:lastRow="0" w:noHBand="0" w:noVBand="1" w:val="04A0"/>
      </w:tblPr>
      <w:tblGrid>
        <w:gridCol w:w="2976"/>
        <w:gridCol w:w="2976"/>
        <w:gridCol w:w="2976"/>
      </w:tblGrid>
      <w:tr>
        <w:tc>
          <w:tcPr>
            <w:tcW w:type="dxa" w:w="2160"/>
            <w:shd w:val="clear" w:color="auto" w:fill="1F4E79"/>
          </w:tcPr>
          <w:p>
            <w:pPr>
              <w:jc w:val="center"/>
            </w:pPr>
            <w:r>
              <w:rPr>
                <w:rFonts w:ascii="Calibri" w:hAnsi="Calibri"/>
                <w:b/>
                <w:i w:val="0"/>
                <w:color w:val="FFFFFF"/>
                <w:sz w:val="20"/>
              </w:rPr>
              <w:t>Hyperparameter</w:t>
            </w:r>
          </w:p>
        </w:tc>
        <w:tc>
          <w:tcPr>
            <w:tcW w:type="dxa" w:w="1440"/>
            <w:shd w:val="clear" w:color="auto" w:fill="1F4E79"/>
          </w:tcPr>
          <w:p>
            <w:pPr>
              <w:jc w:val="center"/>
            </w:pPr>
            <w:r>
              <w:rPr>
                <w:rFonts w:ascii="Calibri" w:hAnsi="Calibri"/>
                <w:b/>
                <w:i w:val="0"/>
                <w:color w:val="FFFFFF"/>
                <w:sz w:val="20"/>
              </w:rPr>
              <w:t>Value</w:t>
            </w:r>
          </w:p>
        </w:tc>
        <w:tc>
          <w:tcPr>
            <w:tcW w:type="dxa" w:w="6480"/>
            <w:shd w:val="clear" w:color="auto" w:fill="1F4E79"/>
          </w:tcPr>
          <w:p>
            <w:pPr>
              <w:jc w:val="center"/>
            </w:pPr>
            <w:r>
              <w:rPr>
                <w:rFonts w:ascii="Calibri" w:hAnsi="Calibri"/>
                <w:b/>
                <w:i w:val="0"/>
                <w:color w:val="FFFFFF"/>
                <w:sz w:val="20"/>
              </w:rPr>
              <w:t>Rationale</w:t>
            </w:r>
          </w:p>
        </w:tc>
      </w:tr>
      <w:tr>
        <w:tc>
          <w:tcPr>
            <w:tcW w:type="dxa" w:w="2160"/>
            <w:shd w:val="clear" w:color="auto" w:fill="F0F4F8"/>
          </w:tcPr>
          <w:p>
            <w:pPr>
              <w:jc w:val="left"/>
            </w:pPr>
            <w:r>
              <w:rPr>
                <w:rFonts w:ascii="Calibri" w:hAnsi="Calibri"/>
                <w:b w:val="0"/>
                <w:i w:val="0"/>
                <w:sz w:val="20"/>
              </w:rPr>
              <w:t>LOOKBACK</w:t>
            </w:r>
          </w:p>
        </w:tc>
        <w:tc>
          <w:tcPr>
            <w:tcW w:type="dxa" w:w="1440"/>
            <w:shd w:val="clear" w:color="auto" w:fill="F0F4F8"/>
          </w:tcPr>
          <w:p>
            <w:pPr>
              <w:jc w:val="left"/>
            </w:pPr>
            <w:r>
              <w:rPr>
                <w:rFonts w:ascii="Calibri" w:hAnsi="Calibri"/>
                <w:b w:val="0"/>
                <w:i w:val="0"/>
                <w:sz w:val="20"/>
              </w:rPr>
              <w:t>5 years</w:t>
            </w:r>
          </w:p>
        </w:tc>
        <w:tc>
          <w:tcPr>
            <w:tcW w:type="dxa" w:w="6480"/>
            <w:shd w:val="clear" w:color="auto" w:fill="F0F4F8"/>
          </w:tcPr>
          <w:p>
            <w:pPr>
              <w:jc w:val="left"/>
            </w:pPr>
            <w:r>
              <w:rPr>
                <w:rFonts w:ascii="Calibri" w:hAnsi="Calibri"/>
                <w:b w:val="0"/>
                <w:i w:val="0"/>
                <w:sz w:val="20"/>
              </w:rPr>
              <w:t>Captures multi-year climate dynamics; consistent with Feng et al. (2019)</w:t>
            </w:r>
          </w:p>
        </w:tc>
      </w:tr>
      <w:tr>
        <w:tc>
          <w:tcPr>
            <w:tcW w:type="dxa" w:w="2160"/>
            <w:shd w:val="clear" w:color="auto" w:fill="FFFFFF"/>
          </w:tcPr>
          <w:p>
            <w:pPr>
              <w:jc w:val="left"/>
            </w:pPr>
            <w:r>
              <w:rPr>
                <w:rFonts w:ascii="Calibri" w:hAnsi="Calibri"/>
                <w:b w:val="0"/>
                <w:i w:val="0"/>
                <w:sz w:val="20"/>
              </w:rPr>
              <w:t>HIDDEN_DIM</w:t>
            </w:r>
          </w:p>
        </w:tc>
        <w:tc>
          <w:tcPr>
            <w:tcW w:type="dxa" w:w="1440"/>
            <w:shd w:val="clear" w:color="auto" w:fill="FFFFFF"/>
          </w:tcPr>
          <w:p>
            <w:pPr>
              <w:jc w:val="left"/>
            </w:pPr>
            <w:r>
              <w:rPr>
                <w:rFonts w:ascii="Calibri" w:hAnsi="Calibri"/>
                <w:b w:val="0"/>
                <w:i w:val="0"/>
                <w:sz w:val="20"/>
              </w:rPr>
              <w:t>64</w:t>
            </w:r>
          </w:p>
        </w:tc>
        <w:tc>
          <w:tcPr>
            <w:tcW w:type="dxa" w:w="6480"/>
            <w:shd w:val="clear" w:color="auto" w:fill="FFFFFF"/>
          </w:tcPr>
          <w:p>
            <w:pPr>
              <w:jc w:val="left"/>
            </w:pPr>
            <w:r>
              <w:rPr>
                <w:rFonts w:ascii="Calibri" w:hAnsi="Calibri"/>
                <w:b w:val="0"/>
                <w:i w:val="0"/>
                <w:sz w:val="20"/>
              </w:rPr>
              <w:t>128 after bidirectional; large enough for 10 crops, avoids overparameterisation</w:t>
            </w:r>
          </w:p>
        </w:tc>
      </w:tr>
      <w:tr>
        <w:tc>
          <w:tcPr>
            <w:tcW w:type="dxa" w:w="2160"/>
            <w:shd w:val="clear" w:color="auto" w:fill="F0F4F8"/>
          </w:tcPr>
          <w:p>
            <w:pPr>
              <w:jc w:val="left"/>
            </w:pPr>
            <w:r>
              <w:rPr>
                <w:rFonts w:ascii="Calibri" w:hAnsi="Calibri"/>
                <w:b w:val="0"/>
                <w:i w:val="0"/>
                <w:sz w:val="20"/>
              </w:rPr>
              <w:t>BATCH_SIZE</w:t>
            </w:r>
          </w:p>
        </w:tc>
        <w:tc>
          <w:tcPr>
            <w:tcW w:type="dxa" w:w="1440"/>
            <w:shd w:val="clear" w:color="auto" w:fill="F0F4F8"/>
          </w:tcPr>
          <w:p>
            <w:pPr>
              <w:jc w:val="left"/>
            </w:pPr>
            <w:r>
              <w:rPr>
                <w:rFonts w:ascii="Calibri" w:hAnsi="Calibri"/>
                <w:b w:val="0"/>
                <w:i w:val="0"/>
                <w:sz w:val="20"/>
              </w:rPr>
              <w:t>256</w:t>
            </w:r>
          </w:p>
        </w:tc>
        <w:tc>
          <w:tcPr>
            <w:tcW w:type="dxa" w:w="6480"/>
            <w:shd w:val="clear" w:color="auto" w:fill="F0F4F8"/>
          </w:tcPr>
          <w:p>
            <w:pPr>
              <w:jc w:val="left"/>
            </w:pPr>
            <w:r>
              <w:rPr>
                <w:rFonts w:ascii="Calibri" w:hAnsi="Calibri"/>
                <w:b w:val="0"/>
                <w:i w:val="0"/>
                <w:sz w:val="20"/>
              </w:rPr>
              <w:t>Large enough for stable BN statistics; fits in CPU memory</w:t>
            </w:r>
          </w:p>
        </w:tc>
      </w:tr>
      <w:tr>
        <w:tc>
          <w:tcPr>
            <w:tcW w:type="dxa" w:w="2160"/>
            <w:shd w:val="clear" w:color="auto" w:fill="FFFFFF"/>
          </w:tcPr>
          <w:p>
            <w:pPr>
              <w:jc w:val="left"/>
            </w:pPr>
            <w:r>
              <w:rPr>
                <w:rFonts w:ascii="Calibri" w:hAnsi="Calibri"/>
                <w:b w:val="0"/>
                <w:i w:val="0"/>
                <w:sz w:val="20"/>
              </w:rPr>
              <w:t>MAX_EPOCHS</w:t>
            </w:r>
          </w:p>
        </w:tc>
        <w:tc>
          <w:tcPr>
            <w:tcW w:type="dxa" w:w="1440"/>
            <w:shd w:val="clear" w:color="auto" w:fill="FFFFFF"/>
          </w:tcPr>
          <w:p>
            <w:pPr>
              <w:jc w:val="left"/>
            </w:pPr>
            <w:r>
              <w:rPr>
                <w:rFonts w:ascii="Calibri" w:hAnsi="Calibri"/>
                <w:b w:val="0"/>
                <w:i w:val="0"/>
                <w:sz w:val="20"/>
              </w:rPr>
              <w:t>100</w:t>
            </w:r>
          </w:p>
        </w:tc>
        <w:tc>
          <w:tcPr>
            <w:tcW w:type="dxa" w:w="6480"/>
            <w:shd w:val="clear" w:color="auto" w:fill="FFFFFF"/>
          </w:tcPr>
          <w:p>
            <w:pPr>
              <w:jc w:val="left"/>
            </w:pPr>
            <w:r>
              <w:rPr>
                <w:rFonts w:ascii="Calibri" w:hAnsi="Calibri"/>
                <w:b w:val="0"/>
                <w:i w:val="0"/>
                <w:sz w:val="20"/>
              </w:rPr>
              <w:t>Upper bound; early stopping typically triggers around epoch 40–60</w:t>
            </w:r>
          </w:p>
        </w:tc>
      </w:tr>
      <w:tr>
        <w:tc>
          <w:tcPr>
            <w:tcW w:type="dxa" w:w="2160"/>
            <w:shd w:val="clear" w:color="auto" w:fill="F0F4F8"/>
          </w:tcPr>
          <w:p>
            <w:pPr>
              <w:jc w:val="left"/>
            </w:pPr>
            <w:r>
              <w:rPr>
                <w:rFonts w:ascii="Calibri" w:hAnsi="Calibri"/>
                <w:b w:val="0"/>
                <w:i w:val="0"/>
                <w:sz w:val="20"/>
              </w:rPr>
              <w:t>LR</w:t>
            </w:r>
          </w:p>
        </w:tc>
        <w:tc>
          <w:tcPr>
            <w:tcW w:type="dxa" w:w="1440"/>
            <w:shd w:val="clear" w:color="auto" w:fill="F0F4F8"/>
          </w:tcPr>
          <w:p>
            <w:pPr>
              <w:jc w:val="left"/>
            </w:pPr>
            <w:r>
              <w:rPr>
                <w:rFonts w:ascii="Calibri" w:hAnsi="Calibri"/>
                <w:b w:val="0"/>
                <w:i w:val="0"/>
                <w:sz w:val="20"/>
              </w:rPr>
              <w:t>1e-3</w:t>
            </w:r>
          </w:p>
        </w:tc>
        <w:tc>
          <w:tcPr>
            <w:tcW w:type="dxa" w:w="6480"/>
            <w:shd w:val="clear" w:color="auto" w:fill="F0F4F8"/>
          </w:tcPr>
          <w:p>
            <w:pPr>
              <w:jc w:val="left"/>
            </w:pPr>
            <w:r>
              <w:rPr>
                <w:rFonts w:ascii="Calibri" w:hAnsi="Calibri"/>
                <w:b w:val="0"/>
                <w:i w:val="0"/>
                <w:sz w:val="20"/>
              </w:rPr>
              <w:t>Standard Adam initial rate for tabular sequence models</w:t>
            </w:r>
          </w:p>
        </w:tc>
      </w:tr>
      <w:tr>
        <w:tc>
          <w:tcPr>
            <w:tcW w:type="dxa" w:w="2160"/>
            <w:shd w:val="clear" w:color="auto" w:fill="FFFFFF"/>
          </w:tcPr>
          <w:p>
            <w:pPr>
              <w:jc w:val="left"/>
            </w:pPr>
            <w:r>
              <w:rPr>
                <w:rFonts w:ascii="Calibri" w:hAnsi="Calibri"/>
                <w:b w:val="0"/>
                <w:i w:val="0"/>
                <w:sz w:val="20"/>
              </w:rPr>
              <w:t>DROPOUT</w:t>
            </w:r>
          </w:p>
        </w:tc>
        <w:tc>
          <w:tcPr>
            <w:tcW w:type="dxa" w:w="1440"/>
            <w:shd w:val="clear" w:color="auto" w:fill="FFFFFF"/>
          </w:tcPr>
          <w:p>
            <w:pPr>
              <w:jc w:val="left"/>
            </w:pPr>
            <w:r>
              <w:rPr>
                <w:rFonts w:ascii="Calibri" w:hAnsi="Calibri"/>
                <w:b w:val="0"/>
                <w:i w:val="0"/>
                <w:sz w:val="20"/>
              </w:rPr>
              <w:t>0.3</w:t>
            </w:r>
          </w:p>
        </w:tc>
        <w:tc>
          <w:tcPr>
            <w:tcW w:type="dxa" w:w="6480"/>
            <w:shd w:val="clear" w:color="auto" w:fill="FFFFFF"/>
          </w:tcPr>
          <w:p>
            <w:pPr>
              <w:jc w:val="left"/>
            </w:pPr>
            <w:r>
              <w:rPr>
                <w:rFonts w:ascii="Calibri" w:hAnsi="Calibri"/>
                <w:b w:val="0"/>
                <w:i w:val="0"/>
                <w:sz w:val="20"/>
              </w:rPr>
              <w:t>Moderate regularisation; 0.5 was too aggressive (val loss diverged)</w:t>
            </w:r>
          </w:p>
        </w:tc>
      </w:tr>
      <w:tr>
        <w:tc>
          <w:tcPr>
            <w:tcW w:type="dxa" w:w="2160"/>
            <w:shd w:val="clear" w:color="auto" w:fill="F0F4F8"/>
          </w:tcPr>
          <w:p>
            <w:pPr>
              <w:jc w:val="left"/>
            </w:pPr>
            <w:r>
              <w:rPr>
                <w:rFonts w:ascii="Calibri" w:hAnsi="Calibri"/>
                <w:b w:val="0"/>
                <w:i w:val="0"/>
                <w:sz w:val="20"/>
              </w:rPr>
              <w:t>PATIENCE (ES)</w:t>
            </w:r>
          </w:p>
        </w:tc>
        <w:tc>
          <w:tcPr>
            <w:tcW w:type="dxa" w:w="1440"/>
            <w:shd w:val="clear" w:color="auto" w:fill="F0F4F8"/>
          </w:tcPr>
          <w:p>
            <w:pPr>
              <w:jc w:val="left"/>
            </w:pPr>
            <w:r>
              <w:rPr>
                <w:rFonts w:ascii="Calibri" w:hAnsi="Calibri"/>
                <w:b w:val="0"/>
                <w:i w:val="0"/>
                <w:sz w:val="20"/>
              </w:rPr>
              <w:t>15</w:t>
            </w:r>
          </w:p>
        </w:tc>
        <w:tc>
          <w:tcPr>
            <w:tcW w:type="dxa" w:w="6480"/>
            <w:shd w:val="clear" w:color="auto" w:fill="F0F4F8"/>
          </w:tcPr>
          <w:p>
            <w:pPr>
              <w:jc w:val="left"/>
            </w:pPr>
            <w:r>
              <w:rPr>
                <w:rFonts w:ascii="Calibri" w:hAnsi="Calibri"/>
                <w:b w:val="0"/>
                <w:i w:val="0"/>
                <w:sz w:val="20"/>
              </w:rPr>
              <w:t>Generous patience to allow LR schedule to take effect first</w:t>
            </w:r>
          </w:p>
        </w:tc>
      </w:tr>
      <w:tr>
        <w:tc>
          <w:tcPr>
            <w:tcW w:type="dxa" w:w="2160"/>
            <w:shd w:val="clear" w:color="auto" w:fill="FFFFFF"/>
          </w:tcPr>
          <w:p>
            <w:pPr>
              <w:jc w:val="left"/>
            </w:pPr>
            <w:r>
              <w:rPr>
                <w:rFonts w:ascii="Calibri" w:hAnsi="Calibri"/>
                <w:b w:val="0"/>
                <w:i w:val="0"/>
                <w:sz w:val="20"/>
              </w:rPr>
              <w:t>PATIENCE (LR)</w:t>
            </w:r>
          </w:p>
        </w:tc>
        <w:tc>
          <w:tcPr>
            <w:tcW w:type="dxa" w:w="1440"/>
            <w:shd w:val="clear" w:color="auto" w:fill="FFFFFF"/>
          </w:tcPr>
          <w:p>
            <w:pPr>
              <w:jc w:val="left"/>
            </w:pPr>
            <w:r>
              <w:rPr>
                <w:rFonts w:ascii="Calibri" w:hAnsi="Calibri"/>
                <w:b w:val="0"/>
                <w:i w:val="0"/>
                <w:sz w:val="20"/>
              </w:rPr>
              <w:t>5</w:t>
            </w:r>
          </w:p>
        </w:tc>
        <w:tc>
          <w:tcPr>
            <w:tcW w:type="dxa" w:w="6480"/>
            <w:shd w:val="clear" w:color="auto" w:fill="FFFFFF"/>
          </w:tcPr>
          <w:p>
            <w:pPr>
              <w:jc w:val="left"/>
            </w:pPr>
            <w:r>
              <w:rPr>
                <w:rFonts w:ascii="Calibri" w:hAnsi="Calibri"/>
                <w:b w:val="0"/>
                <w:i w:val="0"/>
                <w:sz w:val="20"/>
              </w:rPr>
              <w:t>Trigger LR halving before early stop gives up</w:t>
            </w:r>
          </w:p>
        </w:tc>
      </w:tr>
      <w:tr>
        <w:tc>
          <w:tcPr>
            <w:tcW w:type="dxa" w:w="2160"/>
            <w:shd w:val="clear" w:color="auto" w:fill="F0F4F8"/>
          </w:tcPr>
          <w:p>
            <w:pPr>
              <w:jc w:val="left"/>
            </w:pPr>
            <w:r>
              <w:rPr>
                <w:rFonts w:ascii="Calibri" w:hAnsi="Calibri"/>
                <w:b w:val="0"/>
                <w:i w:val="0"/>
                <w:sz w:val="20"/>
              </w:rPr>
              <w:t>WEIGHT_DECAY</w:t>
            </w:r>
          </w:p>
        </w:tc>
        <w:tc>
          <w:tcPr>
            <w:tcW w:type="dxa" w:w="1440"/>
            <w:shd w:val="clear" w:color="auto" w:fill="F0F4F8"/>
          </w:tcPr>
          <w:p>
            <w:pPr>
              <w:jc w:val="left"/>
            </w:pPr>
            <w:r>
              <w:rPr>
                <w:rFonts w:ascii="Calibri" w:hAnsi="Calibri"/>
                <w:b w:val="0"/>
                <w:i w:val="0"/>
                <w:sz w:val="20"/>
              </w:rPr>
              <w:t>1e-4</w:t>
            </w:r>
          </w:p>
        </w:tc>
        <w:tc>
          <w:tcPr>
            <w:tcW w:type="dxa" w:w="6480"/>
            <w:shd w:val="clear" w:color="auto" w:fill="F0F4F8"/>
          </w:tcPr>
          <w:p>
            <w:pPr>
              <w:jc w:val="left"/>
            </w:pPr>
            <w:r>
              <w:rPr>
                <w:rFonts w:ascii="Calibri" w:hAnsi="Calibri"/>
                <w:b w:val="0"/>
                <w:i w:val="0"/>
                <w:sz w:val="20"/>
              </w:rPr>
              <w:t>Mild L2 penalty; larger values degraded R² by ~0.02</w:t>
            </w:r>
          </w:p>
        </w:tc>
      </w:tr>
      <w:tr>
        <w:tc>
          <w:tcPr>
            <w:tcW w:type="dxa" w:w="2160"/>
            <w:shd w:val="clear" w:color="auto" w:fill="FFFFFF"/>
          </w:tcPr>
          <w:p>
            <w:pPr>
              <w:jc w:val="left"/>
            </w:pPr>
            <w:r>
              <w:rPr>
                <w:rFonts w:ascii="Calibri" w:hAnsi="Calibri"/>
                <w:b w:val="0"/>
                <w:i w:val="0"/>
                <w:sz w:val="20"/>
              </w:rPr>
              <w:t>GRAD_CLIP</w:t>
            </w:r>
          </w:p>
        </w:tc>
        <w:tc>
          <w:tcPr>
            <w:tcW w:type="dxa" w:w="1440"/>
            <w:shd w:val="clear" w:color="auto" w:fill="FFFFFF"/>
          </w:tcPr>
          <w:p>
            <w:pPr>
              <w:jc w:val="left"/>
            </w:pPr>
            <w:r>
              <w:rPr>
                <w:rFonts w:ascii="Calibri" w:hAnsi="Calibri"/>
                <w:b w:val="0"/>
                <w:i w:val="0"/>
                <w:sz w:val="20"/>
              </w:rPr>
              <w:t>1.0</w:t>
            </w:r>
          </w:p>
        </w:tc>
        <w:tc>
          <w:tcPr>
            <w:tcW w:type="dxa" w:w="6480"/>
            <w:shd w:val="clear" w:color="auto" w:fill="FFFFFF"/>
          </w:tcPr>
          <w:p>
            <w:pPr>
              <w:jc w:val="left"/>
            </w:pPr>
            <w:r>
              <w:rPr>
                <w:rFonts w:ascii="Calibri" w:hAnsi="Calibri"/>
                <w:b w:val="0"/>
                <w:i w:val="0"/>
                <w:sz w:val="20"/>
              </w:rPr>
              <w:t>Standard LSTM clipping threshold</w:t>
            </w:r>
          </w:p>
        </w:tc>
      </w:tr>
    </w:tbl>
    <w:p/>
    <w:p>
      <w:pPr>
        <w:spacing w:before="360" w:after="80"/>
        <w:pBdr>
          <w:bottom w:val="single" w:sz="6" w:space="1" w:color="2E75B6"/>
        </w:pBdr>
      </w:pPr>
      <w:r>
        <w:rPr>
          <w:rFonts w:ascii="Calibri" w:hAnsi="Calibri"/>
          <w:b/>
          <w:i w:val="0"/>
          <w:color w:val="1F4E79"/>
          <w:sz w:val="30"/>
        </w:rPr>
        <w:t>6. Results and Evaluation</w:t>
      </w:r>
    </w:p>
    <w:p>
      <w:pPr>
        <w:spacing w:before="240" w:after="60"/>
      </w:pPr>
      <w:r>
        <w:rPr>
          <w:rFonts w:ascii="Calibri" w:hAnsi="Calibri"/>
          <w:b/>
          <w:i w:val="0"/>
          <w:color w:val="2E75B6"/>
          <w:sz w:val="24"/>
        </w:rPr>
        <w:t>6.1 Ablation Study</w:t>
      </w:r>
    </w:p>
    <w:p>
      <w:pPr>
        <w:spacing w:after="120"/>
        <w:ind w:firstLine="0"/>
      </w:pPr>
      <w:r>
        <w:rPr>
          <w:rFonts w:ascii="Calibri" w:hAnsi="Calibri"/>
          <w:b w:val="0"/>
          <w:i w:val="0"/>
          <w:sz w:val="22"/>
        </w:rPr>
        <w:t>The ablation study evaluates the BiLSTM+Attention model against two honest baselines on the held-out test set (15% of the data, N ≈ 3,890 sequences). The mean predictor represents the minimum meaningful performance: it always predicts the test set mean and by construction achieves R² = 0.000.</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3600"/>
            <w:shd w:val="clear" w:color="auto" w:fill="1F4E79"/>
          </w:tcPr>
          <w:p>
            <w:pPr>
              <w:jc w:val="center"/>
            </w:pPr>
            <w:r>
              <w:rPr>
                <w:rFonts w:ascii="Calibri" w:hAnsi="Calibri"/>
                <w:b/>
                <w:i w:val="0"/>
                <w:color w:val="FFFFFF"/>
                <w:sz w:val="20"/>
              </w:rPr>
              <w:t>Model</w:t>
            </w:r>
          </w:p>
        </w:tc>
        <w:tc>
          <w:tcPr>
            <w:tcW w:type="dxa" w:w="1872"/>
            <w:shd w:val="clear" w:color="auto" w:fill="1F4E79"/>
          </w:tcPr>
          <w:p>
            <w:pPr>
              <w:jc w:val="center"/>
            </w:pPr>
            <w:r>
              <w:rPr>
                <w:rFonts w:ascii="Calibri" w:hAnsi="Calibri"/>
                <w:b/>
                <w:i w:val="0"/>
                <w:color w:val="FFFFFF"/>
                <w:sz w:val="20"/>
              </w:rPr>
              <w:t>MAE (t/ha)</w:t>
            </w:r>
          </w:p>
        </w:tc>
        <w:tc>
          <w:tcPr>
            <w:tcW w:type="dxa" w:w="1872"/>
            <w:shd w:val="clear" w:color="auto" w:fill="1F4E79"/>
          </w:tcPr>
          <w:p>
            <w:pPr>
              <w:jc w:val="center"/>
            </w:pPr>
            <w:r>
              <w:rPr>
                <w:rFonts w:ascii="Calibri" w:hAnsi="Calibri"/>
                <w:b/>
                <w:i w:val="0"/>
                <w:color w:val="FFFFFF"/>
                <w:sz w:val="20"/>
              </w:rPr>
              <w:t>RMSE (t/ha)</w:t>
            </w:r>
          </w:p>
        </w:tc>
        <w:tc>
          <w:tcPr>
            <w:tcW w:type="dxa" w:w="1440"/>
            <w:shd w:val="clear" w:color="auto" w:fill="1F4E79"/>
          </w:tcPr>
          <w:p>
            <w:pPr>
              <w:jc w:val="center"/>
            </w:pPr>
            <w:r>
              <w:rPr>
                <w:rFonts w:ascii="Calibri" w:hAnsi="Calibri"/>
                <w:b/>
                <w:i w:val="0"/>
                <w:color w:val="FFFFFF"/>
                <w:sz w:val="20"/>
              </w:rPr>
              <w:t>R²</w:t>
            </w:r>
          </w:p>
        </w:tc>
      </w:tr>
      <w:tr>
        <w:tc>
          <w:tcPr>
            <w:tcW w:type="dxa" w:w="3600"/>
            <w:shd w:val="clear" w:color="auto" w:fill="F0F4F8"/>
          </w:tcPr>
          <w:p>
            <w:pPr>
              <w:jc w:val="left"/>
            </w:pPr>
            <w:r>
              <w:rPr>
                <w:rFonts w:ascii="Calibri" w:hAnsi="Calibri"/>
                <w:b w:val="0"/>
                <w:i w:val="0"/>
                <w:sz w:val="20"/>
              </w:rPr>
              <w:t>Mean Predictor (baseline)</w:t>
            </w:r>
          </w:p>
        </w:tc>
        <w:tc>
          <w:tcPr>
            <w:tcW w:type="dxa" w:w="1872"/>
            <w:shd w:val="clear" w:color="auto" w:fill="F0F4F8"/>
          </w:tcPr>
          <w:p>
            <w:pPr>
              <w:jc w:val="left"/>
            </w:pPr>
            <w:r>
              <w:rPr>
                <w:rFonts w:ascii="Calibri" w:hAnsi="Calibri"/>
                <w:b w:val="0"/>
                <w:i w:val="0"/>
                <w:sz w:val="20"/>
              </w:rPr>
              <w:t>6.4799</w:t>
            </w:r>
          </w:p>
        </w:tc>
        <w:tc>
          <w:tcPr>
            <w:tcW w:type="dxa" w:w="1872"/>
            <w:shd w:val="clear" w:color="auto" w:fill="F0F4F8"/>
          </w:tcPr>
          <w:p>
            <w:pPr>
              <w:jc w:val="left"/>
            </w:pPr>
            <w:r>
              <w:rPr>
                <w:rFonts w:ascii="Calibri" w:hAnsi="Calibri"/>
                <w:b w:val="0"/>
                <w:i w:val="0"/>
                <w:sz w:val="20"/>
              </w:rPr>
              <w:t>8.5135</w:t>
            </w:r>
          </w:p>
        </w:tc>
        <w:tc>
          <w:tcPr>
            <w:tcW w:type="dxa" w:w="1440"/>
            <w:shd w:val="clear" w:color="auto" w:fill="F0F4F8"/>
          </w:tcPr>
          <w:p>
            <w:pPr>
              <w:jc w:val="left"/>
            </w:pPr>
            <w:r>
              <w:rPr>
                <w:rFonts w:ascii="Calibri" w:hAnsi="Calibri"/>
                <w:b w:val="0"/>
                <w:i w:val="0"/>
                <w:sz w:val="20"/>
              </w:rPr>
              <w:t>0.000</w:t>
            </w:r>
          </w:p>
        </w:tc>
      </w:tr>
      <w:tr>
        <w:tc>
          <w:tcPr>
            <w:tcW w:type="dxa" w:w="3600"/>
            <w:shd w:val="clear" w:color="auto" w:fill="FFFFFF"/>
          </w:tcPr>
          <w:p>
            <w:pPr>
              <w:jc w:val="left"/>
            </w:pPr>
            <w:r>
              <w:rPr>
                <w:rFonts w:ascii="Calibri" w:hAnsi="Calibri"/>
                <w:b w:val="0"/>
                <w:i w:val="0"/>
                <w:sz w:val="20"/>
              </w:rPr>
              <w:t>SVR — Phase 1</w:t>
            </w:r>
          </w:p>
        </w:tc>
        <w:tc>
          <w:tcPr>
            <w:tcW w:type="dxa" w:w="1872"/>
            <w:shd w:val="clear" w:color="auto" w:fill="FFFFFF"/>
          </w:tcPr>
          <w:p>
            <w:pPr>
              <w:jc w:val="left"/>
            </w:pPr>
            <w:r>
              <w:rPr>
                <w:rFonts w:ascii="Calibri" w:hAnsi="Calibri"/>
                <w:b w:val="0"/>
                <w:i w:val="0"/>
                <w:sz w:val="20"/>
              </w:rPr>
              <w:t>2.3025</w:t>
            </w:r>
          </w:p>
        </w:tc>
        <w:tc>
          <w:tcPr>
            <w:tcW w:type="dxa" w:w="1872"/>
            <w:shd w:val="clear" w:color="auto" w:fill="FFFFFF"/>
          </w:tcPr>
          <w:p>
            <w:pPr>
              <w:jc w:val="left"/>
            </w:pPr>
            <w:r>
              <w:rPr>
                <w:rFonts w:ascii="Calibri" w:hAnsi="Calibri"/>
                <w:b w:val="0"/>
                <w:i w:val="0"/>
                <w:sz w:val="20"/>
              </w:rPr>
              <w:t>3.8448</w:t>
            </w:r>
          </w:p>
        </w:tc>
        <w:tc>
          <w:tcPr>
            <w:tcW w:type="dxa" w:w="1440"/>
            <w:shd w:val="clear" w:color="auto" w:fill="FFFFFF"/>
          </w:tcPr>
          <w:p>
            <w:pPr>
              <w:jc w:val="left"/>
            </w:pPr>
            <w:r>
              <w:rPr>
                <w:rFonts w:ascii="Calibri" w:hAnsi="Calibri"/>
                <w:b w:val="0"/>
                <w:i w:val="0"/>
                <w:sz w:val="20"/>
              </w:rPr>
              <w:t>0.796</w:t>
            </w:r>
          </w:p>
        </w:tc>
      </w:tr>
      <w:tr>
        <w:tc>
          <w:tcPr>
            <w:tcW w:type="dxa" w:w="3600"/>
            <w:shd w:val="clear" w:color="auto" w:fill="F0F4F8"/>
          </w:tcPr>
          <w:p>
            <w:pPr>
              <w:jc w:val="left"/>
            </w:pPr>
            <w:r>
              <w:rPr>
                <w:rFonts w:ascii="Calibri" w:hAnsi="Calibri"/>
                <w:b w:val="0"/>
                <w:i w:val="0"/>
                <w:sz w:val="20"/>
              </w:rPr>
              <w:t>BiLSTM + Attention (ours)</w:t>
            </w:r>
          </w:p>
        </w:tc>
        <w:tc>
          <w:tcPr>
            <w:tcW w:type="dxa" w:w="1872"/>
            <w:shd w:val="clear" w:color="auto" w:fill="F0F4F8"/>
          </w:tcPr>
          <w:p>
            <w:pPr>
              <w:jc w:val="left"/>
            </w:pPr>
            <w:r>
              <w:rPr>
                <w:rFonts w:ascii="Calibri" w:hAnsi="Calibri"/>
                <w:b w:val="0"/>
                <w:i w:val="0"/>
                <w:sz w:val="20"/>
              </w:rPr>
              <w:t>1.2800</w:t>
            </w:r>
          </w:p>
        </w:tc>
        <w:tc>
          <w:tcPr>
            <w:tcW w:type="dxa" w:w="1872"/>
            <w:shd w:val="clear" w:color="auto" w:fill="F0F4F8"/>
          </w:tcPr>
          <w:p>
            <w:pPr>
              <w:jc w:val="left"/>
            </w:pPr>
            <w:r>
              <w:rPr>
                <w:rFonts w:ascii="Calibri" w:hAnsi="Calibri"/>
                <w:b w:val="0"/>
                <w:i w:val="0"/>
                <w:sz w:val="20"/>
              </w:rPr>
              <w:t>2.2800</w:t>
            </w:r>
          </w:p>
        </w:tc>
        <w:tc>
          <w:tcPr>
            <w:tcW w:type="dxa" w:w="1440"/>
            <w:shd w:val="clear" w:color="auto" w:fill="F0F4F8"/>
          </w:tcPr>
          <w:p>
            <w:pPr>
              <w:jc w:val="left"/>
            </w:pPr>
            <w:r>
              <w:rPr>
                <w:rFonts w:ascii="Calibri" w:hAnsi="Calibri"/>
                <w:b w:val="0"/>
                <w:i w:val="0"/>
                <w:sz w:val="20"/>
              </w:rPr>
              <w:t>0.929</w:t>
            </w:r>
          </w:p>
        </w:tc>
      </w:tr>
    </w:tbl>
    <w:p/>
    <w:p>
      <w:pPr>
        <w:spacing w:after="120"/>
        <w:ind w:firstLine="0"/>
      </w:pPr>
      <w:r>
        <w:rPr>
          <w:rFonts w:ascii="Calibri" w:hAnsi="Calibri"/>
          <w:b w:val="0"/>
          <w:i w:val="0"/>
          <w:sz w:val="22"/>
        </w:rPr>
        <w:t>The BiLSTM+Attention model achieves R² = 0.929, explaining 92.9% of yield variance on the held-out test set. Compared to Phase 1 SVR, RMSE improves by 40.6% (3.8448 → 2.2800 t/ha) and MAE improves by 44.4% (2.3025 → 1.2800 t/ha). The improvement over the mean predictor baseline is 73.2% on RMSE, demonstrating that the model has learned a substantial and meaningful signal beyond the trivial response mean.</w:t>
      </w:r>
    </w:p>
    <w:p>
      <w:pPr>
        <w:spacing w:after="120"/>
        <w:ind w:firstLine="0"/>
      </w:pPr>
      <w:r>
        <w:rPr>
          <w:rFonts w:ascii="Calibri" w:hAnsi="Calibri"/>
          <w:b w:val="0"/>
          <w:i w:val="0"/>
          <w:sz w:val="22"/>
        </w:rPr>
        <w:t>The gain over SVR is attributable specifically to temporal context. Both models use the same 8 tabular features and per-crop normalisation. The only structural difference is that BiLSTM sees 5 years of history while SVR sees only the current year. This isolation of the experimental condition makes the comparison clean: the 40.6% RMSE improvement is the measured value of temporal memory for crop yield prediction on this dataset.</w:t>
      </w:r>
    </w:p>
    <w:p>
      <w:pPr>
        <w:spacing w:before="240" w:after="60"/>
      </w:pPr>
      <w:r>
        <w:rPr>
          <w:rFonts w:ascii="Calibri" w:hAnsi="Calibri"/>
          <w:b/>
          <w:i w:val="0"/>
          <w:color w:val="2E75B6"/>
          <w:sz w:val="24"/>
        </w:rPr>
        <w:t>6.2 Learning Curve Analysis</w:t>
      </w:r>
    </w:p>
    <w:p>
      <w:pPr>
        <w:spacing w:after="120"/>
        <w:ind w:firstLine="0"/>
      </w:pPr>
      <w:r>
        <w:rPr>
          <w:rFonts w:ascii="Calibri" w:hAnsi="Calibri"/>
          <w:b w:val="0"/>
          <w:i w:val="0"/>
          <w:sz w:val="22"/>
        </w:rPr>
        <w:t>The learning curves show MSE loss on normalised targets plotted per epoch for training and validation sets. The key observations are:</w:t>
      </w:r>
    </w:p>
    <w:p>
      <w:pPr>
        <w:pStyle w:val="ListBullet"/>
        <w:spacing w:after="60"/>
        <w:ind w:left="432"/>
      </w:pPr>
      <w:r>
        <w:rPr>
          <w:rFonts w:ascii="Calibri" w:hAnsi="Calibri"/>
          <w:b w:val="0"/>
          <w:i w:val="0"/>
          <w:sz w:val="22"/>
        </w:rPr>
        <w:t>Val loss tracks train loss throughout: the gap between the two curves remains small, indicating that the model generalises rather than memorising training sequences.</w:t>
      </w:r>
    </w:p>
    <w:p>
      <w:pPr>
        <w:pStyle w:val="ListBullet"/>
        <w:spacing w:after="60"/>
        <w:ind w:left="432"/>
      </w:pPr>
      <w:r>
        <w:rPr>
          <w:rFonts w:ascii="Calibri" w:hAnsi="Calibri"/>
          <w:b w:val="0"/>
          <w:i w:val="0"/>
          <w:sz w:val="22"/>
        </w:rPr>
        <w:t>LR decay kink visible: a sharp improvement in both curves marks the epoch where ReduceLROnPlateau first halved the learning rate. Without this schedule, training typically plateaued 10–15% above the achieved minimum.</w:t>
      </w:r>
    </w:p>
    <w:p>
      <w:pPr>
        <w:pStyle w:val="ListBullet"/>
        <w:spacing w:after="60"/>
        <w:ind w:left="432"/>
      </w:pPr>
      <w:r>
        <w:rPr>
          <w:rFonts w:ascii="Calibri" w:hAnsi="Calibri"/>
          <w:b w:val="0"/>
          <w:i w:val="0"/>
          <w:sz w:val="22"/>
        </w:rPr>
        <w:t>Early stop fires before overfitting: training halts as soon as val loss stagnates, restoring best weights automatically.</w:t>
      </w:r>
    </w:p>
    <w:p>
      <w:pPr>
        <w:spacing w:before="240" w:after="60"/>
      </w:pPr>
      <w:r>
        <w:rPr>
          <w:rFonts w:ascii="Calibri" w:hAnsi="Calibri"/>
          <w:b/>
          <w:i w:val="0"/>
          <w:color w:val="2E75B6"/>
          <w:sz w:val="24"/>
        </w:rPr>
        <w:t>6.3 Per-Crop R² Breakdown</w:t>
      </w:r>
    </w:p>
    <w:p>
      <w:pPr>
        <w:spacing w:after="120"/>
        <w:ind w:firstLine="0"/>
      </w:pPr>
      <w:r>
        <w:rPr>
          <w:rFonts w:ascii="Calibri" w:hAnsi="Calibri"/>
          <w:b w:val="0"/>
          <w:i w:val="0"/>
          <w:sz w:val="22"/>
        </w:rPr>
        <w:t>Per-crop R² is computed on the test set by isolating predictions for each crop type separately. This diagnostic reveals whether the overall R² = 0.929 conceals weak performance on specific crops.</w:t>
      </w:r>
    </w:p>
    <w:p>
      <w:pPr>
        <w:spacing w:after="120"/>
        <w:ind w:firstLine="0"/>
      </w:pPr>
      <w:r>
        <w:rPr>
          <w:rFonts w:ascii="Calibri" w:hAnsi="Calibri"/>
          <w:b w:val="0"/>
          <w:i w:val="0"/>
          <w:sz w:val="22"/>
        </w:rPr>
        <w:t>Results show that crops with stable multi-year climate signatures (Wheat, Maize, Rice) achieve R² above 0.93. Root crops (Yams, Sweet Potatoes) show slightly lower per-crop R² — these crops have substantial yield variance driven by soil composition and harvesting practices that are not present in the climate-only feature set. The absence of any negative per-crop R² values confirms the model is not predicting worse than the mean for any crop.</w:t>
      </w:r>
    </w:p>
    <w:p>
      <w:pPr>
        <w:spacing w:before="240" w:after="60"/>
      </w:pPr>
      <w:r>
        <w:rPr>
          <w:rFonts w:ascii="Calibri" w:hAnsi="Calibri"/>
          <w:b/>
          <w:i w:val="0"/>
          <w:color w:val="2E75B6"/>
          <w:sz w:val="24"/>
        </w:rPr>
        <w:t>6.4 Attention Weight Visualisation</w:t>
      </w:r>
    </w:p>
    <w:p>
      <w:pPr>
        <w:spacing w:after="120"/>
        <w:ind w:firstLine="0"/>
      </w:pPr>
      <w:r>
        <w:rPr>
          <w:rFonts w:ascii="Calibri" w:hAnsi="Calibri"/>
          <w:b w:val="0"/>
          <w:i w:val="0"/>
          <w:sz w:val="22"/>
        </w:rPr>
        <w:t>Attention weights (α_1 through α_5) are extracted for a sample of 8 test sequences and displayed as bar charts. Each bar represents the fraction of attention allocated to one lookback year (t-4 through t).</w:t>
      </w:r>
    </w:p>
    <w:p>
      <w:pPr>
        <w:spacing w:after="120"/>
        <w:ind w:firstLine="0"/>
      </w:pPr>
      <w:r>
        <w:rPr>
          <w:rFonts w:ascii="Calibri" w:hAnsi="Calibri"/>
          <w:b w:val="0"/>
          <w:i w:val="0"/>
          <w:sz w:val="22"/>
        </w:rPr>
        <w:t>The dominant pattern observed is that α is highest for the most recent years (t-1, t), consistent with the intuition that last year's climate is the strongest predictor of this year's yield. However, for sequences preceding known multi-year drought periods, attention shifts toward earlier timesteps (t-3, t-4), indicating the model has learned to incorporate cumulative stress signals. This behaviour validates that the attention mechanism is learning physically meaningful temporal patterns, not acting as a noisy weighting function.</w:t>
      </w:r>
    </w:p>
    <w:p>
      <w:pPr>
        <w:spacing w:before="360" w:after="80"/>
        <w:pBdr>
          <w:bottom w:val="single" w:sz="6" w:space="1" w:color="2E75B6"/>
        </w:pBdr>
      </w:pPr>
      <w:r>
        <w:rPr>
          <w:rFonts w:ascii="Calibri" w:hAnsi="Calibri"/>
          <w:b/>
          <w:i w:val="0"/>
          <w:color w:val="1F4E79"/>
          <w:sz w:val="30"/>
        </w:rPr>
        <w:t>7. Theoretical Foundations</w:t>
      </w:r>
    </w:p>
    <w:p>
      <w:pPr>
        <w:spacing w:before="240" w:after="60"/>
      </w:pPr>
      <w:r>
        <w:rPr>
          <w:rFonts w:ascii="Calibri" w:hAnsi="Calibri"/>
          <w:b/>
          <w:i w:val="0"/>
          <w:color w:val="2E75B6"/>
          <w:sz w:val="24"/>
        </w:rPr>
        <w:t>7.1 LSTM — Solving the Vanishing Gradient Problem</w:t>
      </w:r>
    </w:p>
    <w:p>
      <w:pPr>
        <w:spacing w:after="120"/>
        <w:ind w:firstLine="0"/>
      </w:pPr>
      <w:r>
        <w:rPr>
          <w:rFonts w:ascii="Calibri" w:hAnsi="Calibri"/>
          <w:b w:val="0"/>
          <w:i w:val="0"/>
          <w:sz w:val="22"/>
        </w:rPr>
        <w:t>Simple recurrent neural networks compute hidden states h_t = tanh(W_h · h_{t-1} + W_x · x_t). During backpropagation through time (BPTT), the gradient with respect to h_0 involves the product of T Jacobian matrices ∂h_t/∂h_{t-1}. If the spectral radius of W_h is less than 1, this product converges to zero exponentially — the vanishing gradient problem. Gradients from 5 years ago carry essentially no signal to the output layer.</w:t>
      </w:r>
    </w:p>
    <w:p>
      <w:pPr>
        <w:spacing w:after="120"/>
        <w:ind w:firstLine="0"/>
      </w:pPr>
      <w:r>
        <w:rPr>
          <w:rFonts w:ascii="Calibri" w:hAnsi="Calibri"/>
          <w:b w:val="0"/>
          <w:i w:val="0"/>
          <w:sz w:val="22"/>
        </w:rPr>
        <w:t>LSTM addresses this with a cell state c_t that flows through time via additive updates, allowing gradients to propagate unchanged over long distances (Hochreiter and Schmidhuber, 1997). The three gates (forget f_t, input i_t, output o_t) use sigmoid activations that select what information to retain, add, or expose:</w:t>
      </w:r>
    </w:p>
    <w:p>
      <w:pPr>
        <w:pStyle w:val="ListBullet"/>
        <w:spacing w:after="60"/>
        <w:ind w:left="432"/>
      </w:pPr>
      <w:r>
        <w:rPr>
          <w:rFonts w:ascii="Calibri" w:hAnsi="Calibri"/>
          <w:b w:val="0"/>
          <w:i w:val="0"/>
          <w:sz w:val="22"/>
        </w:rPr>
        <w:t>f_t = σ(W_f · [h_{t-1}, x_t] + b_f)  — what to forget from the previous cell state</w:t>
      </w:r>
    </w:p>
    <w:p>
      <w:pPr>
        <w:pStyle w:val="ListBullet"/>
        <w:spacing w:after="60"/>
        <w:ind w:left="432"/>
      </w:pPr>
      <w:r>
        <w:rPr>
          <w:rFonts w:ascii="Calibri" w:hAnsi="Calibri"/>
          <w:b w:val="0"/>
          <w:i w:val="0"/>
          <w:sz w:val="22"/>
        </w:rPr>
        <w:t>i_t = σ(W_i · [h_{t-1}, x_t] + b_i)  — what new information to add</w:t>
      </w:r>
    </w:p>
    <w:p>
      <w:pPr>
        <w:pStyle w:val="ListBullet"/>
        <w:spacing w:after="60"/>
        <w:ind w:left="432"/>
      </w:pPr>
      <w:r>
        <w:rPr>
          <w:rFonts w:ascii="Calibri" w:hAnsi="Calibri"/>
          <w:b w:val="0"/>
          <w:i w:val="0"/>
          <w:sz w:val="22"/>
        </w:rPr>
        <w:t>c_t = f_t ⊙ c_{t-1} + i_t ⊙ tanh(W_c · [h_{t-1}, x_t] + b_c)</w:t>
      </w:r>
    </w:p>
    <w:p>
      <w:pPr>
        <w:pStyle w:val="ListBullet"/>
        <w:spacing w:after="60"/>
        <w:ind w:left="432"/>
      </w:pPr>
      <w:r>
        <w:rPr>
          <w:rFonts w:ascii="Calibri" w:hAnsi="Calibri"/>
          <w:b w:val="0"/>
          <w:i w:val="0"/>
          <w:sz w:val="22"/>
        </w:rPr>
        <w:t>o_t = σ(W_o · [h_{t-1}, x_t] + b_o)  — what to expose as hidden state</w:t>
      </w:r>
    </w:p>
    <w:p>
      <w:pPr>
        <w:spacing w:after="120"/>
        <w:ind w:firstLine="0"/>
      </w:pPr>
      <w:r>
        <w:rPr>
          <w:rFonts w:ascii="Calibri" w:hAnsi="Calibri"/>
          <w:b w:val="0"/>
          <w:i w:val="0"/>
          <w:sz w:val="22"/>
        </w:rPr>
        <w:t>The cell state pathway has a derivative of 1 with respect to f_t ≈ 1 (open forget gate), enabling gradient flow over arbitrarily long sequences.</w:t>
      </w:r>
    </w:p>
    <w:p>
      <w:pPr>
        <w:spacing w:before="240" w:after="60"/>
      </w:pPr>
      <w:r>
        <w:rPr>
          <w:rFonts w:ascii="Calibri" w:hAnsi="Calibri"/>
          <w:b/>
          <w:i w:val="0"/>
          <w:color w:val="2E75B6"/>
          <w:sz w:val="24"/>
        </w:rPr>
        <w:t>7.2 Batch Normalisation and Internal Covariate Shift</w:t>
      </w:r>
    </w:p>
    <w:p>
      <w:pPr>
        <w:spacing w:after="120"/>
        <w:ind w:firstLine="0"/>
      </w:pPr>
      <w:r>
        <w:rPr>
          <w:rFonts w:ascii="Calibri" w:hAnsi="Calibri"/>
          <w:b w:val="0"/>
          <w:i w:val="0"/>
          <w:sz w:val="22"/>
        </w:rPr>
        <w:t>Each Dense layer receives inputs whose distribution shifts as upstream weights change during training — a phenomenon termed internal covariate shift (Ioffe and Szegedy, 2015). Without normalisation, each layer must continuously adapt to a moving input distribution, slowing convergence.</w:t>
      </w:r>
    </w:p>
    <w:p>
      <w:pPr>
        <w:spacing w:after="120"/>
        <w:ind w:firstLine="0"/>
      </w:pPr>
      <w:r>
        <w:rPr>
          <w:rFonts w:ascii="Calibri" w:hAnsi="Calibri"/>
          <w:b w:val="0"/>
          <w:i w:val="0"/>
          <w:sz w:val="22"/>
        </w:rPr>
        <w:t>Batch normalisation computes the mean μ_B and variance σ²_B over each mini-batch, then normalises: x̂ = (x − μ_B) / √(σ²_B + ε). Learned scale and shift parameters γ and β allow the normalised distribution to be re-scaled: y = γ · x̂ + β. The layer can learn to represent the identity transformation (by setting γ = σ, β = μ) if normalisation is counterproductive, making BN strictly no worse than no normalisation.</w:t>
      </w:r>
    </w:p>
    <w:p>
      <w:pPr>
        <w:spacing w:before="240" w:after="60"/>
      </w:pPr>
      <w:r>
        <w:rPr>
          <w:rFonts w:ascii="Calibri" w:hAnsi="Calibri"/>
          <w:b/>
          <w:i w:val="0"/>
          <w:color w:val="2E75B6"/>
          <w:sz w:val="24"/>
        </w:rPr>
        <w:t>7.3 Attention as a Soft Content-Based Lookup</w:t>
      </w:r>
    </w:p>
    <w:p>
      <w:pPr>
        <w:spacing w:after="120"/>
        <w:ind w:firstLine="0"/>
      </w:pPr>
      <w:r>
        <w:rPr>
          <w:rFonts w:ascii="Calibri" w:hAnsi="Calibri"/>
          <w:b w:val="0"/>
          <w:i w:val="0"/>
          <w:sz w:val="22"/>
        </w:rPr>
        <w:t>The attention mechanism can be understood as a differentiable database query. The LSTM hidden states h_1...h_T form the database. The attention query is a fixed learned projection computed from all states simultaneously. The output is a weighted retrieval where the weights are the attention distribution α.</w:t>
      </w:r>
    </w:p>
    <w:p>
      <w:pPr>
        <w:spacing w:after="120"/>
        <w:ind w:firstLine="0"/>
      </w:pPr>
      <w:r>
        <w:rPr>
          <w:rFonts w:ascii="Calibri" w:hAnsi="Calibri"/>
          <w:b w:val="0"/>
          <w:i w:val="0"/>
          <w:sz w:val="22"/>
        </w:rPr>
        <w:t>Using additive (Bahdanau) attention over scaled dot-product: dot-product attention requires the query and key to share dimensionality and scales poorly when H is large (softmax saturates with large dot products). Additive attention projects through a learned W matrix, providing more stable gradients and more flexibility when H = 128 as in this architecture.</w:t>
      </w:r>
    </w:p>
    <w:p>
      <w:pPr>
        <w:spacing w:before="240" w:after="60"/>
      </w:pPr>
      <w:r>
        <w:rPr>
          <w:rFonts w:ascii="Calibri" w:hAnsi="Calibri"/>
          <w:b/>
          <w:i w:val="0"/>
          <w:color w:val="2E75B6"/>
          <w:sz w:val="24"/>
        </w:rPr>
        <w:t>7.4 Gradient Clipping for Stable LSTM Training</w:t>
      </w:r>
    </w:p>
    <w:p>
      <w:pPr>
        <w:spacing w:after="120"/>
        <w:ind w:firstLine="0"/>
      </w:pPr>
      <w:r>
        <w:rPr>
          <w:rFonts w:ascii="Calibri" w:hAnsi="Calibri"/>
          <w:b w:val="0"/>
          <w:i w:val="0"/>
          <w:sz w:val="22"/>
        </w:rPr>
        <w:t>Unlike the vanishing gradient problem (addressed by LSTM cell state), exploding gradients arise when gradient magnitudes grow without bound during BPTT. This can occur when the spectral radius of the recurrent weight matrix exceeds 1. Gradient clipping rescales the gradient vector g when its L2 norm exceeds a threshold: g ← g × (threshold / ||g||_2). This preserves the direction of the gradient update while bounding its magnitude, preventing weight updates that destabilise training without reducing the learning signal.</w:t>
      </w:r>
    </w:p>
    <w:p>
      <w:pPr>
        <w:spacing w:before="360" w:after="80"/>
        <w:pBdr>
          <w:bottom w:val="single" w:sz="6" w:space="1" w:color="2E75B6"/>
        </w:pBdr>
      </w:pPr>
      <w:r>
        <w:rPr>
          <w:rFonts w:ascii="Calibri" w:hAnsi="Calibri"/>
          <w:b/>
          <w:i w:val="0"/>
          <w:color w:val="1F4E79"/>
          <w:sz w:val="30"/>
        </w:rPr>
        <w:t>8. Conclusion</w:t>
      </w:r>
    </w:p>
    <w:p>
      <w:pPr>
        <w:spacing w:after="120"/>
        <w:ind w:firstLine="0"/>
      </w:pPr>
      <w:r>
        <w:rPr>
          <w:rFonts w:ascii="Calibri" w:hAnsi="Calibri"/>
          <w:b w:val="0"/>
          <w:i w:val="0"/>
          <w:sz w:val="22"/>
        </w:rPr>
        <w:t>This report presents AgriVision Phase 2 — a Bidirectional LSTM with Temporal Attention for multi-country, multi-crop yield prediction using 5-year climate sequences. The model achieves R² = 0.929 and RMSE = 2.28 t/ha on a held-out test set, representing a 40.6% RMSE improvement over Phase 1 SVR on identical data.</w:t>
      </w:r>
    </w:p>
    <w:p>
      <w:pPr>
        <w:spacing w:after="120"/>
        <w:ind w:firstLine="0"/>
      </w:pPr>
      <w:r>
        <w:rPr>
          <w:rFonts w:ascii="Calibri" w:hAnsi="Calibri"/>
          <w:b w:val="0"/>
          <w:i w:val="0"/>
          <w:sz w:val="22"/>
        </w:rPr>
        <w:t>The primary contribution of Phase 2 is demonstrating that the 40.6% improvement is attributable entirely to temporal context — the model sees the same features as SVR but processes them as a 5-year sequence rather than a single-year snapshot. The ablation is clean: both phases use per-crop normalisation, the same 8 tabular features, and the same train/test split logic. The BiLSTM improvement comes from structural capability, not from additional data or feature engineering.</w:t>
      </w:r>
    </w:p>
    <w:p>
      <w:pPr>
        <w:spacing w:after="120"/>
        <w:ind w:firstLine="0"/>
      </w:pPr>
      <w:r>
        <w:rPr>
          <w:rFonts w:ascii="Calibri" w:hAnsi="Calibri"/>
          <w:b w:val="0"/>
          <w:i w:val="0"/>
          <w:sz w:val="22"/>
        </w:rPr>
        <w:t>Attention weight visualisation confirms that the model has learned physically interpretable temporal patterns: recent years receive the highest attention in most sequences, but attention shifts to earlier timesteps preceding known multi-year stress events. This makes the model more interpretable than a standard black-box LSTM, providing a path toward domain expert validation.</w:t>
      </w:r>
    </w:p>
    <w:p>
      <w:pPr>
        <w:spacing w:after="120"/>
        <w:ind w:firstLine="0"/>
      </w:pPr>
      <w:r>
        <w:rPr>
          <w:rFonts w:ascii="Calibri" w:hAnsi="Calibri"/>
          <w:b w:val="0"/>
          <w:i w:val="0"/>
          <w:sz w:val="22"/>
        </w:rPr>
        <w:t>The per-crop R² breakdown reveals that climate-only features are more predictive for annual crops (Wheat, Maize, Rice) than for root crops (Yams, Sweet Potatoes), which have additional yield drivers — soil composition, harvesting practices — not represented in the feature set. This diagnostic points to the data requirements for any future improvement.</w:t>
      </w:r>
    </w:p>
    <w:p>
      <w:pPr>
        <w:spacing w:before="360" w:after="80"/>
        <w:pBdr>
          <w:bottom w:val="single" w:sz="6" w:space="1" w:color="2E75B6"/>
        </w:pBdr>
      </w:pPr>
      <w:r>
        <w:rPr>
          <w:rFonts w:ascii="Calibri" w:hAnsi="Calibri"/>
          <w:b/>
          <w:i w:val="0"/>
          <w:color w:val="1F4E79"/>
          <w:sz w:val="30"/>
        </w:rPr>
        <w:t>References</w:t>
      </w:r>
    </w:p>
    <w:p>
      <w:pPr>
        <w:spacing w:after="80"/>
        <w:ind w:left="432" w:hanging="432"/>
      </w:pPr>
      <w:r>
        <w:rPr>
          <w:rFonts w:ascii="Calibri" w:hAnsi="Calibri"/>
          <w:b w:val="0"/>
          <w:i w:val="0"/>
          <w:sz w:val="20"/>
        </w:rPr>
        <w:t>[1] Bahdanau, D., Cho, K. and Bengio, Y. (2015). Neural machine translation by jointly learning to align and translate. ICLR 2015.</w:t>
      </w:r>
    </w:p>
    <w:p>
      <w:pPr>
        <w:spacing w:after="80"/>
        <w:ind w:left="432" w:hanging="432"/>
      </w:pPr>
      <w:r>
        <w:rPr>
          <w:rFonts w:ascii="Calibri" w:hAnsi="Calibri"/>
          <w:b w:val="0"/>
          <w:i w:val="0"/>
          <w:sz w:val="20"/>
        </w:rPr>
        <w:t>[2] Feng, P., Wang, B., Liu, D.L. and Yu, Q. (2019). Machine learning-based integration of remotely-sensed drought factors can improve the estimation of agricultural drought disaster. Agricultural Systems, 173, pp.277–290.</w:t>
      </w:r>
    </w:p>
    <w:p>
      <w:pPr>
        <w:spacing w:after="80"/>
        <w:ind w:left="432" w:hanging="432"/>
      </w:pPr>
      <w:r>
        <w:rPr>
          <w:rFonts w:ascii="Calibri" w:hAnsi="Calibri"/>
          <w:b w:val="0"/>
          <w:i w:val="0"/>
          <w:sz w:val="20"/>
        </w:rPr>
        <w:t>[3] Hochreiter, S. and Schmidhuber, J. (1997). Long short-term memory. Neural Computation, 9(8), pp.1735–1780.</w:t>
      </w:r>
    </w:p>
    <w:p>
      <w:pPr>
        <w:spacing w:after="80"/>
        <w:ind w:left="432" w:hanging="432"/>
      </w:pPr>
      <w:r>
        <w:rPr>
          <w:rFonts w:ascii="Calibri" w:hAnsi="Calibri"/>
          <w:b w:val="0"/>
          <w:i w:val="0"/>
          <w:sz w:val="20"/>
        </w:rPr>
        <w:t>[4] Ioffe, S. and Szegedy, C. (2015). Batch normalization: Accelerating deep network training by reducing internal covariate shift. ICML 2015.</w:t>
      </w:r>
    </w:p>
    <w:p>
      <w:pPr>
        <w:spacing w:after="80"/>
        <w:ind w:left="432" w:hanging="432"/>
      </w:pPr>
      <w:r>
        <w:rPr>
          <w:rFonts w:ascii="Calibri" w:hAnsi="Calibri"/>
          <w:b w:val="0"/>
          <w:i w:val="0"/>
          <w:sz w:val="20"/>
        </w:rPr>
        <w:t>[5] Jeong, J.H. et al. (2016). Random forests for global and regional crop yield predictions. PLOS ONE, 11(6).</w:t>
      </w:r>
    </w:p>
    <w:p>
      <w:pPr>
        <w:spacing w:after="80"/>
        <w:ind w:left="432" w:hanging="432"/>
      </w:pPr>
      <w:r>
        <w:rPr>
          <w:rFonts w:ascii="Calibri" w:hAnsi="Calibri"/>
          <w:b w:val="0"/>
          <w:i w:val="0"/>
          <w:sz w:val="20"/>
        </w:rPr>
        <w:t>[6] Khaki, S. and Wang, L. (2019). Crop yield prediction using deep neural networks. Frontiers in Plant Science, 10, p.621.</w:t>
      </w:r>
    </w:p>
    <w:p>
      <w:pPr>
        <w:spacing w:after="80"/>
        <w:ind w:left="432" w:hanging="432"/>
      </w:pPr>
      <w:r>
        <w:rPr>
          <w:rFonts w:ascii="Calibri" w:hAnsi="Calibri"/>
          <w:b w:val="0"/>
          <w:i w:val="0"/>
          <w:sz w:val="20"/>
        </w:rPr>
        <w:t>[7] Kingma, D.P. and Ba, J. (2014). Adam: A method for stochastic optimization. ICLR 2015.</w:t>
      </w:r>
    </w:p>
    <w:p>
      <w:pPr>
        <w:spacing w:after="80"/>
        <w:ind w:left="432" w:hanging="432"/>
      </w:pPr>
      <w:r>
        <w:rPr>
          <w:rFonts w:ascii="Calibri" w:hAnsi="Calibri"/>
          <w:b w:val="0"/>
          <w:i w:val="0"/>
          <w:sz w:val="20"/>
        </w:rPr>
        <w:t>[8] Shen, C. (2018). A transdisciplinary review of deep learning research and its relevance for water resources scientists. Water Resources Research, 54(11), pp.8558–8593.</w:t>
      </w:r>
    </w:p>
    <w:p>
      <w:pPr>
        <w:spacing w:after="80"/>
        <w:ind w:left="432" w:hanging="432"/>
      </w:pPr>
      <w:r>
        <w:rPr>
          <w:rFonts w:ascii="Calibri" w:hAnsi="Calibri"/>
          <w:b w:val="0"/>
          <w:i w:val="0"/>
          <w:sz w:val="20"/>
        </w:rPr>
        <w:t>[9] Xu, L. et al. (2019). Deep learning-based seasonal drought forecasting. Journal of Hydrology, 578, 124052.</w:t>
      </w:r>
    </w:p>
    <w:p>
      <w:pPr>
        <w:spacing w:after="80"/>
        <w:ind w:left="432" w:hanging="432"/>
      </w:pPr>
      <w:r>
        <w:rPr>
          <w:rFonts w:ascii="Calibri" w:hAnsi="Calibri"/>
          <w:b w:val="0"/>
          <w:i w:val="0"/>
          <w:sz w:val="20"/>
        </w:rPr>
        <w:t>[10] FAO (2023). FAOSTAT Crops and Livestock Products. http://www.fao.org/faostat/</w:t>
      </w:r>
    </w:p>
    <w:p>
      <w:pPr>
        <w:spacing w:after="80"/>
        <w:ind w:left="432" w:hanging="432"/>
      </w:pPr>
      <w:r>
        <w:rPr>
          <w:rFonts w:ascii="Calibri" w:hAnsi="Calibri"/>
          <w:b w:val="0"/>
          <w:i w:val="0"/>
          <w:sz w:val="20"/>
        </w:rPr>
        <w:t>[11] Pedregosa, F. et al. (2011). Scikit-learn: Machine Learning in Python. JMLR, 12, pp.2825–2830.</w:t>
      </w:r>
    </w:p>
    <w:p>
      <w:pPr>
        <w:spacing w:after="80"/>
        <w:ind w:left="432" w:hanging="432"/>
      </w:pPr>
      <w:r>
        <w:rPr>
          <w:rFonts w:ascii="Calibri" w:hAnsi="Calibri"/>
          <w:b w:val="0"/>
          <w:i w:val="0"/>
          <w:sz w:val="20"/>
        </w:rPr>
        <w:t>[12] Paszke, A. et al. (2019). PyTorch: An imperative style, high-performance deep learning library. NeurIPS 2019.</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