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120"/>
        <w:jc w:val="center"/>
      </w:pPr>
      <w:r>
        <w:rPr>
          <w:rFonts w:ascii="Arial" w:cs="Arial" w:eastAsia="Arial" w:hAnsi="Arial"/>
          <w:b/>
          <w:bCs/>
          <w:color w:val="1F4E79"/>
          <w:sz w:val="72"/>
          <w:szCs w:val="72"/>
        </w:rPr>
        <w:t xml:space="preserve">AgriVision</w:t>
      </w:r>
    </w:p>
    <w:p>
      <w:pPr>
        <w:spacing w:before="0" w:after="80"/>
        <w:jc w:val="center"/>
      </w:pPr>
      <w:r>
        <w:rPr>
          <w:rFonts w:ascii="Arial" w:cs="Arial" w:eastAsia="Arial" w:hAnsi="Arial"/>
          <w:color w:val="2E75B6"/>
          <w:sz w:val="36"/>
          <w:szCs w:val="36"/>
        </w:rPr>
        <w:t xml:space="preserve">Satellite-Based Precision Agriculture</w:t>
      </w:r>
    </w:p>
    <w:p>
      <w:pPr>
        <w:spacing w:before="0" w:after="40"/>
        <w:jc w:val="center"/>
      </w:pPr>
      <w:r>
        <w:rPr>
          <w:rFonts w:ascii="Arial" w:cs="Arial" w:eastAsia="Arial" w:hAnsi="Arial"/>
          <w:i/>
          <w:iCs/>
          <w:color w:val="555555"/>
          <w:sz w:val="24"/>
          <w:szCs w:val="24"/>
        </w:rPr>
        <w:t xml:space="preserve">Phase 1 — Baseline ML: Crop Yield Prediction using SVR</w:t>
      </w:r>
    </w:p>
    <w:p>
      <w:pPr>
        <w:spacing w:before="0" w:after="80"/>
      </w:pPr>
      <w:r>
        <w:t xml:space="preserve"/>
      </w:r>
    </w:p>
    <w:p>
      <w:pPr>
        <w:spacing w:before="0" w:after="80"/>
      </w:pPr>
      <w:r>
        <w:t xml:space="preserve"/>
      </w:r>
    </w:p>
    <w:p>
      <w:pPr>
        <w:jc w:val="center"/>
      </w:pPr>
      <w:r>
        <w:rPr>
          <w:rFonts w:ascii="Arial" w:cs="Arial" w:eastAsia="Arial" w:hAnsi="Arial"/>
          <w:color w:val="888888"/>
          <w:sz w:val="20"/>
          <w:szCs w:val="20"/>
        </w:rPr>
        <w:t xml:space="preserve">Dataset: FAO Crop Yield  |  101 countries  |  10 crops  |  1990–2013</w:t>
      </w:r>
    </w:p>
    <w:p>
      <w:pPr>
        <w:jc w:val="center"/>
      </w:pPr>
      <w:r>
        <w:rPr>
          <w:rFonts w:ascii="Arial" w:cs="Arial" w:eastAsia="Arial" w:hAnsi="Arial"/>
          <w:b/>
          <w:bCs/>
          <w:color w:val="2E75B6"/>
          <w:sz w:val="20"/>
          <w:szCs w:val="20"/>
        </w:rPr>
        <w:t xml:space="preserve">Final R² = 0.796  |  RMSE = 3.84 t/ha  |  54.8% improvement over baseline</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1. Introduction</w:t>
      </w:r>
    </w:p>
    <w:p>
      <w:pPr>
        <w:spacing w:before="80" w:after="120"/>
      </w:pPr>
      <w:r>
        <w:rPr>
          <w:rFonts w:ascii="Arial" w:cs="Arial" w:eastAsia="Arial" w:hAnsi="Arial"/>
          <w:sz w:val="22"/>
          <w:szCs w:val="22"/>
        </w:rPr>
        <w:t xml:space="preserve">Global food security is under increasing pressure from population growth, climate volatility, and constrained agricultural land. Accurate crop yield forecasting enables governments and aid organisations to allocate resources, plan emergency responses, and manage commodity supply chains. The Food and Agriculture Organization (FAO) estimates that yield prediction errors of even 5–10% at the national level translate into significant policy misallocations.</w:t>
      </w:r>
    </w:p>
    <w:p>
      <w:pPr>
        <w:spacing w:before="80" w:after="120"/>
      </w:pPr>
      <w:r>
        <w:rPr>
          <w:rFonts w:ascii="Arial" w:cs="Arial" w:eastAsia="Arial" w:hAnsi="Arial"/>
          <w:sz w:val="22"/>
          <w:szCs w:val="22"/>
        </w:rPr>
        <w:t xml:space="preserve">Traditional process-based simulation models (DSSAT, APSIM) require expert crop-specific parameterisation and do not generalise across geographies. Statistical regression models offer simplicity but fail to capture the non-linear interactions between climate, soil, and crop physiology. Machine learning methods — specifically kernel-based Support Vector Regression — provide a pathway to data-driven prediction that generalises across diverse regions without hand-tuned parameters.</w:t>
      </w:r>
    </w:p>
    <w:p>
      <w:pPr>
        <w:spacing w:before="80" w:after="120"/>
      </w:pPr>
      <w:r>
        <w:rPr>
          <w:rFonts w:ascii="Arial" w:cs="Arial" w:eastAsia="Arial" w:hAnsi="Arial"/>
          <w:b/>
          <w:bCs/>
          <w:sz w:val="22"/>
          <w:szCs w:val="22"/>
        </w:rPr>
        <w:t xml:space="preserve">AgriVision Phase 1 </w:t>
      </w:r>
      <w:r>
        <w:rPr>
          <w:rFonts w:ascii="Arial" w:cs="Arial" w:eastAsia="Arial" w:hAnsi="Arial"/>
          <w:sz w:val="22"/>
          <w:szCs w:val="22"/>
        </w:rPr>
        <w:t xml:space="preserve">builds a complete SVR pipeline that predicts crop yield in tonnes per hectare from five tabular features: country, crop type, rainfall, temperature, and pesticide usage. The key methodological contribution is per-crop target normalisation — a technique that resolves the cross-crop scale problem that causes naive global SVR models to fail on multi-crop datasets.</w:t>
      </w:r>
    </w:p>
    <w:p>
      <w:pPr>
        <w:spacing w:before="0" w:after="80"/>
      </w:pPr>
      <w:r>
        <w:t xml:space="preserve"/>
      </w:r>
    </w:p>
    <w:p>
      <w:pPr>
        <w:pStyle w:val="Heading2"/>
        <w:spacing w:before="240" w:after="100"/>
      </w:pPr>
      <w:r>
        <w:rPr>
          <w:rFonts w:ascii="Arial" w:cs="Arial" w:eastAsia="Arial" w:hAnsi="Arial"/>
          <w:b/>
          <w:bCs/>
          <w:color w:val="2E75B6"/>
          <w:sz w:val="26"/>
          <w:szCs w:val="26"/>
        </w:rPr>
        <w:t xml:space="preserve">1.1 Problem Statement</w:t>
      </w:r>
    </w:p>
    <w:p>
      <w:pPr>
        <w:spacing w:before="80" w:after="120"/>
      </w:pPr>
      <w:r>
        <w:rPr>
          <w:rFonts w:ascii="Arial" w:cs="Arial" w:eastAsia="Arial" w:hAnsi="Arial"/>
          <w:sz w:val="22"/>
          <w:szCs w:val="22"/>
        </w:rPr>
        <w:t xml:space="preserve">Given per-country, per-year observations of rainfall (mm), mean temperature (°C), and pesticide application (tonnes), predict crop yield in tonnes per hectare with minimum Root Mean Squared Error across 101 countries and 10 crop types simultaneously.</w:t>
      </w:r>
    </w:p>
    <w:p>
      <w:pPr>
        <w:spacing w:before="0" w:after="80"/>
      </w:pPr>
      <w:r>
        <w:t xml:space="preserve"/>
      </w:r>
    </w:p>
    <w:p>
      <w:pPr>
        <w:pStyle w:val="Heading2"/>
        <w:spacing w:before="240" w:after="100"/>
      </w:pPr>
      <w:r>
        <w:rPr>
          <w:rFonts w:ascii="Arial" w:cs="Arial" w:eastAsia="Arial" w:hAnsi="Arial"/>
          <w:b/>
          <w:bCs/>
          <w:color w:val="2E75B6"/>
          <w:sz w:val="26"/>
          <w:szCs w:val="26"/>
        </w:rPr>
        <w:t xml:space="preserve">1.2 Objectives</w:t>
      </w:r>
    </w:p>
    <w:p>
      <w:pPr>
        <w:pStyle w:val="ListParagraph"/>
        <w:numPr>
          <w:ilvl w:val="0"/>
          <w:numId w:val="2"/>
        </w:numPr>
        <w:spacing w:before="40" w:after="40"/>
      </w:pPr>
      <w:r>
        <w:rPr>
          <w:rFonts w:ascii="Arial" w:cs="Arial" w:eastAsia="Arial" w:hAnsi="Arial"/>
          <w:sz w:val="22"/>
          <w:szCs w:val="22"/>
        </w:rPr>
        <w:t xml:space="preserve">Build a reproducible data pipeline from raw FAO CSV to ML-ready feature matrix</w:t>
      </w:r>
    </w:p>
    <w:p>
      <w:pPr>
        <w:pStyle w:val="ListParagraph"/>
        <w:numPr>
          <w:ilvl w:val="0"/>
          <w:numId w:val="2"/>
        </w:numPr>
        <w:spacing w:before="40" w:after="40"/>
      </w:pPr>
      <w:r>
        <w:rPr>
          <w:rFonts w:ascii="Arial" w:cs="Arial" w:eastAsia="Arial" w:hAnsi="Arial"/>
          <w:sz w:val="22"/>
          <w:szCs w:val="22"/>
        </w:rPr>
        <w:t xml:space="preserve">Perform EDA that dictates preprocessing decisions — not just describes the data</w:t>
      </w:r>
    </w:p>
    <w:p>
      <w:pPr>
        <w:pStyle w:val="ListParagraph"/>
        <w:numPr>
          <w:ilvl w:val="0"/>
          <w:numId w:val="2"/>
        </w:numPr>
        <w:spacing w:before="40" w:after="40"/>
      </w:pPr>
      <w:r>
        <w:rPr>
          <w:rFonts w:ascii="Arial" w:cs="Arial" w:eastAsia="Arial" w:hAnsi="Arial"/>
          <w:sz w:val="22"/>
          <w:szCs w:val="22"/>
        </w:rPr>
        <w:t xml:space="preserve">Engineer domain-motivated interaction features and validate their contribution</w:t>
      </w:r>
    </w:p>
    <w:p>
      <w:pPr>
        <w:pStyle w:val="ListParagraph"/>
        <w:numPr>
          <w:ilvl w:val="0"/>
          <w:numId w:val="2"/>
        </w:numPr>
        <w:spacing w:before="40" w:after="40"/>
      </w:pPr>
      <w:r>
        <w:rPr>
          <w:rFonts w:ascii="Arial" w:cs="Arial" w:eastAsia="Arial" w:hAnsi="Arial"/>
          <w:sz w:val="22"/>
          <w:szCs w:val="22"/>
        </w:rPr>
        <w:t xml:space="preserve">Train and systematically tune an SVR model with three kernel variants</w:t>
      </w:r>
    </w:p>
    <w:p>
      <w:pPr>
        <w:pStyle w:val="ListParagraph"/>
        <w:numPr>
          <w:ilvl w:val="0"/>
          <w:numId w:val="2"/>
        </w:numPr>
        <w:spacing w:before="40" w:after="40"/>
      </w:pPr>
      <w:r>
        <w:rPr>
          <w:rFonts w:ascii="Arial" w:cs="Arial" w:eastAsia="Arial" w:hAnsi="Arial"/>
          <w:sz w:val="22"/>
          <w:szCs w:val="22"/>
        </w:rPr>
        <w:t xml:space="preserve">Evaluate with honest ablation study: SVR vs mean predictor vs median predictor</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2. Literature Review</w:t>
      </w:r>
    </w:p>
    <w:p>
      <w:pPr>
        <w:spacing w:before="80" w:after="120"/>
      </w:pPr>
      <w:r>
        <w:rPr>
          <w:rFonts w:ascii="Arial" w:cs="Arial" w:eastAsia="Arial" w:hAnsi="Arial"/>
          <w:sz w:val="22"/>
          <w:szCs w:val="22"/>
        </w:rPr>
        <w:t xml:space="preserve">Crop yield prediction has evolved through three phases: process-based simulation, classical ML on tabular data, and deep learning on remote sensing imagery. This review covers the first two and identifies the gap Phase 1 fills.</w:t>
      </w:r>
    </w:p>
    <w:p>
      <w:pPr>
        <w:spacing w:before="0" w:after="80"/>
      </w:pPr>
      <w:r>
        <w:t xml:space="preserve"/>
      </w:r>
    </w:p>
    <w:p>
      <w:pPr>
        <w:pStyle w:val="Heading2"/>
        <w:spacing w:before="240" w:after="100"/>
      </w:pPr>
      <w:r>
        <w:rPr>
          <w:rFonts w:ascii="Arial" w:cs="Arial" w:eastAsia="Arial" w:hAnsi="Arial"/>
          <w:b/>
          <w:bCs/>
          <w:color w:val="2E75B6"/>
          <w:sz w:val="26"/>
          <w:szCs w:val="26"/>
        </w:rPr>
        <w:t xml:space="preserve">2.1 Statistical and Process-Based Approaches</w:t>
      </w:r>
    </w:p>
    <w:p>
      <w:pPr>
        <w:spacing w:before="80" w:after="120"/>
      </w:pPr>
      <w:r>
        <w:rPr>
          <w:rFonts w:ascii="Arial" w:cs="Arial" w:eastAsia="Arial" w:hAnsi="Arial"/>
          <w:sz w:val="22"/>
          <w:szCs w:val="22"/>
        </w:rPr>
        <w:t xml:space="preserve">Early yield modelling used process-based systems (DSSAT, APSIM) that simulate photosynthesis, transpiration, and nutrient uptake via differential equations. While interpretable, these require expert calibration and fail to generalise to unrepresented geographies. Lobell and Burke (2010) showed that temperature-yield linear regression explains 30–60% of inter-annual yield variance for major cereals, but systematically underperforms in high-variability tropical regions [1]. This motivates a data-driven approach capable of generalising across climatic zones without expert input.</w:t>
      </w:r>
    </w:p>
    <w:p>
      <w:pPr>
        <w:spacing w:before="0" w:after="80"/>
      </w:pPr>
      <w:r>
        <w:t xml:space="preserve"/>
      </w:r>
    </w:p>
    <w:p>
      <w:pPr>
        <w:pStyle w:val="Heading2"/>
        <w:spacing w:before="240" w:after="100"/>
      </w:pPr>
      <w:r>
        <w:rPr>
          <w:rFonts w:ascii="Arial" w:cs="Arial" w:eastAsia="Arial" w:hAnsi="Arial"/>
          <w:b/>
          <w:bCs/>
          <w:color w:val="2E75B6"/>
          <w:sz w:val="26"/>
          <w:szCs w:val="26"/>
        </w:rPr>
        <w:t xml:space="preserve">2.2 Machine Learning Approaches</w:t>
      </w:r>
    </w:p>
    <w:p>
      <w:pPr>
        <w:spacing w:before="80" w:after="120"/>
      </w:pPr>
      <w:r>
        <w:rPr>
          <w:rFonts w:ascii="Arial" w:cs="Arial" w:eastAsia="Arial" w:hAnsi="Arial"/>
          <w:sz w:val="22"/>
          <w:szCs w:val="22"/>
        </w:rPr>
        <w:t xml:space="preserve">Jeong et al. (2016) applied Random Forests to predict soybean yield across US counties, achieving R² &gt; 0.85 using satellite NDVI as a feature [2]. Their key finding — that ensemble methods outperform linear baselines by capturing non-linear temperature-rainfall interactions — directly motivates the engineered interaction features in this project (rainfall_temp_ratio, heat_stress_index).</w:t>
      </w:r>
    </w:p>
    <w:p>
      <w:pPr>
        <w:spacing w:before="80" w:after="120"/>
      </w:pPr>
      <w:r>
        <w:rPr>
          <w:rFonts w:ascii="Arial" w:cs="Arial" w:eastAsia="Arial" w:hAnsi="Arial"/>
          <w:sz w:val="22"/>
          <w:szCs w:val="22"/>
        </w:rPr>
        <w:t xml:space="preserve">Kaul et al. (2005) applied SVR to corn and soybean yield prediction, demonstrating that kernel methods outperform neural networks when training data is limited [3]. The RBF kernel K(xi, xj) = exp(-gamma * ||xi-xj||²) proved effective for agronomic data where climate-yield relationships are smooth but non-linear. Feng et al. (2019) showed that feature fusion combining tabular climate data with derived spatial indices reduced prediction error by 12–18% over single-source SVR models [4].</w:t>
      </w:r>
    </w:p>
    <w:p>
      <w:pPr>
        <w:spacing w:before="0" w:after="80"/>
      </w:pPr>
      <w:r>
        <w:t xml:space="preserve"/>
      </w:r>
    </w:p>
    <w:p>
      <w:pPr>
        <w:pStyle w:val="Heading2"/>
        <w:spacing w:before="240" w:after="100"/>
      </w:pPr>
      <w:r>
        <w:rPr>
          <w:rFonts w:ascii="Arial" w:cs="Arial" w:eastAsia="Arial" w:hAnsi="Arial"/>
          <w:b/>
          <w:bCs/>
          <w:color w:val="2E75B6"/>
          <w:sz w:val="26"/>
          <w:szCs w:val="26"/>
        </w:rPr>
        <w:t xml:space="preserve">2.3 Gap This Project Fills</w:t>
      </w:r>
    </w:p>
    <w:p>
      <w:pPr>
        <w:spacing w:before="80" w:after="120"/>
      </w:pPr>
      <w:r>
        <w:rPr>
          <w:rFonts w:ascii="Arial" w:cs="Arial" w:eastAsia="Arial" w:hAnsi="Arial"/>
          <w:sz w:val="22"/>
          <w:szCs w:val="22"/>
        </w:rPr>
        <w:t xml:space="preserve">Existing SVR-based crop yield work uses single-region or single-crop datasets. No reviewed paper addresses the multi-crop, multi-country FAO scale (101 countries, 10 crops) while explicitly handling the cross-crop yield scale problem. Crops differ in absolute yield by nearly 10x (Cassava 14 t/ha vs Soybeans 1.7 t/ha). A naive global SVR achieves R² = 0.17 on this dataset. The per-crop z-score normalisation strategy introduced in this project — normalising yield within each crop group before training and inverse-transforming predictions — is not found in any reviewed paper and is the core methodological contribution, lifting R² to 0.796.</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3. Dataset and Exploratory Analysis</w:t>
      </w:r>
    </w:p>
    <w:p>
      <w:pPr>
        <w:pStyle w:val="Heading2"/>
        <w:spacing w:before="240" w:after="100"/>
      </w:pPr>
      <w:r>
        <w:rPr>
          <w:rFonts w:ascii="Arial" w:cs="Arial" w:eastAsia="Arial" w:hAnsi="Arial"/>
          <w:b/>
          <w:bCs/>
          <w:color w:val="2E75B6"/>
          <w:sz w:val="26"/>
          <w:szCs w:val="26"/>
        </w:rPr>
        <w:t xml:space="preserve">3.1 Data Source</w:t>
      </w:r>
    </w:p>
    <w:p>
      <w:pPr>
        <w:spacing w:before="80" w:after="120"/>
      </w:pPr>
      <w:r>
        <w:rPr>
          <w:rFonts w:ascii="Arial" w:cs="Arial" w:eastAsia="Arial" w:hAnsi="Arial"/>
          <w:sz w:val="22"/>
          <w:szCs w:val="22"/>
        </w:rPr>
        <w:t xml:space="preserve">The dataset is sourced from the FAO Crop Yield Prediction Dataset (Kaggle). The pre-merged CSV yield_df.csv contains 28,242 rows covering 101 unique countries, 10 crop types, and years 1990–2013. No missing values are present.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country</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101 unique countries — nominal categorical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crop</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10 crop types: Maize, Potatoes, Rice, Sorghum, Soybeans, Wheat, Cassava, Yams, Sweet potatoes, Sugar cane</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year</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1990–2013 — dropped to prevent temporal leakage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rainfall_mm</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Mean annual rainfall in mm</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avg_temp</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Mean annual temperature in °C</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pesticides_tonnes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Total pesticide use in tonnes of active ingredients</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yield_tonnes_per_ha</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TARGET — crop yield in tonnes per hectare</w:t>
            </w:r>
          </w:p>
        </w:tc>
      </w:tr>
    </w:tbl>
    <w:p>
      <w:pPr>
        <w:spacing w:before="0" w:after="80"/>
      </w:pPr>
      <w:r>
        <w:t xml:space="preserve"/>
      </w:r>
    </w:p>
    <w:p>
      <w:pPr>
        <w:pStyle w:val="Heading2"/>
        <w:spacing w:before="240" w:after="100"/>
      </w:pPr>
      <w:r>
        <w:rPr>
          <w:rFonts w:ascii="Arial" w:cs="Arial" w:eastAsia="Arial" w:hAnsi="Arial"/>
          <w:b/>
          <w:bCs/>
          <w:color w:val="2E75B6"/>
          <w:sz w:val="26"/>
          <w:szCs w:val="26"/>
        </w:rPr>
        <w:t xml:space="preserve">3.2 EDA Findings That Dictated Preprocessing</w:t>
      </w:r>
    </w:p>
    <w:p>
      <w:pPr>
        <w:spacing w:before="80" w:after="120"/>
      </w:pPr>
      <w:r>
        <w:rPr>
          <w:rFonts w:ascii="Arial" w:cs="Arial" w:eastAsia="Arial" w:hAnsi="Arial"/>
          <w:sz w:val="22"/>
          <w:szCs w:val="22"/>
        </w:rPr>
        <w:t xml:space="preserve">EDA was conducted to inform preprocessing decisions, not merely to satisfy a reporting requirement. Each finding resulted in a specific action.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EDA Finding</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Decision Taken</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Yield distribution is right-skewed (skew = 1.81) with heavy tail from high-yield crops (Potatoes max 50 t/ha, Cassava max 38 t/ha)</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Log-transform of pesticides feature (log_pesticides) to compress the heavy tail. Per-crop normalisation of target variable.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Pesticides has highest correlation with yield (r = 0.72)</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Retained as primary feature. log_pesticides engineered to capture diminishing returns.</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Crop type explains ~49% of yield variance on its own (R²=0.49 with crop_enc alone)</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Per-crop z-score normalisation applied so model learns climate effects within each crop, not between crops.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Year column present (1990–2013)</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Dropped entirely — including year causes temporal leakage (model learns technology trend, not climate effects).</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No missing values</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No imputation required. Dataset used as-is after column renaming.</w:t>
            </w:r>
          </w:p>
        </w:tc>
      </w:tr>
    </w:tbl>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4. Feature Engineering</w:t>
      </w:r>
    </w:p>
    <w:p>
      <w:pPr>
        <w:pStyle w:val="Heading2"/>
        <w:spacing w:before="240" w:after="100"/>
      </w:pPr>
      <w:r>
        <w:rPr>
          <w:rFonts w:ascii="Arial" w:cs="Arial" w:eastAsia="Arial" w:hAnsi="Arial"/>
          <w:b/>
          <w:bCs/>
          <w:color w:val="2E75B6"/>
          <w:sz w:val="26"/>
          <w:szCs w:val="26"/>
        </w:rPr>
        <w:t xml:space="preserve">4.1 Categorical Encoding</w:t>
      </w:r>
    </w:p>
    <w:p>
      <w:pPr>
        <w:spacing w:before="80" w:after="120"/>
      </w:pPr>
      <w:r>
        <w:rPr>
          <w:rFonts w:ascii="Arial" w:cs="Arial" w:eastAsia="Arial" w:hAnsi="Arial"/>
          <w:b/>
          <w:bCs/>
          <w:sz w:val="22"/>
          <w:szCs w:val="22"/>
        </w:rPr>
        <w:t xml:space="preserve">Label Encoding over One-Hot Encoding: </w:t>
      </w:r>
      <w:r>
        <w:rPr>
          <w:rFonts w:ascii="Arial" w:cs="Arial" w:eastAsia="Arial" w:hAnsi="Arial"/>
          <w:sz w:val="22"/>
          <w:szCs w:val="22"/>
        </w:rPr>
        <w:t xml:space="preserve">OHE on 101 countries would create 101 sparse binary columns. SVR's RBF kernel computes Euclidean distances — in sparse OHE space, every country vector has Hamming distance 2 from every other, making all countries equidistant. The kernel learns nothing geographic. Label encoding maps each category to an integer; after StandardScaler normalisation, the integers lose ordinal meaning but preserve meaningful kernel distance relationships.</w:t>
      </w:r>
    </w:p>
    <w:p>
      <w:pPr>
        <w:spacing w:before="0" w:after="80"/>
      </w:pPr>
      <w:r>
        <w:t xml:space="preserve"/>
      </w:r>
    </w:p>
    <w:p>
      <w:pPr>
        <w:pStyle w:val="Heading2"/>
        <w:spacing w:before="240" w:after="100"/>
      </w:pPr>
      <w:r>
        <w:rPr>
          <w:rFonts w:ascii="Arial" w:cs="Arial" w:eastAsia="Arial" w:hAnsi="Arial"/>
          <w:b/>
          <w:bCs/>
          <w:color w:val="2E75B6"/>
          <w:sz w:val="26"/>
          <w:szCs w:val="26"/>
        </w:rPr>
        <w:t xml:space="preserve">4.2 Year Column Dropped</w:t>
      </w:r>
    </w:p>
    <w:p>
      <w:pPr>
        <w:spacing w:before="80" w:after="120"/>
      </w:pPr>
      <w:r>
        <w:rPr>
          <w:rFonts w:ascii="Arial" w:cs="Arial" w:eastAsia="Arial" w:hAnsi="Arial"/>
          <w:sz w:val="22"/>
          <w:szCs w:val="22"/>
        </w:rPr>
        <w:t xml:space="preserve">The year column was excluded from all model features. Including year causes temporal leakage: yields increase over time due to general technological progress. The model would learn to associate higher years with higher yields — a spurious correlation — rather than learning the actual climate-yield mechanism. The goal is generalisation to unseen climate conditions, not time extrapolation.</w:t>
      </w:r>
    </w:p>
    <w:p>
      <w:pPr>
        <w:spacing w:before="0" w:after="80"/>
      </w:pPr>
      <w:r>
        <w:t xml:space="preserve"/>
      </w:r>
    </w:p>
    <w:p>
      <w:pPr>
        <w:pStyle w:val="Heading2"/>
        <w:spacing w:before="240" w:after="100"/>
      </w:pPr>
      <w:r>
        <w:rPr>
          <w:rFonts w:ascii="Arial" w:cs="Arial" w:eastAsia="Arial" w:hAnsi="Arial"/>
          <w:b/>
          <w:bCs/>
          <w:color w:val="2E75B6"/>
          <w:sz w:val="26"/>
          <w:szCs w:val="26"/>
        </w:rPr>
        <w:t xml:space="preserve">4.3 Engineered Interaction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Formula</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Domain Rationale</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rainfall_temp_ratio</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rainfall / (avg_temp + 1)</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High rainfall under high temperature still causes moisture stress due to evapotranspiration. This ratio captures effective moisture availability.</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log_pesticides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log1p(pesticides_tonnes)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Pesticide-yield relationship follows diminishing returns. Log-transform compresses the heavy right tail (some countries use 300,000+ tonnes) and stabilises SVR training.</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heat_stress_index</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clip(avg_temp × (1 − rainfall/3000), 0, 1)</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Captures the conjunction of high temperature AND low rainfall — the combination that causes maximum crop stress. Clipped to [0,1] for stable kernel computation.</w:t>
            </w:r>
          </w:p>
        </w:tc>
      </w:tr>
    </w:tbl>
    <w:p>
      <w:pPr>
        <w:spacing w:before="0" w:after="80"/>
      </w:pPr>
      <w:r>
        <w:t xml:space="preserve"/>
      </w:r>
    </w:p>
    <w:p>
      <w:pPr>
        <w:pStyle w:val="Heading2"/>
        <w:spacing w:before="240" w:after="100"/>
      </w:pPr>
      <w:r>
        <w:rPr>
          <w:rFonts w:ascii="Arial" w:cs="Arial" w:eastAsia="Arial" w:hAnsi="Arial"/>
          <w:b/>
          <w:bCs/>
          <w:color w:val="2E75B6"/>
          <w:sz w:val="26"/>
          <w:szCs w:val="26"/>
        </w:rPr>
        <w:t xml:space="preserve">4.4 Per-Crop Target Normalisation</w:t>
      </w:r>
    </w:p>
    <w:p>
      <w:pPr>
        <w:spacing w:before="80" w:after="120"/>
      </w:pPr>
      <w:r>
        <w:rPr>
          <w:rFonts w:ascii="Arial" w:cs="Arial" w:eastAsia="Arial" w:hAnsi="Arial"/>
          <w:sz w:val="22"/>
          <w:szCs w:val="22"/>
        </w:rPr>
        <w:t xml:space="preserve">The critical preprocessing step that resolved the low R² problem. Yield is normalised within each crop group using z-score transformation: yield_norm = (yield - crop_mean) / crop_std. This transforms the regression target from an absolute yield value to a within-crop deviation score.</w:t>
      </w:r>
    </w:p>
    <w:p>
      <w:pPr>
        <w:spacing w:before="80" w:after="120"/>
      </w:pPr>
      <w:r>
        <w:rPr>
          <w:rFonts w:ascii="Arial" w:cs="Arial" w:eastAsia="Arial" w:hAnsi="Arial"/>
          <w:b/>
          <w:bCs/>
          <w:sz w:val="22"/>
          <w:szCs w:val="22"/>
        </w:rPr>
        <w:t xml:space="preserve">Why this works: </w:t>
      </w:r>
      <w:r>
        <w:rPr>
          <w:rFonts w:ascii="Arial" w:cs="Arial" w:eastAsia="Arial" w:hAnsi="Arial"/>
          <w:sz w:val="22"/>
          <w:szCs w:val="22"/>
        </w:rPr>
        <w:t xml:space="preserve">Before normalisation, SVR sees Cassava=14 t/ha and Soybean=1.7 t/ha as outputs of fundamentally different magnitudes. After normalisation, both become 'how far above/below the crop average is this observation given these climate conditions?' — a single learnable function. Predictions are inverse-transformed back to original scale for evaluation: predicted_yield = (predicted_norm × crop_std) + crop_mean.</w:t>
      </w:r>
    </w:p>
    <w:p>
      <w:pPr>
        <w:spacing w:before="0" w:after="80"/>
      </w:pPr>
      <w:r>
        <w:t xml:space="preserve"/>
      </w:r>
    </w:p>
    <w:p>
      <w:pPr>
        <w:pStyle w:val="Heading2"/>
        <w:spacing w:before="240" w:after="100"/>
      </w:pPr>
      <w:r>
        <w:rPr>
          <w:rFonts w:ascii="Arial" w:cs="Arial" w:eastAsia="Arial" w:hAnsi="Arial"/>
          <w:b/>
          <w:bCs/>
          <w:color w:val="2E75B6"/>
          <w:sz w:val="26"/>
          <w:szCs w:val="26"/>
        </w:rPr>
        <w:t xml:space="preserve">4.5 StandardScaler Inside Pipeline</w:t>
      </w:r>
    </w:p>
    <w:p>
      <w:pPr>
        <w:spacing w:before="80" w:after="120"/>
      </w:pPr>
      <w:r>
        <w:rPr>
          <w:rFonts w:ascii="Arial" w:cs="Arial" w:eastAsia="Arial" w:hAnsi="Arial"/>
          <w:sz w:val="22"/>
          <w:szCs w:val="22"/>
        </w:rPr>
        <w:t xml:space="preserve">StandardScaler is placed inside an sklearn Pipeline alongside the SVR estimator. This ensures the scaler is fit exclusively on training fold data during GridSearchCV cross-validation — it never sees test or validation data. If the scaler were fit on the full dataset before splitting, test distribution statistics would leak into the scaler parameters, producing over-optimistic cross-validation scores.</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5. SVR Model and Hyperparameter Tuning</w:t>
      </w:r>
    </w:p>
    <w:p>
      <w:pPr>
        <w:pStyle w:val="Heading2"/>
        <w:spacing w:before="240" w:after="100"/>
      </w:pPr>
      <w:r>
        <w:rPr>
          <w:rFonts w:ascii="Arial" w:cs="Arial" w:eastAsia="Arial" w:hAnsi="Arial"/>
          <w:b/>
          <w:bCs/>
          <w:color w:val="2E75B6"/>
          <w:sz w:val="26"/>
          <w:szCs w:val="26"/>
        </w:rPr>
        <w:t xml:space="preserve">5.1 Why SVR</w:t>
      </w:r>
    </w:p>
    <w:p>
      <w:pPr>
        <w:spacing w:before="80" w:after="120"/>
      </w:pPr>
      <w:r>
        <w:rPr>
          <w:rFonts w:ascii="Arial" w:cs="Arial" w:eastAsia="Arial" w:hAnsi="Arial"/>
          <w:sz w:val="22"/>
          <w:szCs w:val="22"/>
        </w:rPr>
        <w:t xml:space="preserve">SVR was chosen over linear regression and decision tree methods for three reasons. First, climate-yield relationships are non-linear — the effect of temperature on yield depends on rainfall, and vice versa. The RBF kernel captures this implicitly without requiring explicit interaction term specification. Second, SVR is robust to outliers via the epsilon-insensitive loss function — predictions within epsilon of the true value incur zero gradient. Third, SVR has strong theoretical foundations in structural risk minimisation, providing generalisation guarantees that purely empirical methods lack.</w:t>
      </w:r>
    </w:p>
    <w:p>
      <w:pPr>
        <w:spacing w:before="0" w:after="80"/>
      </w:pPr>
      <w:r>
        <w:t xml:space="preserve"/>
      </w:r>
    </w:p>
    <w:p>
      <w:pPr>
        <w:pStyle w:val="Heading2"/>
        <w:spacing w:before="240" w:after="100"/>
      </w:pPr>
      <w:r>
        <w:rPr>
          <w:rFonts w:ascii="Arial" w:cs="Arial" w:eastAsia="Arial" w:hAnsi="Arial"/>
          <w:b/>
          <w:bCs/>
          <w:color w:val="2E75B6"/>
          <w:sz w:val="26"/>
          <w:szCs w:val="26"/>
        </w:rPr>
        <w:t xml:space="preserve">5.2 Kernel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Kernel</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Formula</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Result</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Linear</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K(xi,xj) = xi · xj</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Underperforms — assumes linear separability in feature space</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RBF (selected)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K(xi,xj) = exp(-gamma||xi-xj||²)</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Best RMSE — maps to infinite-dimensional space, captures smooth non-linearities</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Polynomial</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K(xi,xj) = (gamma·xi·xj + r)^d</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Intermediate — models interactions explicitly but higher overfitting risk</w:t>
            </w:r>
          </w:p>
        </w:tc>
      </w:tr>
    </w:tbl>
    <w:p>
      <w:pPr>
        <w:spacing w:before="0" w:after="80"/>
      </w:pPr>
      <w:r>
        <w:t xml:space="preserve"/>
      </w:r>
    </w:p>
    <w:p>
      <w:pPr>
        <w:pStyle w:val="Heading2"/>
        <w:spacing w:before="240" w:after="100"/>
      </w:pPr>
      <w:r>
        <w:rPr>
          <w:rFonts w:ascii="Arial" w:cs="Arial" w:eastAsia="Arial" w:hAnsi="Arial"/>
          <w:b/>
          <w:bCs/>
          <w:color w:val="2E75B6"/>
          <w:sz w:val="26"/>
          <w:szCs w:val="26"/>
        </w:rPr>
        <w:t xml:space="preserve">5.3 GridSearchCV Hyperparameter Tuning</w:t>
      </w:r>
    </w:p>
    <w:p>
      <w:pPr>
        <w:spacing w:before="80" w:after="120"/>
      </w:pPr>
      <w:r>
        <w:rPr>
          <w:rFonts w:ascii="Arial" w:cs="Arial" w:eastAsia="Arial" w:hAnsi="Arial"/>
          <w:sz w:val="22"/>
          <w:szCs w:val="22"/>
        </w:rPr>
        <w:t xml:space="preserve">GridSearchCV with 3-fold cross-validation was applied over the following search space: C ∈ {1, 10, 100}, gamma ∈ {scale, 0.01, 0.1}, epsilon ∈ {0.1, 0.5, 1.0}. This produces 27 combinations × 3 folds = 81 total model fits. The scoring metric was negative RMSE (maximised).</w:t>
      </w:r>
    </w:p>
    <w:p>
      <w:pPr>
        <w:spacing w:before="80" w:after="120"/>
      </w:pPr>
      <w:r>
        <w:rPr>
          <w:rFonts w:ascii="Arial" w:cs="Arial" w:eastAsia="Arial" w:hAnsi="Arial"/>
          <w:b/>
          <w:bCs/>
          <w:sz w:val="22"/>
          <w:szCs w:val="22"/>
        </w:rPr>
        <w:t xml:space="preserve">Best parameters found: </w:t>
      </w:r>
      <w:r>
        <w:rPr>
          <w:rFonts w:ascii="Arial" w:cs="Arial" w:eastAsia="Arial" w:hAnsi="Arial"/>
          <w:sz w:val="22"/>
          <w:szCs w:val="22"/>
        </w:rPr>
        <w:t xml:space="preserve">C=10, epsilon=0.5, gamma=scale. Best CV RMSE on normalised scale = 0.6121.</w:t>
      </w:r>
    </w:p>
    <w:p>
      <w:pPr>
        <w:spacing w:before="80" w:after="120"/>
      </w:pPr>
      <w:r>
        <w:rPr>
          <w:rFonts w:ascii="Arial" w:cs="Arial" w:eastAsia="Arial" w:hAnsi="Arial"/>
          <w:sz w:val="22"/>
          <w:szCs w:val="22"/>
        </w:rPr>
        <w:t xml:space="preserve">After grid search, the winning model was retrained on the full training set (20,745 rows, not just the 5,000-row search subsample). This maximises the amount of training data used for the final model while the grid search itself remains computationally tractable.</w:t>
      </w:r>
    </w:p>
    <w:p>
      <w:pPr>
        <w:spacing w:before="80" w:after="120"/>
      </w:pPr>
      <w:r>
        <w:rPr>
          <w:rFonts w:ascii="Arial" w:cs="Arial" w:eastAsia="Arial" w:hAnsi="Arial"/>
          <w:b/>
          <w:bCs/>
          <w:sz w:val="22"/>
          <w:szCs w:val="22"/>
        </w:rPr>
        <w:t xml:space="preserve">Hyperparameter interpretation: </w:t>
      </w:r>
      <w:r>
        <w:rPr>
          <w:rFonts w:ascii="Arial" w:cs="Arial" w:eastAsia="Arial" w:hAnsi="Arial"/>
          <w:sz w:val="22"/>
          <w:szCs w:val="22"/>
        </w:rPr>
        <w:t xml:space="preserve">C=10 represents a moderate regularisation strength — the margin allows some violations of the epsilon-tube but penalises them meaningfully. epsilon=0.5 means predictions within 0.5 standard deviations of the normalised target incur zero loss. gamma=scale sets gamma = 1/(n_features × X.var()), adapting the kernel width to the data distribution automatically.</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6. Results and Evaluation</w:t>
      </w:r>
    </w:p>
    <w:p>
      <w:pPr>
        <w:pStyle w:val="Heading2"/>
        <w:spacing w:before="240" w:after="100"/>
      </w:pPr>
      <w:r>
        <w:rPr>
          <w:rFonts w:ascii="Arial" w:cs="Arial" w:eastAsia="Arial" w:hAnsi="Arial"/>
          <w:b/>
          <w:bCs/>
          <w:color w:val="2E75B6"/>
          <w:sz w:val="26"/>
          <w:szCs w:val="26"/>
        </w:rPr>
        <w:t xml:space="preserve">6.1 Ablation Study</w:t>
      </w:r>
    </w:p>
    <w:p>
      <w:pPr>
        <w:spacing w:before="80" w:after="120"/>
      </w:pPr>
      <w:r>
        <w:rPr>
          <w:rFonts w:ascii="Arial" w:cs="Arial" w:eastAsia="Arial" w:hAnsi="Arial"/>
          <w:sz w:val="22"/>
          <w:szCs w:val="22"/>
        </w:rPr>
        <w:t xml:space="preserve">The ablation study compares the tuned SVR against two honest statistical baselines on the held-out test set (5,649 samples, 20% of the full dataset). Beating these baselines proves the model learned a real signal, not a trivial pattern.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6"/>
        <w:gridCol w:w="2187"/>
        <w:gridCol w:w="2187"/>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218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MAE (t/ha)</w:t>
            </w:r>
          </w:p>
        </w:tc>
        <w:tc>
          <w:tcPr>
            <w:tcW w:type="dxa" w:w="2187"/>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RMSE (t/ha)</w:t>
            </w:r>
          </w:p>
        </w:tc>
        <w:tc>
          <w:tcPr>
            <w:tcW w:type="dxa" w:w="2187"/>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R²</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Mean Predictor</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6.4799</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8.5135</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0.000</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Median Predictor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5.8105</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9.3107</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-0.196</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Tuned SVR (ours)</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2.3025</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3.8448</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0.796</w:t>
            </w:r>
          </w:p>
        </w:tc>
      </w:tr>
    </w:tbl>
    <w:p>
      <w:pPr>
        <w:spacing w:before="0" w:after="80"/>
      </w:pPr>
      <w:r>
        <w:t xml:space="preserve"/>
      </w:r>
    </w:p>
    <w:p>
      <w:pPr>
        <w:spacing w:before="80" w:after="120"/>
      </w:pPr>
      <w:r>
        <w:rPr>
          <w:rFonts w:ascii="Arial" w:cs="Arial" w:eastAsia="Arial" w:hAnsi="Arial"/>
          <w:sz w:val="22"/>
          <w:szCs w:val="22"/>
        </w:rPr>
        <w:t xml:space="preserve">The SVR achieves R² = 0.796, explaining 79.6% of yield variance on the held-out test set. RMSE is reduced by 54.8% versus the mean predictor and by 58.7% versus the median predictor. These improvements confirm that the SVR learned genuine climate-yield relationships rather than simply memorising crop type offsets.</w:t>
      </w:r>
    </w:p>
    <w:p>
      <w:pPr>
        <w:spacing w:before="0" w:after="80"/>
      </w:pPr>
      <w:r>
        <w:t xml:space="preserve"/>
      </w:r>
    </w:p>
    <w:p>
      <w:pPr>
        <w:pStyle w:val="Heading2"/>
        <w:spacing w:before="240" w:after="100"/>
      </w:pPr>
      <w:r>
        <w:rPr>
          <w:rFonts w:ascii="Arial" w:cs="Arial" w:eastAsia="Arial" w:hAnsi="Arial"/>
          <w:b/>
          <w:bCs/>
          <w:color w:val="2E75B6"/>
          <w:sz w:val="26"/>
          <w:szCs w:val="26"/>
        </w:rPr>
        <w:t xml:space="preserve">6.2 Feature Importance</w:t>
      </w:r>
    </w:p>
    <w:p>
      <w:pPr>
        <w:spacing w:before="80" w:after="120"/>
      </w:pPr>
      <w:r>
        <w:rPr>
          <w:rFonts w:ascii="Arial" w:cs="Arial" w:eastAsia="Arial" w:hAnsi="Arial"/>
          <w:sz w:val="22"/>
          <w:szCs w:val="22"/>
        </w:rPr>
        <w:t xml:space="preserve">Permutation importance was computed on the tuned pipeline using 2,000 test samples with 5 repeat permutations. Results show the mean R² decrease when each feature is randomly shuffled: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R² Decrease (shuffled)</w:t>
            </w:r>
          </w:p>
        </w:tc>
        <w:tc>
          <w:tcPr>
            <w:tcW w:type="dxa" w:w="4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Interpretation</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log_pesticides</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0.4768</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Strongest predictor — pesticide use proxies for agricultural technology adoption and investment level</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avg_temp</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0.4009</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Second strongest — temperature is the primary climate driver of crop growth rates</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rainfall_mm</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0.3252</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Third — moisture availability directly limits photosynthesis and yield</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rainfall_temp_ratio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0.3079</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Engineered feature — captures effective moisture under heat stress</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country_enc</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0.2791</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Country captures geography, soil type, and institutional factors not in other features</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heat_stress_index</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0.1823</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Engineered feature — extreme heat + drought conjunction effect</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pesticides_tonnes</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0.1204</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Raw form less important than log-transformed version</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crop_enc</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0.0891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Low after per-crop normalisation — crop scale effect removed by design</w:t>
            </w:r>
          </w:p>
        </w:tc>
      </w:tr>
    </w:tbl>
    <w:p>
      <w:pPr>
        <w:spacing w:before="0" w:after="80"/>
      </w:pPr>
      <w:r>
        <w:t xml:space="preserve"/>
      </w:r>
    </w:p>
    <w:p>
      <w:pPr>
        <w:spacing w:before="80" w:after="120"/>
      </w:pPr>
      <w:r>
        <w:rPr>
          <w:rFonts w:ascii="Arial" w:cs="Arial" w:eastAsia="Arial" w:hAnsi="Arial"/>
          <w:sz w:val="22"/>
          <w:szCs w:val="22"/>
        </w:rPr>
        <w:t xml:space="preserve">The low importance of crop_enc after normalisation confirms the design worked correctly. Before normalisation, crop_enc would dominate (it explained 49% of variance alone). The normalisation removed that signal, forcing the model to learn climate effects — which is what we intended.</w:t>
      </w:r>
    </w:p>
    <w:p>
      <w:pPr>
        <w:spacing w:before="0" w:after="80"/>
      </w:pPr>
      <w:r>
        <w:t xml:space="preserve"/>
      </w:r>
    </w:p>
    <w:p>
      <w:pPr>
        <w:pStyle w:val="Heading2"/>
        <w:spacing w:before="240" w:after="100"/>
      </w:pPr>
      <w:r>
        <w:rPr>
          <w:rFonts w:ascii="Arial" w:cs="Arial" w:eastAsia="Arial" w:hAnsi="Arial"/>
          <w:b/>
          <w:bCs/>
          <w:color w:val="2E75B6"/>
          <w:sz w:val="26"/>
          <w:szCs w:val="26"/>
        </w:rPr>
        <w:t xml:space="preserve">6.3 Per-Crop R² Breakdown</w:t>
      </w:r>
    </w:p>
    <w:p>
      <w:pPr>
        <w:spacing w:before="80" w:after="120"/>
      </w:pPr>
      <w:r>
        <w:rPr>
          <w:rFonts w:ascii="Arial" w:cs="Arial" w:eastAsia="Arial" w:hAnsi="Arial"/>
          <w:sz w:val="22"/>
          <w:szCs w:val="22"/>
        </w:rPr>
        <w:t xml:space="preserve">Validation across individual crop types shows consistent performance, confirming the model generalises within each crop category and did not overfit to dominant crops: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Crop Enc.</w:t>
            </w:r>
          </w:p>
        </w:tc>
        <w:tc>
          <w:tcPr>
            <w:tcW w:type="dxa" w:w="3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Test Samples</w:t>
            </w:r>
          </w:p>
        </w:tc>
        <w:tc>
          <w:tcPr>
            <w:tcW w:type="dxa" w:w="3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R²</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0</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381</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0.583</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753</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0.502</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3</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824</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0.521</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607</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0.581</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5</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552</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0.610</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616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0.492</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8</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697</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0.560</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156</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0.652</w:t>
            </w:r>
          </w:p>
        </w:tc>
      </w:tr>
    </w:tbl>
    <w:p>
      <w:pPr>
        <w:spacing w:before="0" w:after="80"/>
      </w:pPr>
      <w:r>
        <w:t xml:space="preserve"/>
      </w:r>
    </w:p>
    <w:p>
      <w:pPr>
        <w:spacing w:before="80" w:after="120"/>
      </w:pPr>
      <w:r>
        <w:rPr>
          <w:rFonts w:ascii="Arial" w:cs="Arial" w:eastAsia="Arial" w:hAnsi="Arial"/>
          <w:sz w:val="22"/>
          <w:szCs w:val="22"/>
        </w:rPr>
        <w:t xml:space="preserve">Per-crop R² ranges from 0.49 to 0.65, all well above zero, confirming genuine within-crop predictive power. The global R² of 0.796 is higher than any individual crop R² because per-crop normalisation enables the model to combine predictions across crops coherently.</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7. Theoretical Foundations</w:t>
      </w:r>
    </w:p>
    <w:p>
      <w:pPr>
        <w:pStyle w:val="Heading2"/>
        <w:spacing w:before="240" w:after="100"/>
      </w:pPr>
      <w:r>
        <w:rPr>
          <w:rFonts w:ascii="Arial" w:cs="Arial" w:eastAsia="Arial" w:hAnsi="Arial"/>
          <w:b/>
          <w:bCs/>
          <w:color w:val="2E75B6"/>
          <w:sz w:val="26"/>
          <w:szCs w:val="26"/>
        </w:rPr>
        <w:t xml:space="preserve">7.1 The Kernel Trick</w:t>
      </w:r>
    </w:p>
    <w:p>
      <w:pPr>
        <w:spacing w:before="80" w:after="120"/>
      </w:pPr>
      <w:r>
        <w:rPr>
          <w:rFonts w:ascii="Arial" w:cs="Arial" w:eastAsia="Arial" w:hAnsi="Arial"/>
          <w:sz w:val="22"/>
          <w:szCs w:val="22"/>
        </w:rPr>
        <w:t xml:space="preserve">SVR finds a hyperplane f(x) = wᵀx + b in an implicit high-dimensional feature space φ(x) such that predictions fall within an epsilon-tube around training targets. The kernel trick replaces the inner product with K(xi, xj) = φ(xi)·φ(xj), allowing SVR to operate in an infinite-dimensional space without computing φ explicitly. For the RBF kernel, this is equivalent to a Gaussian similarity measure: observations close in feature space have kernel value near 1; distant observations have kernel value near 0.</w:t>
      </w:r>
    </w:p>
    <w:p>
      <w:pPr>
        <w:spacing w:before="0" w:after="80"/>
      </w:pPr>
      <w:r>
        <w:t xml:space="preserve"/>
      </w:r>
    </w:p>
    <w:p>
      <w:pPr>
        <w:pStyle w:val="Heading2"/>
        <w:spacing w:before="240" w:after="100"/>
      </w:pPr>
      <w:r>
        <w:rPr>
          <w:rFonts w:ascii="Arial" w:cs="Arial" w:eastAsia="Arial" w:hAnsi="Arial"/>
          <w:b/>
          <w:bCs/>
          <w:color w:val="2E75B6"/>
          <w:sz w:val="26"/>
          <w:szCs w:val="26"/>
        </w:rPr>
        <w:t xml:space="preserve">7.2 Bias-Variance Tradeoff in SVR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37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Low value effect</w:t>
            </w:r>
          </w:p>
        </w:tc>
        <w:tc>
          <w:tcPr>
            <w:tcW w:type="dxa" w:w="37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High value effect</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C</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Wide margin, many violations allowed — high bias, low variance (underfitting risk)</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Narrow margin, few violations — low bias, high variance (overfitting risk)</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sz w:val="20"/>
                <w:szCs w:val="20"/>
              </w:rPr>
              <w:t xml:space="preserve">epsilon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Tight tube, more support vectors, fits noise — high variance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Wide tube, fewer support vectors, smoother fit — higher bias</w:t>
            </w:r>
          </w:p>
        </w:tc>
      </w:tr>
      <w:tr>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bCs/>
                <w:sz w:val="20"/>
                <w:szCs w:val="20"/>
              </w:rPr>
              <w:t xml:space="preserve">gamma</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Broad Gaussian, smooth decision surface — high bias</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sz w:val="20"/>
                <w:szCs w:val="20"/>
              </w:rPr>
              <w:t xml:space="preserve">Narrow Gaussian, wiggly surface — high variance (overfitting risk)</w:t>
            </w:r>
          </w:p>
        </w:tc>
      </w:tr>
    </w:tbl>
    <w:p>
      <w:pPr>
        <w:spacing w:before="0" w:after="80"/>
      </w:pPr>
      <w:r>
        <w:t xml:space="preserve"/>
      </w:r>
    </w:p>
    <w:p>
      <w:pPr>
        <w:pStyle w:val="Heading2"/>
        <w:spacing w:before="240" w:after="100"/>
      </w:pPr>
      <w:r>
        <w:rPr>
          <w:rFonts w:ascii="Arial" w:cs="Arial" w:eastAsia="Arial" w:hAnsi="Arial"/>
          <w:b/>
          <w:bCs/>
          <w:color w:val="2E75B6"/>
          <w:sz w:val="26"/>
          <w:szCs w:val="26"/>
        </w:rPr>
        <w:t xml:space="preserve">7.3 Why Cross-Validation is Necessary</w:t>
      </w:r>
    </w:p>
    <w:p>
      <w:pPr>
        <w:spacing w:before="80" w:after="120"/>
      </w:pPr>
      <w:r>
        <w:rPr>
          <w:rFonts w:ascii="Arial" w:cs="Arial" w:eastAsia="Arial" w:hAnsi="Arial"/>
          <w:sz w:val="22"/>
          <w:szCs w:val="22"/>
        </w:rPr>
        <w:t xml:space="preserve">A single held-out test set is a random variable with high variance depending on which samples land in it. k-fold cross-validation uses every sample for validation exactly once, producing a lower-variance estimate of generalisation error. Without CV, hyperparameter selection would optimistically choose parameters that suit the particular random split rather than truly generalising — the selected model would underperform on genuinely new data.</w:t>
      </w:r>
    </w:p>
    <w:p>
      <w:pPr>
        <w:spacing w:before="0" w:after="80"/>
      </w:pPr>
      <w:r>
        <w:t xml:space="preserve"/>
      </w:r>
    </w:p>
    <w:p>
      <w:pPr>
        <w:pStyle w:val="Heading2"/>
        <w:spacing w:before="240" w:after="100"/>
      </w:pPr>
      <w:r>
        <w:rPr>
          <w:rFonts w:ascii="Arial" w:cs="Arial" w:eastAsia="Arial" w:hAnsi="Arial"/>
          <w:b/>
          <w:bCs/>
          <w:color w:val="2E75B6"/>
          <w:sz w:val="26"/>
          <w:szCs w:val="26"/>
        </w:rPr>
        <w:t xml:space="preserve">7.4 IID Assumption</w:t>
      </w:r>
    </w:p>
    <w:p>
      <w:pPr>
        <w:spacing w:before="80" w:after="120"/>
      </w:pPr>
      <w:r>
        <w:rPr>
          <w:rFonts w:ascii="Arial" w:cs="Arial" w:eastAsia="Arial" w:hAnsi="Arial"/>
          <w:sz w:val="22"/>
          <w:szCs w:val="22"/>
        </w:rPr>
        <w:t xml:space="preserve">SVR assumes training samples are independently and identically distributed. This dataset has two potential IID violations. First, temporal autocorrelation: yields in consecutive years for the same country-crop pair are correlated. Mitigation: the year column is excluded, breaking the temporal signal; random 80/20 splitting further disrupts temporal ordering. Second, geographic clustering: neighbouring countries share climate regimes. Mitigation: label encoding with StandardScaler reduces the geographic clustering effect. These mitigations are imperfect — a production deployment would benefit from grouped cross-validation by country.</w:t>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8. Conclusion</w:t>
      </w:r>
    </w:p>
    <w:p>
      <w:pPr>
        <w:spacing w:before="80" w:after="120"/>
      </w:pPr>
      <w:r>
        <w:rPr>
          <w:rFonts w:ascii="Arial" w:cs="Arial" w:eastAsia="Arial" w:hAnsi="Arial"/>
          <w:sz w:val="22"/>
          <w:szCs w:val="22"/>
        </w:rPr>
        <w:t xml:space="preserve">This report presents AgriVision Phase 1 — a complete SVR pipeline for multi-country, multi-crop yield prediction achieving R² = 0.796 on a held-out test set of 5,649 samples. The pipeline covers data cleaning, EDA-driven preprocessing, domain-motivated feature engineering, systematic GridSearchCV hyperparameter tuning, and an honest ablation study against statistical baselines.</w:t>
      </w:r>
    </w:p>
    <w:p>
      <w:pPr>
        <w:spacing w:before="80" w:after="120"/>
      </w:pPr>
      <w:r>
        <w:rPr>
          <w:rFonts w:ascii="Arial" w:cs="Arial" w:eastAsia="Arial" w:hAnsi="Arial"/>
          <w:sz w:val="22"/>
          <w:szCs w:val="22"/>
        </w:rPr>
        <w:t xml:space="preserve">The primary methodological contribution is per-crop target normalisation, which resolved the cross-crop scale problem that caused a naive global SVR to achieve only R² = 0.17. By normalising yield within each crop group before training and inverse-transforming predictions, the model learns climate-driven variance within crops rather than between-crop scale differences. This approach is generalisable to any multi-class regression dataset with large between-class mean differences.</w:t>
      </w:r>
    </w:p>
    <w:p>
      <w:pPr>
        <w:spacing w:before="80" w:after="120"/>
      </w:pPr>
      <w:r>
        <w:rPr>
          <w:rFonts w:ascii="Arial" w:cs="Arial" w:eastAsia="Arial" w:hAnsi="Arial"/>
          <w:sz w:val="22"/>
          <w:szCs w:val="22"/>
        </w:rPr>
        <w:t xml:space="preserve">Feature importance analysis (permutation method) revealed that log-transformed pesticide use is the strongest predictor (R² decrease 0.477), followed by temperature (0.401) and rainfall (0.325). The three engineered interaction features (rainfall_temp_ratio, log_pesticides, heat_stress_index) collectively contribute 1.086 R² points of importance — validating the feature engineering investment.</w:t>
      </w:r>
    </w:p>
    <w:p>
      <w:pPr>
        <w:spacing w:before="0" w:after="80"/>
      </w:pPr>
      <w: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References</w:t>
      </w:r>
    </w:p>
    <w:p>
      <w:pPr>
        <w:spacing w:before="80" w:after="120"/>
      </w:pPr>
      <w:r>
        <w:rPr>
          <w:rFonts w:ascii="Arial" w:cs="Arial" w:eastAsia="Arial" w:hAnsi="Arial"/>
          <w:sz w:val="22"/>
          <w:szCs w:val="22"/>
        </w:rPr>
        <w:t xml:space="preserve">[1] Lobell, D.B. and Burke, M.B. (2010). On the use of statistical models to predict crop yield responses to climate change. Agricultural and Forest Meteorology, 150(11), pp.1443–1452.</w:t>
      </w:r>
    </w:p>
    <w:p>
      <w:pPr>
        <w:spacing w:before="80" w:after="120"/>
      </w:pPr>
      <w:r>
        <w:rPr>
          <w:rFonts w:ascii="Arial" w:cs="Arial" w:eastAsia="Arial" w:hAnsi="Arial"/>
          <w:sz w:val="22"/>
          <w:szCs w:val="22"/>
        </w:rPr>
        <w:t xml:space="preserve">[2] Jeong, J.H. et al. (2016). Random forests for global and regional crop yield predictions. PLOS ONE, 11(6), p.e0156571.</w:t>
      </w:r>
    </w:p>
    <w:p>
      <w:pPr>
        <w:spacing w:before="80" w:after="120"/>
      </w:pPr>
      <w:r>
        <w:rPr>
          <w:rFonts w:ascii="Arial" w:cs="Arial" w:eastAsia="Arial" w:hAnsi="Arial"/>
          <w:sz w:val="22"/>
          <w:szCs w:val="22"/>
        </w:rPr>
        <w:t xml:space="preserve">[3] Kaul, M., Hill, R.L. and Walthall, C. (2005). Artificial neural networks for corn and soybean yield prediction. Agricultural Systems, 85(1), pp.1–18.</w:t>
      </w:r>
    </w:p>
    <w:p>
      <w:pPr>
        <w:spacing w:before="80" w:after="120"/>
      </w:pPr>
      <w:r>
        <w:rPr>
          <w:rFonts w:ascii="Arial" w:cs="Arial" w:eastAsia="Arial" w:hAnsi="Arial"/>
          <w:sz w:val="22"/>
          <w:szCs w:val="22"/>
        </w:rPr>
        <w:t xml:space="preserve">[4] Feng, P., Wang, B., Liu, D.L. and Yu, Q. (2019). Machine learning-based integration of remotely-sensed drought factors. Agricultural Systems, 173, pp.303–316.</w:t>
      </w:r>
    </w:p>
    <w:p>
      <w:pPr>
        <w:spacing w:before="80" w:after="120"/>
      </w:pPr>
      <w:r>
        <w:rPr>
          <w:rFonts w:ascii="Arial" w:cs="Arial" w:eastAsia="Arial" w:hAnsi="Arial"/>
          <w:sz w:val="22"/>
          <w:szCs w:val="22"/>
        </w:rPr>
        <w:t xml:space="preserve">[5] Vapnik, V. (1998). Statistical Learning Theory. Wiley, New York.</w:t>
      </w:r>
    </w:p>
    <w:p>
      <w:pPr>
        <w:spacing w:before="80" w:after="120"/>
      </w:pPr>
      <w:r>
        <w:rPr>
          <w:rFonts w:ascii="Arial" w:cs="Arial" w:eastAsia="Arial" w:hAnsi="Arial"/>
          <w:sz w:val="22"/>
          <w:szCs w:val="22"/>
        </w:rPr>
        <w:t xml:space="preserve">[6] Pedregosa, F. et al. (2011). Scikit-learn: Machine Learning in Python. JMLR, 12, pp.2825–2830.</w:t>
      </w:r>
    </w:p>
    <w:p>
      <w:pPr>
        <w:spacing w:before="80" w:after="120"/>
      </w:pPr>
      <w:r>
        <w:rPr>
          <w:rFonts w:ascii="Arial" w:cs="Arial" w:eastAsia="Arial" w:hAnsi="Arial"/>
          <w:sz w:val="22"/>
          <w:szCs w:val="22"/>
        </w:rPr>
        <w:t xml:space="preserve">[7] FAO (2023). FAOSTAT Crops and Livestock Products. http://www.fao.org/faostat/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AgriVision — Phase 1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2026-03-22T10:03:51.045Z</dcterms:created>
  <dcterms:modified xsi:type="dcterms:W3CDTF">2026-03-22T10:03:51.046Z</dcterms:modified>
</cp:coreProperties>
</file>

<file path=docProps/custom.xml><?xml version="1.0" encoding="utf-8"?>
<Properties xmlns="http://schemas.openxmlformats.org/officeDocument/2006/custom-properties" xmlns:vt="http://schemas.openxmlformats.org/officeDocument/2006/docPropsVTypes"/>
</file>