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51FE2" w14:textId="77777777" w:rsidR="00312E9D" w:rsidRPr="00312E9D" w:rsidRDefault="00312E9D" w:rsidP="00312E9D">
      <w:pPr>
        <w:jc w:val="center"/>
        <w:rPr>
          <w:rFonts w:asciiTheme="majorHAnsi" w:hAnsiTheme="majorHAnsi"/>
          <w:b/>
          <w:i/>
          <w:sz w:val="32"/>
          <w:szCs w:val="32"/>
        </w:rPr>
      </w:pPr>
      <w:r w:rsidRPr="00312E9D">
        <w:rPr>
          <w:rFonts w:asciiTheme="majorHAnsi" w:hAnsiTheme="majorHAnsi"/>
          <w:b/>
          <w:i/>
          <w:sz w:val="32"/>
          <w:szCs w:val="32"/>
        </w:rPr>
        <w:t>HEDGE FUND TRANSPARENCY – WHAT INVESTORS REALLY NEED</w:t>
      </w:r>
    </w:p>
    <w:p w14:paraId="5E04FA1D" w14:textId="77777777" w:rsidR="000E0C30" w:rsidRDefault="000E0C30" w:rsidP="00312E9D">
      <w:pPr>
        <w:autoSpaceDE w:val="0"/>
        <w:autoSpaceDN w:val="0"/>
        <w:adjustRightInd w:val="0"/>
        <w:spacing w:after="0" w:line="240" w:lineRule="auto"/>
        <w:rPr>
          <w:rFonts w:asciiTheme="minorHAnsi" w:hAnsiTheme="minorHAnsi" w:cs="Verdana"/>
          <w:sz w:val="24"/>
          <w:szCs w:val="24"/>
        </w:rPr>
      </w:pPr>
    </w:p>
    <w:p w14:paraId="7FFC22A4" w14:textId="77777777" w:rsidR="00312E9D" w:rsidRDefault="00312E9D" w:rsidP="00312E9D">
      <w:pPr>
        <w:autoSpaceDE w:val="0"/>
        <w:autoSpaceDN w:val="0"/>
        <w:adjustRightInd w:val="0"/>
        <w:spacing w:after="0" w:line="240" w:lineRule="auto"/>
        <w:rPr>
          <w:rFonts w:asciiTheme="minorHAnsi" w:hAnsiTheme="minorHAnsi" w:cs="Verdana"/>
          <w:sz w:val="24"/>
          <w:szCs w:val="24"/>
        </w:rPr>
      </w:pPr>
      <w:r w:rsidRPr="00312E9D">
        <w:rPr>
          <w:rFonts w:asciiTheme="minorHAnsi" w:hAnsiTheme="minorHAnsi" w:cs="Verdana"/>
          <w:sz w:val="24"/>
          <w:szCs w:val="24"/>
        </w:rPr>
        <w:t xml:space="preserve">It is no secret that 2008 was one of Wall Street’s toughest years and perhaps the most challenging year ever for hedge funds. Evidence of this can be found in the dismal performance of the Barclay’s Hedge Fund and Fund of Funds indices, both down almost 21%. Many funds blew up, including Sailfish, Peloton and others. As the year closed, serious allegations of fraud were levied against one of the most famous and respected hedge fund managers, Bernard Madoff. </w:t>
      </w:r>
    </w:p>
    <w:p w14:paraId="06C9F44E" w14:textId="77777777" w:rsidR="001B1B96" w:rsidRDefault="001B1B96" w:rsidP="00312E9D">
      <w:pPr>
        <w:autoSpaceDE w:val="0"/>
        <w:autoSpaceDN w:val="0"/>
        <w:adjustRightInd w:val="0"/>
        <w:spacing w:after="0" w:line="240" w:lineRule="auto"/>
        <w:rPr>
          <w:rFonts w:asciiTheme="minorHAnsi" w:hAnsiTheme="minorHAnsi" w:cs="Verdana"/>
          <w:sz w:val="24"/>
          <w:szCs w:val="24"/>
        </w:rPr>
      </w:pPr>
    </w:p>
    <w:p w14:paraId="0CADF83B" w14:textId="77777777" w:rsidR="00312E9D" w:rsidRPr="00312E9D" w:rsidRDefault="00312E9D" w:rsidP="00312E9D">
      <w:pPr>
        <w:autoSpaceDE w:val="0"/>
        <w:autoSpaceDN w:val="0"/>
        <w:adjustRightInd w:val="0"/>
        <w:spacing w:after="0" w:line="240" w:lineRule="auto"/>
        <w:rPr>
          <w:rFonts w:asciiTheme="minorHAnsi" w:hAnsiTheme="minorHAnsi"/>
          <w:sz w:val="24"/>
          <w:szCs w:val="24"/>
        </w:rPr>
      </w:pPr>
      <w:r w:rsidRPr="00312E9D">
        <w:rPr>
          <w:rFonts w:asciiTheme="minorHAnsi" w:hAnsiTheme="minorHAnsi" w:cs="Verdana"/>
          <w:sz w:val="24"/>
          <w:szCs w:val="24"/>
        </w:rPr>
        <w:t>While it is too early to count all of the casualties, the preliminary numbers paint a rather bleak picture. Using Barclay’s Global Data Feeder database, we estimate</w:t>
      </w:r>
      <w:r>
        <w:rPr>
          <w:rFonts w:asciiTheme="minorHAnsi" w:hAnsiTheme="minorHAnsi" w:cs="Verdana"/>
          <w:sz w:val="24"/>
          <w:szCs w:val="24"/>
        </w:rPr>
        <w:t>d</w:t>
      </w:r>
      <w:r w:rsidRPr="00312E9D">
        <w:rPr>
          <w:rFonts w:asciiTheme="minorHAnsi" w:hAnsiTheme="minorHAnsi" w:cs="Verdana"/>
          <w:sz w:val="24"/>
          <w:szCs w:val="24"/>
        </w:rPr>
        <w:t xml:space="preserve"> that about 18% of hedge funds either shut down or stopped reporting performance. Experts agree that the number of funds that go out of business will continue to increase throughout 2009. Hedge funds that survive will need to adapt to the new world and to the new requirements that are likely to be imposed on them through either regulations or investor</w:t>
      </w:r>
      <w:r>
        <w:rPr>
          <w:rFonts w:asciiTheme="minorHAnsi" w:hAnsiTheme="minorHAnsi" w:cs="Verdana"/>
          <w:sz w:val="24"/>
          <w:szCs w:val="24"/>
        </w:rPr>
        <w:t>s’</w:t>
      </w:r>
      <w:r w:rsidRPr="00312E9D">
        <w:rPr>
          <w:rFonts w:asciiTheme="minorHAnsi" w:hAnsiTheme="minorHAnsi" w:cs="Verdana"/>
          <w:sz w:val="24"/>
          <w:szCs w:val="24"/>
        </w:rPr>
        <w:t xml:space="preserve"> demands. </w:t>
      </w:r>
    </w:p>
    <w:p w14:paraId="0918A323" w14:textId="77777777" w:rsidR="00312E9D" w:rsidRPr="00312E9D" w:rsidRDefault="00312E9D" w:rsidP="00312E9D">
      <w:pPr>
        <w:rPr>
          <w:rFonts w:asciiTheme="minorHAnsi" w:hAnsiTheme="minorHAnsi"/>
          <w:sz w:val="24"/>
          <w:szCs w:val="24"/>
        </w:rPr>
      </w:pPr>
    </w:p>
    <w:p w14:paraId="113735EE" w14:textId="77777777" w:rsidR="00312E9D" w:rsidRPr="00312E9D" w:rsidRDefault="00312E9D" w:rsidP="00312E9D">
      <w:pPr>
        <w:rPr>
          <w:rFonts w:asciiTheme="minorHAnsi" w:hAnsiTheme="minorHAnsi"/>
          <w:sz w:val="24"/>
          <w:szCs w:val="24"/>
        </w:rPr>
      </w:pPr>
      <w:r w:rsidRPr="00312E9D">
        <w:rPr>
          <w:rFonts w:asciiTheme="minorHAnsi" w:hAnsiTheme="minorHAnsi"/>
          <w:sz w:val="24"/>
          <w:szCs w:val="24"/>
        </w:rPr>
        <w:t>The three most popular demands that are likely to be imposed on surviving funds are:</w:t>
      </w:r>
    </w:p>
    <w:p w14:paraId="0E1CB87E" w14:textId="77777777" w:rsidR="00312E9D" w:rsidRPr="00896380" w:rsidRDefault="00312E9D" w:rsidP="00312E9D">
      <w:pPr>
        <w:pStyle w:val="ListParagraph"/>
        <w:numPr>
          <w:ilvl w:val="0"/>
          <w:numId w:val="8"/>
        </w:numPr>
        <w:rPr>
          <w:b/>
          <w:color w:val="1D1B11" w:themeColor="background2" w:themeShade="1A"/>
          <w:sz w:val="24"/>
          <w:szCs w:val="24"/>
        </w:rPr>
      </w:pPr>
      <w:r w:rsidRPr="00896380">
        <w:rPr>
          <w:b/>
          <w:color w:val="1D1B11" w:themeColor="background2" w:themeShade="1A"/>
          <w:sz w:val="24"/>
          <w:szCs w:val="24"/>
        </w:rPr>
        <w:t>Lower fees</w:t>
      </w:r>
    </w:p>
    <w:p w14:paraId="7EDE62C1" w14:textId="77777777" w:rsidR="00312E9D" w:rsidRPr="00896380" w:rsidRDefault="00312E9D" w:rsidP="00312E9D">
      <w:pPr>
        <w:pStyle w:val="ListParagraph"/>
        <w:numPr>
          <w:ilvl w:val="0"/>
          <w:numId w:val="8"/>
        </w:numPr>
        <w:rPr>
          <w:b/>
          <w:color w:val="1D1B11" w:themeColor="background2" w:themeShade="1A"/>
          <w:sz w:val="24"/>
          <w:szCs w:val="24"/>
        </w:rPr>
      </w:pPr>
      <w:r w:rsidRPr="00896380">
        <w:rPr>
          <w:b/>
          <w:color w:val="1D1B11" w:themeColor="background2" w:themeShade="1A"/>
          <w:sz w:val="24"/>
          <w:szCs w:val="24"/>
        </w:rPr>
        <w:t>Better Liquidity</w:t>
      </w:r>
    </w:p>
    <w:p w14:paraId="347F9407" w14:textId="77777777" w:rsidR="00312E9D" w:rsidRPr="00896380" w:rsidRDefault="00312E9D" w:rsidP="00312E9D">
      <w:pPr>
        <w:pStyle w:val="ListParagraph"/>
        <w:numPr>
          <w:ilvl w:val="0"/>
          <w:numId w:val="8"/>
        </w:numPr>
        <w:rPr>
          <w:b/>
          <w:color w:val="1D1B11" w:themeColor="background2" w:themeShade="1A"/>
          <w:sz w:val="24"/>
          <w:szCs w:val="24"/>
        </w:rPr>
      </w:pPr>
      <w:r w:rsidRPr="00896380">
        <w:rPr>
          <w:b/>
          <w:color w:val="1D1B11" w:themeColor="background2" w:themeShade="1A"/>
          <w:sz w:val="24"/>
          <w:szCs w:val="24"/>
        </w:rPr>
        <w:t>Better (Full) Transparency</w:t>
      </w:r>
    </w:p>
    <w:p w14:paraId="1D5EAB95" w14:textId="77777777" w:rsidR="00312E9D" w:rsidRPr="00312E9D" w:rsidRDefault="00312E9D" w:rsidP="00312E9D">
      <w:pPr>
        <w:rPr>
          <w:rFonts w:asciiTheme="minorHAnsi" w:hAnsiTheme="minorHAnsi"/>
          <w:sz w:val="24"/>
          <w:szCs w:val="24"/>
        </w:rPr>
      </w:pPr>
      <w:r w:rsidRPr="00312E9D">
        <w:rPr>
          <w:rFonts w:asciiTheme="minorHAnsi" w:hAnsiTheme="minorHAnsi"/>
          <w:sz w:val="24"/>
          <w:szCs w:val="24"/>
        </w:rPr>
        <w:t xml:space="preserve">In this article we briefly touch on the first two and discuss the last one </w:t>
      </w:r>
      <w:proofErr w:type="spellStart"/>
      <w:r w:rsidRPr="00312E9D">
        <w:rPr>
          <w:rFonts w:asciiTheme="minorHAnsi" w:hAnsiTheme="minorHAnsi"/>
          <w:sz w:val="24"/>
          <w:szCs w:val="24"/>
        </w:rPr>
        <w:t>n</w:t>
      </w:r>
      <w:proofErr w:type="spellEnd"/>
      <w:r w:rsidRPr="00312E9D">
        <w:rPr>
          <w:rFonts w:asciiTheme="minorHAnsi" w:hAnsiTheme="minorHAnsi"/>
          <w:sz w:val="24"/>
          <w:szCs w:val="24"/>
        </w:rPr>
        <w:t xml:space="preserve"> more detail. </w:t>
      </w:r>
    </w:p>
    <w:p w14:paraId="53E94134" w14:textId="77777777" w:rsidR="00312E9D" w:rsidRPr="00896380" w:rsidRDefault="00312E9D" w:rsidP="00312E9D">
      <w:pPr>
        <w:pStyle w:val="NoSpacing"/>
        <w:spacing w:before="240"/>
        <w:rPr>
          <w:rFonts w:asciiTheme="majorHAnsi" w:hAnsiTheme="majorHAnsi"/>
          <w:b/>
          <w:i/>
          <w:color w:val="1D1B11" w:themeColor="background2" w:themeShade="1A"/>
          <w:sz w:val="32"/>
          <w:szCs w:val="32"/>
        </w:rPr>
      </w:pPr>
      <w:r w:rsidRPr="00896380">
        <w:rPr>
          <w:rFonts w:asciiTheme="majorHAnsi" w:hAnsiTheme="majorHAnsi"/>
          <w:b/>
          <w:i/>
          <w:color w:val="1D1B11" w:themeColor="background2" w:themeShade="1A"/>
          <w:sz w:val="32"/>
          <w:szCs w:val="32"/>
        </w:rPr>
        <w:t>Fees</w:t>
      </w:r>
    </w:p>
    <w:p w14:paraId="36774C12" w14:textId="77777777" w:rsidR="00312E9D" w:rsidRPr="00312E9D" w:rsidRDefault="00312E9D" w:rsidP="00312E9D">
      <w:pPr>
        <w:pStyle w:val="NoSpacing"/>
        <w:spacing w:before="240"/>
        <w:rPr>
          <w:rFonts w:asciiTheme="minorHAnsi" w:hAnsiTheme="minorHAnsi"/>
          <w:sz w:val="24"/>
          <w:szCs w:val="24"/>
        </w:rPr>
      </w:pPr>
      <w:r w:rsidRPr="00312E9D">
        <w:rPr>
          <w:rFonts w:asciiTheme="minorHAnsi" w:hAnsiTheme="minorHAnsi"/>
          <w:sz w:val="24"/>
          <w:szCs w:val="24"/>
        </w:rPr>
        <w:t>Hedge fund managers typically make money from a combination of the management and performance fees. Most funds have High Water Mark provisions that imply that the funds cannot charge performance fees after suffering losses until those losses are recouped by the investor. After suffering the worst year in 2008 most hedge funds are not likely to collect performance fees in 2009. It’s likely that the standard “2 &amp; 20” model will change in the future, though, it’s unlikely that the fees will fall significantly as they will become even more essential for covering funds’ operating expenses.</w:t>
      </w:r>
    </w:p>
    <w:p w14:paraId="19AE22C3" w14:textId="77777777" w:rsidR="00312E9D" w:rsidRPr="00896380" w:rsidRDefault="00312E9D" w:rsidP="00312E9D">
      <w:pPr>
        <w:pStyle w:val="NoSpacing"/>
        <w:spacing w:before="240"/>
        <w:rPr>
          <w:rFonts w:asciiTheme="majorHAnsi" w:hAnsiTheme="majorHAnsi"/>
          <w:b/>
          <w:i/>
          <w:color w:val="1D1B11" w:themeColor="background2" w:themeShade="1A"/>
          <w:sz w:val="32"/>
          <w:szCs w:val="32"/>
        </w:rPr>
      </w:pPr>
      <w:r w:rsidRPr="00896380">
        <w:rPr>
          <w:rFonts w:asciiTheme="majorHAnsi" w:hAnsiTheme="majorHAnsi"/>
          <w:b/>
          <w:i/>
          <w:color w:val="1D1B11" w:themeColor="background2" w:themeShade="1A"/>
          <w:sz w:val="32"/>
          <w:szCs w:val="32"/>
        </w:rPr>
        <w:t>Liquidity</w:t>
      </w:r>
    </w:p>
    <w:p w14:paraId="48784C9C" w14:textId="77777777" w:rsidR="00312E9D" w:rsidRDefault="00312E9D" w:rsidP="00312E9D">
      <w:pPr>
        <w:pStyle w:val="NoSpacing"/>
        <w:spacing w:before="240"/>
        <w:rPr>
          <w:rFonts w:asciiTheme="minorHAnsi" w:hAnsiTheme="minorHAnsi"/>
          <w:sz w:val="24"/>
          <w:szCs w:val="24"/>
        </w:rPr>
      </w:pPr>
      <w:r w:rsidRPr="00312E9D">
        <w:rPr>
          <w:rFonts w:asciiTheme="minorHAnsi" w:hAnsiTheme="minorHAnsi"/>
          <w:sz w:val="24"/>
          <w:szCs w:val="24"/>
        </w:rPr>
        <w:t>Liquidity, or rather lack of it, can be blamed for many problems related to the current crisis. Anecdotally we have seen the trend in launches of more liquid fund of funds products. Managed accounts with weekly or daily liquidity seem to be in fashion. The liquid/managed account structure has certain advantages since it provides investors with transparency, liquidity and control of their portfolios. Not all hedge fund strategies, however, lend themselves to such structure. It seems unlikely that the hedge fund industry will shrink down to just Equity Long/Short</w:t>
      </w:r>
      <w:r w:rsidR="00BF1E0C">
        <w:rPr>
          <w:rFonts w:asciiTheme="minorHAnsi" w:hAnsiTheme="minorHAnsi"/>
          <w:sz w:val="24"/>
          <w:szCs w:val="24"/>
        </w:rPr>
        <w:t>, Equity Market Neutral</w:t>
      </w:r>
      <w:r w:rsidRPr="00312E9D">
        <w:rPr>
          <w:rFonts w:asciiTheme="minorHAnsi" w:hAnsiTheme="minorHAnsi"/>
          <w:sz w:val="24"/>
          <w:szCs w:val="24"/>
        </w:rPr>
        <w:t xml:space="preserve"> and CTA strategies (the strategies that are most suitable for managed account structure). </w:t>
      </w:r>
    </w:p>
    <w:p w14:paraId="4A1FD83C" w14:textId="77777777" w:rsidR="00312E9D" w:rsidRDefault="00312E9D" w:rsidP="00312E9D">
      <w:pPr>
        <w:pStyle w:val="NoSpacing"/>
        <w:spacing w:before="240"/>
        <w:rPr>
          <w:rFonts w:asciiTheme="minorHAnsi" w:hAnsiTheme="minorHAnsi"/>
          <w:sz w:val="24"/>
          <w:szCs w:val="24"/>
        </w:rPr>
      </w:pPr>
    </w:p>
    <w:p w14:paraId="42B74E4A" w14:textId="77777777" w:rsidR="00312E9D" w:rsidRPr="00896380" w:rsidRDefault="00312E9D" w:rsidP="00312E9D">
      <w:pPr>
        <w:pStyle w:val="NoSpacing"/>
        <w:spacing w:before="240"/>
        <w:rPr>
          <w:rFonts w:asciiTheme="majorHAnsi" w:hAnsiTheme="majorHAnsi"/>
          <w:b/>
          <w:i/>
          <w:color w:val="1D1B11" w:themeColor="background2" w:themeShade="1A"/>
          <w:sz w:val="32"/>
          <w:szCs w:val="32"/>
        </w:rPr>
      </w:pPr>
      <w:r w:rsidRPr="00896380">
        <w:rPr>
          <w:rFonts w:asciiTheme="majorHAnsi" w:hAnsiTheme="majorHAnsi"/>
          <w:b/>
          <w:i/>
          <w:color w:val="1D1B11" w:themeColor="background2" w:themeShade="1A"/>
          <w:sz w:val="32"/>
          <w:szCs w:val="32"/>
        </w:rPr>
        <w:t>Transparency</w:t>
      </w:r>
    </w:p>
    <w:p w14:paraId="0D433438" w14:textId="77777777" w:rsidR="00312E9D" w:rsidRPr="00312E9D" w:rsidRDefault="00312E9D" w:rsidP="00312E9D">
      <w:pPr>
        <w:pStyle w:val="NoSpacing"/>
        <w:spacing w:before="240"/>
        <w:rPr>
          <w:rFonts w:asciiTheme="minorHAnsi" w:hAnsiTheme="minorHAnsi"/>
          <w:sz w:val="24"/>
          <w:szCs w:val="24"/>
        </w:rPr>
      </w:pPr>
      <w:r w:rsidRPr="00312E9D">
        <w:rPr>
          <w:rFonts w:asciiTheme="minorHAnsi" w:hAnsiTheme="minorHAnsi"/>
          <w:sz w:val="24"/>
          <w:szCs w:val="24"/>
        </w:rPr>
        <w:t xml:space="preserve">Perhaps one of the biggest complaints about hedge funds is lack of transparency. The press and the media describe hedge funds as opaque investment vehicles striving on secrecy and open to the rich. Many investors blame that alleged opaqueness for many of the financial problems that we are experiencing right now. Some demand full transparency. </w:t>
      </w:r>
    </w:p>
    <w:p w14:paraId="6636F8D2" w14:textId="77777777" w:rsidR="00312E9D" w:rsidRPr="00312E9D" w:rsidRDefault="00312E9D" w:rsidP="00312E9D">
      <w:pPr>
        <w:pStyle w:val="NoSpacing"/>
        <w:spacing w:before="240"/>
        <w:rPr>
          <w:rFonts w:asciiTheme="minorHAnsi" w:hAnsiTheme="minorHAnsi"/>
          <w:sz w:val="24"/>
          <w:szCs w:val="24"/>
        </w:rPr>
      </w:pPr>
    </w:p>
    <w:p w14:paraId="65F47E22" w14:textId="77777777" w:rsidR="00312E9D" w:rsidRDefault="00312E9D" w:rsidP="00312E9D">
      <w:pPr>
        <w:pStyle w:val="NoSpacing"/>
        <w:rPr>
          <w:rFonts w:asciiTheme="minorHAnsi" w:hAnsiTheme="minorHAnsi"/>
          <w:sz w:val="24"/>
          <w:szCs w:val="24"/>
        </w:rPr>
      </w:pPr>
      <w:r w:rsidRPr="00312E9D">
        <w:rPr>
          <w:rFonts w:asciiTheme="minorHAnsi" w:hAnsiTheme="minorHAnsi"/>
          <w:sz w:val="24"/>
          <w:szCs w:val="24"/>
        </w:rPr>
        <w:t>While some of the criticism is valid, it would not be fair to just say that all hedge funds are secretive and opaque. In this article we touch on three main topics related to transparency:</w:t>
      </w:r>
    </w:p>
    <w:p w14:paraId="6F97C321" w14:textId="77777777" w:rsidR="00312E9D" w:rsidRPr="00312E9D" w:rsidRDefault="00312E9D" w:rsidP="00312E9D">
      <w:pPr>
        <w:pStyle w:val="NoSpacing"/>
        <w:rPr>
          <w:rFonts w:asciiTheme="minorHAnsi" w:hAnsiTheme="minorHAnsi"/>
          <w:sz w:val="24"/>
          <w:szCs w:val="24"/>
        </w:rPr>
      </w:pPr>
    </w:p>
    <w:p w14:paraId="2C25AE98" w14:textId="77777777" w:rsidR="00312E9D" w:rsidRPr="00A61F18" w:rsidRDefault="00312E9D" w:rsidP="00312E9D">
      <w:pPr>
        <w:pStyle w:val="NoSpacing"/>
        <w:numPr>
          <w:ilvl w:val="0"/>
          <w:numId w:val="3"/>
        </w:numPr>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Current State of Hedge Fund Transparency</w:t>
      </w:r>
    </w:p>
    <w:p w14:paraId="3CA7BC62" w14:textId="77777777" w:rsidR="00312E9D" w:rsidRPr="00A61F18" w:rsidRDefault="00312E9D" w:rsidP="00312E9D">
      <w:pPr>
        <w:pStyle w:val="NoSpacing"/>
        <w:numPr>
          <w:ilvl w:val="0"/>
          <w:numId w:val="3"/>
        </w:numPr>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Pros and Cons (mostly) of Full Transparency</w:t>
      </w:r>
    </w:p>
    <w:p w14:paraId="09F2DA2A" w14:textId="77777777" w:rsidR="00312E9D" w:rsidRPr="00A61F18" w:rsidRDefault="00312E9D" w:rsidP="00312E9D">
      <w:pPr>
        <w:pStyle w:val="NoSpacing"/>
        <w:numPr>
          <w:ilvl w:val="0"/>
          <w:numId w:val="3"/>
        </w:numPr>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Recommended Solution</w:t>
      </w:r>
    </w:p>
    <w:p w14:paraId="44A83993" w14:textId="77777777" w:rsidR="00312E9D" w:rsidRPr="00312E9D" w:rsidRDefault="00312E9D" w:rsidP="00312E9D">
      <w:pPr>
        <w:pStyle w:val="NoSpacing"/>
        <w:rPr>
          <w:rFonts w:asciiTheme="minorHAnsi" w:hAnsiTheme="minorHAnsi"/>
          <w:sz w:val="24"/>
          <w:szCs w:val="24"/>
        </w:rPr>
      </w:pPr>
    </w:p>
    <w:p w14:paraId="04B59EB6" w14:textId="77777777" w:rsidR="00312E9D" w:rsidRPr="00A61F18" w:rsidRDefault="00312E9D" w:rsidP="00312E9D">
      <w:pPr>
        <w:pStyle w:val="NoSpacing"/>
        <w:rPr>
          <w:rFonts w:asciiTheme="majorHAnsi" w:hAnsiTheme="majorHAnsi"/>
          <w:b/>
          <w:i/>
          <w:color w:val="1D1B11" w:themeColor="background2" w:themeShade="1A"/>
          <w:sz w:val="32"/>
          <w:szCs w:val="32"/>
        </w:rPr>
      </w:pPr>
      <w:r w:rsidRPr="00A61F18">
        <w:rPr>
          <w:rFonts w:asciiTheme="majorHAnsi" w:hAnsiTheme="majorHAnsi"/>
          <w:b/>
          <w:i/>
          <w:color w:val="1D1B11" w:themeColor="background2" w:themeShade="1A"/>
          <w:sz w:val="32"/>
          <w:szCs w:val="32"/>
        </w:rPr>
        <w:t>Current State of Hedge Fund Transparency</w:t>
      </w:r>
    </w:p>
    <w:p w14:paraId="46966B95" w14:textId="77777777" w:rsidR="00312E9D" w:rsidRPr="00312E9D" w:rsidRDefault="00312E9D" w:rsidP="00312E9D">
      <w:pPr>
        <w:pStyle w:val="NoSpacing"/>
        <w:rPr>
          <w:rFonts w:asciiTheme="minorHAnsi" w:hAnsiTheme="minorHAnsi"/>
          <w:sz w:val="24"/>
          <w:szCs w:val="24"/>
        </w:rPr>
      </w:pPr>
    </w:p>
    <w:p w14:paraId="13AA0734"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 xml:space="preserve">Hedge Fund transparency in the current state ranges from the Black Box Model on one side to the Full Transparency model on the other side. The most secretive funds provide their investors with monthly return and general leverage information. The leverage information is typically provided in the form of percent of equity allocated to long and short positions. These funds may disclose more information in due diligence meetings and conference calls, but most often will not report this information in the printed form.  The funds that report full transparency may provide investors with full position data on either real (or close to real) time basis or on a lagged basis. Most hedge funds regardless of the transparency model usually provide their investors with monthly and quarterly letters. </w:t>
      </w:r>
    </w:p>
    <w:p w14:paraId="7CE301B8" w14:textId="77777777" w:rsidR="00312E9D" w:rsidRPr="00312E9D" w:rsidRDefault="00312E9D" w:rsidP="00312E9D">
      <w:pPr>
        <w:pStyle w:val="NoSpacing"/>
        <w:rPr>
          <w:rFonts w:asciiTheme="minorHAnsi" w:hAnsiTheme="minorHAnsi"/>
          <w:sz w:val="24"/>
          <w:szCs w:val="24"/>
        </w:rPr>
      </w:pPr>
    </w:p>
    <w:p w14:paraId="2BC5FA03"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 xml:space="preserve">While the content and </w:t>
      </w:r>
      <w:r w:rsidR="00BF1E0C">
        <w:rPr>
          <w:rFonts w:asciiTheme="minorHAnsi" w:hAnsiTheme="minorHAnsi"/>
          <w:sz w:val="24"/>
          <w:szCs w:val="24"/>
        </w:rPr>
        <w:t>quality of these letters differ</w:t>
      </w:r>
      <w:r w:rsidRPr="00312E9D">
        <w:rPr>
          <w:rFonts w:asciiTheme="minorHAnsi" w:hAnsiTheme="minorHAnsi"/>
          <w:sz w:val="24"/>
          <w:szCs w:val="24"/>
        </w:rPr>
        <w:t xml:space="preserve"> widely</w:t>
      </w:r>
      <w:r w:rsidR="00BF1E0C">
        <w:rPr>
          <w:rFonts w:asciiTheme="minorHAnsi" w:hAnsiTheme="minorHAnsi"/>
          <w:sz w:val="24"/>
          <w:szCs w:val="24"/>
        </w:rPr>
        <w:t>,</w:t>
      </w:r>
      <w:r w:rsidRPr="00312E9D">
        <w:rPr>
          <w:rFonts w:asciiTheme="minorHAnsi" w:hAnsiTheme="minorHAnsi"/>
          <w:sz w:val="24"/>
          <w:szCs w:val="24"/>
        </w:rPr>
        <w:t xml:space="preserve"> we found that there are certain commonalities among hedge funds in different strategies. For example, the majority of Equity Long/Short hedge funds report </w:t>
      </w:r>
      <w:r w:rsidR="005C0BD7">
        <w:rPr>
          <w:rFonts w:asciiTheme="minorHAnsi" w:hAnsiTheme="minorHAnsi"/>
          <w:sz w:val="24"/>
          <w:szCs w:val="24"/>
        </w:rPr>
        <w:t>Industry</w:t>
      </w:r>
      <w:r w:rsidRPr="00312E9D">
        <w:rPr>
          <w:rFonts w:asciiTheme="minorHAnsi" w:hAnsiTheme="minorHAnsi"/>
          <w:sz w:val="24"/>
          <w:szCs w:val="24"/>
        </w:rPr>
        <w:t xml:space="preserve"> and geographic allocations. Many </w:t>
      </w:r>
      <w:proofErr w:type="gramStart"/>
      <w:r w:rsidRPr="00312E9D">
        <w:rPr>
          <w:rFonts w:asciiTheme="minorHAnsi" w:hAnsiTheme="minorHAnsi"/>
          <w:sz w:val="24"/>
          <w:szCs w:val="24"/>
        </w:rPr>
        <w:t>report</w:t>
      </w:r>
      <w:proofErr w:type="gramEnd"/>
      <w:r w:rsidRPr="00312E9D">
        <w:rPr>
          <w:rFonts w:asciiTheme="minorHAnsi" w:hAnsiTheme="minorHAnsi"/>
          <w:sz w:val="24"/>
          <w:szCs w:val="24"/>
        </w:rPr>
        <w:t xml:space="preserve"> concentration and maybe even the names of the top five positions. Fixed Income Arbitrage funds often report their interest rate exposure by currency and maturity buckets. </w:t>
      </w:r>
    </w:p>
    <w:p w14:paraId="65151CD4" w14:textId="77777777" w:rsidR="00312E9D" w:rsidRPr="00312E9D" w:rsidRDefault="00312E9D" w:rsidP="00312E9D">
      <w:pPr>
        <w:pStyle w:val="NoSpacing"/>
        <w:rPr>
          <w:rFonts w:asciiTheme="minorHAnsi" w:hAnsiTheme="minorHAnsi"/>
          <w:sz w:val="24"/>
          <w:szCs w:val="24"/>
        </w:rPr>
      </w:pPr>
    </w:p>
    <w:p w14:paraId="75FFE5C0"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 xml:space="preserve">While a diligent investor may be able to collect many pieces of the available transparency data, the absence of any standards in reporting this data makes it extremely difficult to use it on a consistent basis. </w:t>
      </w:r>
    </w:p>
    <w:p w14:paraId="751DF6CD" w14:textId="77777777" w:rsidR="00312E9D" w:rsidRPr="00A61F18" w:rsidRDefault="00312E9D" w:rsidP="00312E9D">
      <w:pPr>
        <w:pStyle w:val="NoSpacing"/>
        <w:spacing w:before="240"/>
        <w:rPr>
          <w:rFonts w:asciiTheme="majorHAnsi" w:hAnsiTheme="majorHAnsi"/>
          <w:b/>
          <w:i/>
          <w:color w:val="1D1B11" w:themeColor="background2" w:themeShade="1A"/>
          <w:sz w:val="32"/>
          <w:szCs w:val="32"/>
        </w:rPr>
      </w:pPr>
      <w:r w:rsidRPr="00A61F18">
        <w:rPr>
          <w:rFonts w:asciiTheme="majorHAnsi" w:hAnsiTheme="majorHAnsi"/>
          <w:b/>
          <w:i/>
          <w:color w:val="1D1B11" w:themeColor="background2" w:themeShade="1A"/>
          <w:sz w:val="32"/>
          <w:szCs w:val="32"/>
        </w:rPr>
        <w:t>Full Transparency</w:t>
      </w:r>
    </w:p>
    <w:p w14:paraId="199200A6" w14:textId="77777777" w:rsidR="00312E9D" w:rsidRPr="00312E9D" w:rsidRDefault="00312E9D" w:rsidP="00312E9D">
      <w:pPr>
        <w:pStyle w:val="NoSpacing"/>
        <w:spacing w:before="240"/>
        <w:rPr>
          <w:rFonts w:asciiTheme="minorHAnsi" w:hAnsiTheme="minorHAnsi"/>
          <w:sz w:val="24"/>
          <w:szCs w:val="24"/>
        </w:rPr>
      </w:pPr>
      <w:r w:rsidRPr="00312E9D">
        <w:rPr>
          <w:rFonts w:asciiTheme="minorHAnsi" w:hAnsiTheme="minorHAnsi"/>
          <w:sz w:val="24"/>
          <w:szCs w:val="24"/>
        </w:rPr>
        <w:t xml:space="preserve">There have been many calls for requiring hedge funds to provide full transparency.  The hedge funds’ rebuttal that those calls are no more legitimate than calls to require Coca Cola to disclose its secret </w:t>
      </w:r>
      <w:r w:rsidRPr="00312E9D">
        <w:rPr>
          <w:rFonts w:asciiTheme="minorHAnsi" w:hAnsiTheme="minorHAnsi"/>
          <w:sz w:val="24"/>
          <w:szCs w:val="24"/>
        </w:rPr>
        <w:lastRenderedPageBreak/>
        <w:t xml:space="preserve">formula is valid in its own right. There is another strong argument against full transparency. It will likely do more harm than good for the investor. </w:t>
      </w:r>
    </w:p>
    <w:p w14:paraId="112FA29F" w14:textId="77777777" w:rsidR="00312E9D" w:rsidRPr="00312E9D" w:rsidRDefault="00312E9D" w:rsidP="00312E9D">
      <w:pPr>
        <w:pStyle w:val="NoSpacing"/>
        <w:spacing w:before="240"/>
        <w:rPr>
          <w:rFonts w:asciiTheme="minorHAnsi" w:hAnsiTheme="minorHAnsi"/>
          <w:sz w:val="24"/>
          <w:szCs w:val="24"/>
        </w:rPr>
      </w:pPr>
    </w:p>
    <w:p w14:paraId="6B7E57B8"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Hedge funds invest in a variety of financial instruments that range from plain vanilla stocks and bonds to complex derivative instruments. Most hedge fund investors do not have the necessary systems or budgets to be able to take every position reported by every hedge fund in their portfolio and perform a meaningful analysis. There are, of course, software solutions that are available on the market that may be able to handle many of the instruments, but the cost and complexity of these solutions in the constrained budget environment may not be justified by the value added.</w:t>
      </w:r>
    </w:p>
    <w:p w14:paraId="68F82341" w14:textId="77777777" w:rsidR="00312E9D" w:rsidRPr="00312E9D" w:rsidRDefault="00312E9D" w:rsidP="00312E9D">
      <w:pPr>
        <w:pStyle w:val="NoSpacing"/>
        <w:rPr>
          <w:rFonts w:asciiTheme="minorHAnsi" w:hAnsiTheme="minorHAnsi"/>
          <w:sz w:val="24"/>
          <w:szCs w:val="24"/>
        </w:rPr>
      </w:pPr>
    </w:p>
    <w:p w14:paraId="126D66BB"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 xml:space="preserve">Obtaining full transparency and failing to analyze it may result in two problems for the investor. After obtaining position data from the fund, the investor may experience a false sense of security and become complacent when analyzing the fund. Full transparency may justify putting a checkmark in a due diligence </w:t>
      </w:r>
      <w:proofErr w:type="gramStart"/>
      <w:r w:rsidRPr="00312E9D">
        <w:rPr>
          <w:rFonts w:asciiTheme="minorHAnsi" w:hAnsiTheme="minorHAnsi"/>
          <w:sz w:val="24"/>
          <w:szCs w:val="24"/>
        </w:rPr>
        <w:t>questionnaire, but</w:t>
      </w:r>
      <w:proofErr w:type="gramEnd"/>
      <w:r w:rsidRPr="00312E9D">
        <w:rPr>
          <w:rFonts w:asciiTheme="minorHAnsi" w:hAnsiTheme="minorHAnsi"/>
          <w:sz w:val="24"/>
          <w:szCs w:val="24"/>
        </w:rPr>
        <w:t xml:space="preserve"> may not result in any actionable step. The second problem may exist for the fund of funds and other professional investors in that failing to perform an adequate analysis of position data may actually imply the failure of fiduciary duties with respect to their clients or </w:t>
      </w:r>
      <w:proofErr w:type="spellStart"/>
      <w:r w:rsidRPr="00312E9D">
        <w:rPr>
          <w:rFonts w:asciiTheme="minorHAnsi" w:hAnsiTheme="minorHAnsi"/>
          <w:sz w:val="24"/>
          <w:szCs w:val="24"/>
        </w:rPr>
        <w:t>share holders</w:t>
      </w:r>
      <w:proofErr w:type="spellEnd"/>
      <w:r w:rsidRPr="00312E9D">
        <w:rPr>
          <w:rFonts w:asciiTheme="minorHAnsi" w:hAnsiTheme="minorHAnsi"/>
          <w:sz w:val="24"/>
          <w:szCs w:val="24"/>
        </w:rPr>
        <w:t xml:space="preserve">. </w:t>
      </w:r>
    </w:p>
    <w:p w14:paraId="0A0ADFEA" w14:textId="77777777" w:rsidR="00312E9D" w:rsidRPr="00312E9D" w:rsidRDefault="00312E9D" w:rsidP="00312E9D">
      <w:pPr>
        <w:pStyle w:val="NoSpacing"/>
        <w:rPr>
          <w:rFonts w:asciiTheme="minorHAnsi" w:hAnsiTheme="minorHAnsi"/>
          <w:sz w:val="24"/>
          <w:szCs w:val="24"/>
        </w:rPr>
      </w:pPr>
    </w:p>
    <w:p w14:paraId="5E3CCE86"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If full transparency is not appropriate, then the natural question to ask is: What level of transparency should investors demand?</w:t>
      </w:r>
    </w:p>
    <w:p w14:paraId="5DCBE590" w14:textId="77777777" w:rsidR="00312E9D" w:rsidRPr="00312E9D" w:rsidRDefault="00312E9D" w:rsidP="00312E9D">
      <w:pPr>
        <w:pStyle w:val="NoSpacing"/>
        <w:rPr>
          <w:rFonts w:asciiTheme="minorHAnsi" w:hAnsiTheme="minorHAnsi"/>
          <w:sz w:val="24"/>
          <w:szCs w:val="24"/>
        </w:rPr>
      </w:pPr>
    </w:p>
    <w:p w14:paraId="72329AF4" w14:textId="77777777" w:rsidR="00312E9D" w:rsidRPr="00A61F18" w:rsidRDefault="00312E9D" w:rsidP="00312E9D">
      <w:pPr>
        <w:pStyle w:val="NoSpacing"/>
        <w:rPr>
          <w:rFonts w:asciiTheme="majorHAnsi" w:hAnsiTheme="majorHAnsi"/>
          <w:b/>
          <w:i/>
          <w:color w:val="1D1B11" w:themeColor="background2" w:themeShade="1A"/>
          <w:sz w:val="32"/>
          <w:szCs w:val="32"/>
        </w:rPr>
      </w:pPr>
      <w:r w:rsidRPr="00A61F18">
        <w:rPr>
          <w:rFonts w:asciiTheme="majorHAnsi" w:hAnsiTheme="majorHAnsi"/>
          <w:b/>
          <w:i/>
          <w:color w:val="1D1B11" w:themeColor="background2" w:themeShade="1A"/>
          <w:sz w:val="32"/>
          <w:szCs w:val="32"/>
        </w:rPr>
        <w:t>Recommended Solution</w:t>
      </w:r>
    </w:p>
    <w:p w14:paraId="1A6F7416" w14:textId="77777777" w:rsidR="00312E9D" w:rsidRPr="00312E9D" w:rsidRDefault="00312E9D" w:rsidP="00312E9D">
      <w:pPr>
        <w:pStyle w:val="NoSpacing"/>
        <w:rPr>
          <w:rFonts w:asciiTheme="minorHAnsi" w:hAnsiTheme="minorHAnsi"/>
          <w:sz w:val="24"/>
          <w:szCs w:val="24"/>
          <w:u w:val="single"/>
        </w:rPr>
      </w:pPr>
    </w:p>
    <w:p w14:paraId="40C523C5" w14:textId="77777777" w:rsidR="00312E9D" w:rsidRDefault="00312E9D" w:rsidP="00312E9D">
      <w:pPr>
        <w:pStyle w:val="NoSpacing"/>
        <w:rPr>
          <w:rFonts w:asciiTheme="minorHAnsi" w:hAnsiTheme="minorHAnsi"/>
          <w:sz w:val="24"/>
          <w:szCs w:val="24"/>
        </w:rPr>
      </w:pPr>
      <w:r w:rsidRPr="00312E9D">
        <w:rPr>
          <w:rFonts w:asciiTheme="minorHAnsi" w:hAnsiTheme="minorHAnsi"/>
          <w:sz w:val="24"/>
          <w:szCs w:val="24"/>
        </w:rPr>
        <w:t>Transparency reported by hedge fund managers should be:</w:t>
      </w:r>
    </w:p>
    <w:p w14:paraId="65FA03BF" w14:textId="77777777" w:rsidR="00A61F18" w:rsidRPr="00312E9D" w:rsidRDefault="00A61F18" w:rsidP="00312E9D">
      <w:pPr>
        <w:pStyle w:val="NoSpacing"/>
        <w:rPr>
          <w:rFonts w:asciiTheme="minorHAnsi" w:hAnsiTheme="minorHAnsi"/>
          <w:sz w:val="24"/>
          <w:szCs w:val="24"/>
        </w:rPr>
      </w:pPr>
    </w:p>
    <w:p w14:paraId="436EA5A8" w14:textId="77777777" w:rsidR="00312E9D" w:rsidRPr="00A61F18" w:rsidRDefault="00312E9D" w:rsidP="00A61F18">
      <w:pPr>
        <w:pStyle w:val="NoSpacing"/>
        <w:numPr>
          <w:ilvl w:val="0"/>
          <w:numId w:val="11"/>
        </w:numPr>
        <w:spacing w:line="360" w:lineRule="auto"/>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Reasonable</w:t>
      </w:r>
    </w:p>
    <w:p w14:paraId="06D5EDC2" w14:textId="77777777" w:rsidR="00312E9D" w:rsidRPr="00A61F18" w:rsidRDefault="00312E9D" w:rsidP="00A61F18">
      <w:pPr>
        <w:pStyle w:val="NoSpacing"/>
        <w:numPr>
          <w:ilvl w:val="0"/>
          <w:numId w:val="11"/>
        </w:numPr>
        <w:spacing w:line="360" w:lineRule="auto"/>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Informative</w:t>
      </w:r>
    </w:p>
    <w:p w14:paraId="580EE924" w14:textId="77777777" w:rsidR="00312E9D" w:rsidRPr="00A61F18" w:rsidRDefault="00312E9D" w:rsidP="00A61F18">
      <w:pPr>
        <w:pStyle w:val="NoSpacing"/>
        <w:numPr>
          <w:ilvl w:val="0"/>
          <w:numId w:val="11"/>
        </w:numPr>
        <w:spacing w:line="360" w:lineRule="auto"/>
        <w:rPr>
          <w:rFonts w:asciiTheme="minorHAnsi" w:hAnsiTheme="minorHAnsi"/>
          <w:b/>
          <w:color w:val="1D1B11" w:themeColor="background2" w:themeShade="1A"/>
          <w:sz w:val="24"/>
          <w:szCs w:val="24"/>
          <w:u w:val="single"/>
        </w:rPr>
      </w:pPr>
      <w:r w:rsidRPr="00A61F18">
        <w:rPr>
          <w:rFonts w:asciiTheme="minorHAnsi" w:hAnsiTheme="minorHAnsi"/>
          <w:b/>
          <w:color w:val="1D1B11" w:themeColor="background2" w:themeShade="1A"/>
          <w:sz w:val="24"/>
          <w:szCs w:val="24"/>
        </w:rPr>
        <w:t>Useful</w:t>
      </w:r>
    </w:p>
    <w:p w14:paraId="4F12F6B9" w14:textId="77777777" w:rsidR="00312E9D" w:rsidRPr="00312E9D" w:rsidRDefault="00312E9D" w:rsidP="00312E9D">
      <w:pPr>
        <w:pStyle w:val="NoSpacing"/>
        <w:ind w:left="360"/>
        <w:rPr>
          <w:rFonts w:asciiTheme="minorHAnsi" w:hAnsiTheme="minorHAnsi"/>
          <w:sz w:val="24"/>
          <w:szCs w:val="24"/>
          <w:u w:val="single"/>
        </w:rPr>
      </w:pPr>
    </w:p>
    <w:p w14:paraId="258FFF96" w14:textId="77777777" w:rsidR="00312E9D" w:rsidRPr="00A61F18" w:rsidRDefault="00312E9D" w:rsidP="00A61F18">
      <w:pPr>
        <w:pStyle w:val="NoSpacing"/>
        <w:spacing w:line="276" w:lineRule="auto"/>
        <w:rPr>
          <w:rFonts w:asciiTheme="minorHAnsi" w:hAnsiTheme="minorHAnsi"/>
          <w:b/>
          <w:color w:val="1D1B11" w:themeColor="background2" w:themeShade="1A"/>
          <w:sz w:val="28"/>
          <w:szCs w:val="28"/>
          <w:u w:val="single"/>
        </w:rPr>
      </w:pPr>
      <w:r w:rsidRPr="00A61F18">
        <w:rPr>
          <w:rFonts w:asciiTheme="minorHAnsi" w:hAnsiTheme="minorHAnsi"/>
          <w:b/>
          <w:color w:val="1D1B11" w:themeColor="background2" w:themeShade="1A"/>
          <w:sz w:val="28"/>
          <w:szCs w:val="28"/>
          <w:u w:val="single"/>
        </w:rPr>
        <w:t>Reasonable</w:t>
      </w:r>
    </w:p>
    <w:p w14:paraId="204CD1F2" w14:textId="77777777" w:rsidR="00312E9D" w:rsidRDefault="00312E9D" w:rsidP="00A61F18">
      <w:pPr>
        <w:pStyle w:val="NoSpacing"/>
        <w:spacing w:line="276" w:lineRule="auto"/>
        <w:rPr>
          <w:rFonts w:asciiTheme="minorHAnsi" w:hAnsiTheme="minorHAnsi"/>
          <w:sz w:val="24"/>
          <w:szCs w:val="24"/>
        </w:rPr>
      </w:pPr>
      <w:r w:rsidRPr="00312E9D">
        <w:rPr>
          <w:rFonts w:asciiTheme="minorHAnsi" w:hAnsiTheme="minorHAnsi"/>
          <w:sz w:val="24"/>
          <w:szCs w:val="24"/>
        </w:rPr>
        <w:t>To be reasonable, the required transparency should have the following qualities:</w:t>
      </w:r>
    </w:p>
    <w:p w14:paraId="3E1EEA16" w14:textId="77777777" w:rsidR="00A61F18" w:rsidRPr="00312E9D" w:rsidRDefault="00A61F18" w:rsidP="00312E9D">
      <w:pPr>
        <w:pStyle w:val="NoSpacing"/>
        <w:rPr>
          <w:rFonts w:asciiTheme="minorHAnsi" w:hAnsiTheme="minorHAnsi"/>
          <w:sz w:val="24"/>
          <w:szCs w:val="24"/>
        </w:rPr>
      </w:pPr>
    </w:p>
    <w:p w14:paraId="4307182C" w14:textId="77777777" w:rsidR="00312E9D" w:rsidRPr="00A61F18" w:rsidRDefault="00312E9D" w:rsidP="00312E9D">
      <w:pPr>
        <w:pStyle w:val="NoSpacing"/>
        <w:numPr>
          <w:ilvl w:val="0"/>
          <w:numId w:val="5"/>
        </w:numPr>
        <w:rPr>
          <w:rFonts w:asciiTheme="minorHAnsi" w:hAnsiTheme="minorHAnsi"/>
          <w:i/>
          <w:sz w:val="24"/>
          <w:szCs w:val="24"/>
        </w:rPr>
      </w:pPr>
      <w:r w:rsidRPr="00A61F18">
        <w:rPr>
          <w:rFonts w:asciiTheme="minorHAnsi" w:hAnsiTheme="minorHAnsi"/>
          <w:i/>
          <w:sz w:val="24"/>
          <w:szCs w:val="24"/>
        </w:rPr>
        <w:t>Reporting frequency should coincide with the fund’s liquidity. While it may be informative to know what the fund with quarterly liquidity is holding on a daily basis, it would not provide investors with any actionable step, and would impose an undue burden on the manager.</w:t>
      </w:r>
    </w:p>
    <w:p w14:paraId="02372315" w14:textId="77777777" w:rsidR="00312E9D" w:rsidRPr="00A61F18" w:rsidRDefault="00312E9D" w:rsidP="00312E9D">
      <w:pPr>
        <w:pStyle w:val="NoSpacing"/>
        <w:numPr>
          <w:ilvl w:val="0"/>
          <w:numId w:val="5"/>
        </w:numPr>
        <w:rPr>
          <w:rFonts w:asciiTheme="minorHAnsi" w:hAnsiTheme="minorHAnsi"/>
          <w:i/>
          <w:sz w:val="24"/>
          <w:szCs w:val="24"/>
        </w:rPr>
      </w:pPr>
      <w:r w:rsidRPr="00A61F18">
        <w:rPr>
          <w:rFonts w:asciiTheme="minorHAnsi" w:hAnsiTheme="minorHAnsi"/>
          <w:i/>
          <w:sz w:val="24"/>
          <w:szCs w:val="24"/>
        </w:rPr>
        <w:t>Reports produced by the manager should be consistent. An investor should be able to obtain reports in the same format and with the same content.</w:t>
      </w:r>
    </w:p>
    <w:p w14:paraId="1849A0F7" w14:textId="77777777" w:rsidR="00312E9D" w:rsidRPr="00A61F18" w:rsidRDefault="00312E9D" w:rsidP="00312E9D">
      <w:pPr>
        <w:pStyle w:val="NoSpacing"/>
        <w:numPr>
          <w:ilvl w:val="0"/>
          <w:numId w:val="5"/>
        </w:numPr>
        <w:rPr>
          <w:rFonts w:asciiTheme="minorHAnsi" w:hAnsiTheme="minorHAnsi"/>
          <w:i/>
          <w:sz w:val="24"/>
          <w:szCs w:val="24"/>
        </w:rPr>
      </w:pPr>
      <w:r w:rsidRPr="00A61F18">
        <w:rPr>
          <w:rFonts w:asciiTheme="minorHAnsi" w:hAnsiTheme="minorHAnsi"/>
          <w:i/>
          <w:sz w:val="24"/>
          <w:szCs w:val="24"/>
        </w:rPr>
        <w:lastRenderedPageBreak/>
        <w:t>Transparency should not be excessive. Managers should not be required to disclose their trade secrets. Conversely, investors should also be able to process reported information without undue burden and excessive costs.</w:t>
      </w:r>
    </w:p>
    <w:p w14:paraId="5BB0F062" w14:textId="77777777" w:rsidR="00A61F18" w:rsidRDefault="00A61F18" w:rsidP="00A61F18">
      <w:pPr>
        <w:pStyle w:val="NoSpacing"/>
        <w:rPr>
          <w:rFonts w:asciiTheme="minorHAnsi" w:hAnsiTheme="minorHAnsi"/>
          <w:sz w:val="24"/>
          <w:szCs w:val="24"/>
        </w:rPr>
      </w:pPr>
    </w:p>
    <w:p w14:paraId="2E02C97A" w14:textId="77777777" w:rsidR="00A61F18" w:rsidRPr="00312E9D" w:rsidRDefault="00A61F18" w:rsidP="00A61F18">
      <w:pPr>
        <w:pStyle w:val="NoSpacing"/>
        <w:rPr>
          <w:rFonts w:asciiTheme="minorHAnsi" w:hAnsiTheme="minorHAnsi"/>
          <w:sz w:val="24"/>
          <w:szCs w:val="24"/>
        </w:rPr>
      </w:pPr>
    </w:p>
    <w:p w14:paraId="3BF81A0C" w14:textId="77777777" w:rsidR="00312E9D" w:rsidRPr="00312E9D" w:rsidRDefault="00312E9D" w:rsidP="00312E9D">
      <w:pPr>
        <w:pStyle w:val="NoSpacing"/>
        <w:rPr>
          <w:rFonts w:asciiTheme="minorHAnsi" w:hAnsiTheme="minorHAnsi"/>
          <w:sz w:val="24"/>
          <w:szCs w:val="24"/>
        </w:rPr>
      </w:pPr>
    </w:p>
    <w:p w14:paraId="380C1833" w14:textId="77777777" w:rsidR="00312E9D" w:rsidRPr="00A61F18" w:rsidRDefault="00312E9D" w:rsidP="00A61F18">
      <w:pPr>
        <w:pStyle w:val="NoSpacing"/>
        <w:spacing w:line="276" w:lineRule="auto"/>
        <w:rPr>
          <w:rFonts w:asciiTheme="minorHAnsi" w:hAnsiTheme="minorHAnsi"/>
          <w:b/>
          <w:color w:val="1D1B11" w:themeColor="background2" w:themeShade="1A"/>
          <w:sz w:val="28"/>
          <w:szCs w:val="28"/>
          <w:u w:val="single"/>
        </w:rPr>
      </w:pPr>
      <w:r w:rsidRPr="00A61F18">
        <w:rPr>
          <w:rFonts w:asciiTheme="minorHAnsi" w:hAnsiTheme="minorHAnsi"/>
          <w:b/>
          <w:color w:val="1D1B11" w:themeColor="background2" w:themeShade="1A"/>
          <w:sz w:val="28"/>
          <w:szCs w:val="28"/>
          <w:u w:val="single"/>
        </w:rPr>
        <w:t>Informative</w:t>
      </w:r>
    </w:p>
    <w:p w14:paraId="43092E33" w14:textId="77777777" w:rsidR="00312E9D" w:rsidRPr="00312E9D" w:rsidRDefault="00312E9D" w:rsidP="00A61F18">
      <w:pPr>
        <w:pStyle w:val="NoSpacing"/>
        <w:spacing w:line="276" w:lineRule="auto"/>
        <w:rPr>
          <w:rFonts w:asciiTheme="minorHAnsi" w:hAnsiTheme="minorHAnsi"/>
          <w:sz w:val="24"/>
          <w:szCs w:val="24"/>
        </w:rPr>
      </w:pPr>
      <w:r w:rsidRPr="00312E9D">
        <w:rPr>
          <w:rFonts w:asciiTheme="minorHAnsi" w:hAnsiTheme="minorHAnsi"/>
          <w:sz w:val="24"/>
          <w:szCs w:val="24"/>
        </w:rPr>
        <w:t xml:space="preserve">Information provided by the fund should be both relevant to the manager’s strategy and comprehensive enough to be able to analyze the fund’s exposure. For Equity Long/Short hedge funds, an investor may want to collect </w:t>
      </w:r>
      <w:r w:rsidR="005C0BD7">
        <w:rPr>
          <w:rFonts w:asciiTheme="minorHAnsi" w:hAnsiTheme="minorHAnsi"/>
          <w:sz w:val="24"/>
          <w:szCs w:val="24"/>
        </w:rPr>
        <w:t>Industry</w:t>
      </w:r>
      <w:r w:rsidRPr="00312E9D">
        <w:rPr>
          <w:rFonts w:asciiTheme="minorHAnsi" w:hAnsiTheme="minorHAnsi"/>
          <w:sz w:val="24"/>
          <w:szCs w:val="24"/>
        </w:rPr>
        <w:t xml:space="preserve"> exposures, hedging positions, and top positions. For fixed income funds, an investor needs to collect the interest rate and credit sensitivities (in the form of DV01 and CDV01). Multi strategy funds may need to report a combination of the above. </w:t>
      </w:r>
    </w:p>
    <w:p w14:paraId="523E33EA" w14:textId="77777777" w:rsidR="00312E9D" w:rsidRPr="00312E9D" w:rsidRDefault="00312E9D" w:rsidP="00312E9D">
      <w:pPr>
        <w:pStyle w:val="NoSpacing"/>
        <w:rPr>
          <w:rFonts w:asciiTheme="minorHAnsi" w:hAnsiTheme="minorHAnsi"/>
          <w:sz w:val="24"/>
          <w:szCs w:val="24"/>
        </w:rPr>
      </w:pPr>
    </w:p>
    <w:p w14:paraId="375A8C99" w14:textId="77777777" w:rsidR="00312E9D" w:rsidRPr="00A61F18" w:rsidRDefault="00312E9D" w:rsidP="00A61F18">
      <w:pPr>
        <w:pStyle w:val="NoSpacing"/>
        <w:spacing w:line="276" w:lineRule="auto"/>
        <w:rPr>
          <w:rFonts w:asciiTheme="minorHAnsi" w:hAnsiTheme="minorHAnsi"/>
          <w:b/>
          <w:color w:val="1D1B11" w:themeColor="background2" w:themeShade="1A"/>
          <w:sz w:val="28"/>
          <w:szCs w:val="28"/>
        </w:rPr>
      </w:pPr>
      <w:r w:rsidRPr="00A61F18">
        <w:rPr>
          <w:rFonts w:asciiTheme="minorHAnsi" w:hAnsiTheme="minorHAnsi"/>
          <w:b/>
          <w:color w:val="1D1B11" w:themeColor="background2" w:themeShade="1A"/>
          <w:sz w:val="28"/>
          <w:szCs w:val="28"/>
          <w:u w:val="single"/>
        </w:rPr>
        <w:t>Useful</w:t>
      </w:r>
    </w:p>
    <w:p w14:paraId="27D09556" w14:textId="77777777" w:rsidR="00312E9D" w:rsidRPr="00312E9D" w:rsidRDefault="00312E9D" w:rsidP="00A61F18">
      <w:pPr>
        <w:pStyle w:val="NoSpacing"/>
        <w:spacing w:line="276" w:lineRule="auto"/>
        <w:rPr>
          <w:rFonts w:asciiTheme="minorHAnsi" w:hAnsiTheme="minorHAnsi"/>
          <w:sz w:val="24"/>
          <w:szCs w:val="24"/>
        </w:rPr>
      </w:pPr>
      <w:r w:rsidRPr="00312E9D">
        <w:rPr>
          <w:rFonts w:asciiTheme="minorHAnsi" w:hAnsiTheme="minorHAnsi"/>
          <w:sz w:val="24"/>
          <w:szCs w:val="24"/>
        </w:rPr>
        <w:t xml:space="preserve">There is no point in requesting transparency from hedge funds if the investor makes no use of it. Four types of analysis can be performed using the information collected from hedge/fund of funds. </w:t>
      </w:r>
    </w:p>
    <w:p w14:paraId="07FDD039" w14:textId="77777777" w:rsidR="00312E9D" w:rsidRPr="00312E9D" w:rsidRDefault="00312E9D" w:rsidP="00312E9D">
      <w:pPr>
        <w:pStyle w:val="NoSpacing"/>
        <w:rPr>
          <w:rFonts w:asciiTheme="minorHAnsi" w:hAnsiTheme="minorHAnsi"/>
          <w:sz w:val="24"/>
          <w:szCs w:val="24"/>
        </w:rPr>
      </w:pPr>
    </w:p>
    <w:p w14:paraId="2F29D53A" w14:textId="77777777" w:rsidR="00312E9D" w:rsidRPr="00312E9D" w:rsidRDefault="00312E9D" w:rsidP="00312E9D">
      <w:pPr>
        <w:pStyle w:val="NoSpacing"/>
        <w:numPr>
          <w:ilvl w:val="0"/>
          <w:numId w:val="6"/>
        </w:numPr>
        <w:rPr>
          <w:rFonts w:asciiTheme="minorHAnsi" w:hAnsiTheme="minorHAnsi"/>
          <w:sz w:val="24"/>
          <w:szCs w:val="24"/>
        </w:rPr>
      </w:pPr>
      <w:r w:rsidRPr="00312E9D">
        <w:rPr>
          <w:rFonts w:asciiTheme="minorHAnsi" w:hAnsiTheme="minorHAnsi"/>
          <w:sz w:val="24"/>
          <w:szCs w:val="24"/>
          <w:u w:val="single"/>
        </w:rPr>
        <w:t>Historical Trends.</w:t>
      </w:r>
      <w:r w:rsidRPr="00312E9D">
        <w:rPr>
          <w:rFonts w:asciiTheme="minorHAnsi" w:hAnsiTheme="minorHAnsi"/>
          <w:sz w:val="24"/>
          <w:szCs w:val="24"/>
        </w:rPr>
        <w:t xml:space="preserve"> While hedge fund positions may change on a daily or intra-day basis, the overall trend in exposures may provide information about the fund’s style (and potentially about any style drifts). </w:t>
      </w:r>
    </w:p>
    <w:p w14:paraId="72E5E696" w14:textId="77777777" w:rsidR="00312E9D" w:rsidRPr="00312E9D" w:rsidRDefault="00312E9D" w:rsidP="00312E9D">
      <w:pPr>
        <w:pStyle w:val="NoSpacing"/>
        <w:numPr>
          <w:ilvl w:val="0"/>
          <w:numId w:val="6"/>
        </w:numPr>
        <w:rPr>
          <w:rFonts w:asciiTheme="minorHAnsi" w:hAnsiTheme="minorHAnsi"/>
          <w:sz w:val="24"/>
          <w:szCs w:val="24"/>
          <w:u w:val="single"/>
        </w:rPr>
      </w:pPr>
      <w:r w:rsidRPr="00312E9D">
        <w:rPr>
          <w:rFonts w:asciiTheme="minorHAnsi" w:hAnsiTheme="minorHAnsi"/>
          <w:sz w:val="24"/>
          <w:szCs w:val="24"/>
          <w:u w:val="single"/>
        </w:rPr>
        <w:t>Aggregate Analysis.</w:t>
      </w:r>
      <w:r w:rsidRPr="00312E9D">
        <w:rPr>
          <w:rFonts w:asciiTheme="minorHAnsi" w:hAnsiTheme="minorHAnsi"/>
          <w:sz w:val="24"/>
          <w:szCs w:val="24"/>
        </w:rPr>
        <w:t xml:space="preserve"> Being able to collect data in consistent form would allow investors to aggregate information across hedge funds in their portfolios and get a more complete picture of their investments. </w:t>
      </w:r>
    </w:p>
    <w:p w14:paraId="78CC047F" w14:textId="77777777" w:rsidR="00312E9D" w:rsidRPr="00312E9D" w:rsidRDefault="00312E9D" w:rsidP="00312E9D">
      <w:pPr>
        <w:pStyle w:val="NoSpacing"/>
        <w:numPr>
          <w:ilvl w:val="0"/>
          <w:numId w:val="6"/>
        </w:numPr>
        <w:rPr>
          <w:rFonts w:asciiTheme="minorHAnsi" w:hAnsiTheme="minorHAnsi"/>
          <w:sz w:val="24"/>
          <w:szCs w:val="24"/>
          <w:u w:val="single"/>
        </w:rPr>
      </w:pPr>
      <w:r w:rsidRPr="00312E9D">
        <w:rPr>
          <w:rFonts w:asciiTheme="minorHAnsi" w:hAnsiTheme="minorHAnsi"/>
          <w:sz w:val="24"/>
          <w:szCs w:val="24"/>
          <w:u w:val="single"/>
        </w:rPr>
        <w:t>Monitoring.</w:t>
      </w:r>
      <w:r w:rsidRPr="00312E9D">
        <w:rPr>
          <w:rFonts w:asciiTheme="minorHAnsi" w:hAnsiTheme="minorHAnsi"/>
          <w:sz w:val="24"/>
          <w:szCs w:val="24"/>
        </w:rPr>
        <w:t xml:space="preserve"> </w:t>
      </w:r>
      <w:r w:rsidR="005C0BD7">
        <w:rPr>
          <w:rFonts w:asciiTheme="minorHAnsi" w:hAnsiTheme="minorHAnsi"/>
          <w:sz w:val="24"/>
          <w:szCs w:val="24"/>
        </w:rPr>
        <w:t>Industry</w:t>
      </w:r>
      <w:r w:rsidRPr="00312E9D">
        <w:rPr>
          <w:rFonts w:asciiTheme="minorHAnsi" w:hAnsiTheme="minorHAnsi"/>
          <w:sz w:val="24"/>
          <w:szCs w:val="24"/>
        </w:rPr>
        <w:t xml:space="preserve"> exposure and top position exposures may provide investors with a way to monitor and quickly identify the hedge funds which may be exposed to market news or events.</w:t>
      </w:r>
    </w:p>
    <w:p w14:paraId="45D56DA7" w14:textId="77777777" w:rsidR="00312E9D" w:rsidRPr="00312E9D" w:rsidRDefault="00312E9D" w:rsidP="00312E9D">
      <w:pPr>
        <w:pStyle w:val="NoSpacing"/>
        <w:numPr>
          <w:ilvl w:val="0"/>
          <w:numId w:val="6"/>
        </w:numPr>
        <w:rPr>
          <w:rFonts w:asciiTheme="minorHAnsi" w:hAnsiTheme="minorHAnsi"/>
          <w:sz w:val="24"/>
          <w:szCs w:val="24"/>
          <w:u w:val="single"/>
        </w:rPr>
      </w:pPr>
      <w:r w:rsidRPr="00312E9D">
        <w:rPr>
          <w:rFonts w:asciiTheme="minorHAnsi" w:hAnsiTheme="minorHAnsi"/>
          <w:sz w:val="24"/>
          <w:szCs w:val="24"/>
          <w:u w:val="single"/>
        </w:rPr>
        <w:t>Risk Analysis.</w:t>
      </w:r>
      <w:r w:rsidRPr="00312E9D">
        <w:rPr>
          <w:rFonts w:asciiTheme="minorHAnsi" w:hAnsiTheme="minorHAnsi"/>
          <w:sz w:val="24"/>
          <w:szCs w:val="24"/>
        </w:rPr>
        <w:t xml:space="preserve"> Exposure data may be used to perform simulation analysis and estimate such risk analyses as Value at Risk, Drawdown Simulation, and Stress Tests. In the following section we describe the steps necessary for performing such analyses for an equity long/short hedge fund.</w:t>
      </w:r>
    </w:p>
    <w:p w14:paraId="27DC80B4" w14:textId="77777777" w:rsidR="00312E9D" w:rsidRPr="00312E9D" w:rsidRDefault="00312E9D" w:rsidP="00312E9D">
      <w:pPr>
        <w:pStyle w:val="NoSpacing"/>
        <w:ind w:left="360"/>
        <w:rPr>
          <w:rFonts w:asciiTheme="minorHAnsi" w:hAnsiTheme="minorHAnsi"/>
          <w:sz w:val="24"/>
          <w:szCs w:val="24"/>
          <w:u w:val="single"/>
        </w:rPr>
      </w:pPr>
    </w:p>
    <w:p w14:paraId="5142357B" w14:textId="77777777" w:rsidR="00BF1E0C" w:rsidRDefault="00BF1E0C">
      <w:pPr>
        <w:spacing w:after="0" w:line="240" w:lineRule="auto"/>
        <w:rPr>
          <w:rFonts w:asciiTheme="majorHAnsi" w:hAnsiTheme="majorHAnsi"/>
          <w:b/>
          <w:i/>
          <w:sz w:val="28"/>
          <w:szCs w:val="28"/>
        </w:rPr>
      </w:pPr>
    </w:p>
    <w:p w14:paraId="740AA372" w14:textId="77777777" w:rsidR="00BF1E0C" w:rsidRDefault="00BF1E0C">
      <w:pPr>
        <w:spacing w:after="0" w:line="240" w:lineRule="auto"/>
        <w:rPr>
          <w:rFonts w:asciiTheme="majorHAnsi" w:hAnsiTheme="majorHAnsi"/>
          <w:b/>
          <w:i/>
          <w:sz w:val="28"/>
          <w:szCs w:val="28"/>
        </w:rPr>
      </w:pPr>
    </w:p>
    <w:p w14:paraId="572D3E9B" w14:textId="77777777" w:rsidR="00BF1E0C" w:rsidRDefault="00BF1E0C">
      <w:pPr>
        <w:spacing w:after="0" w:line="240" w:lineRule="auto"/>
        <w:rPr>
          <w:rFonts w:asciiTheme="majorHAnsi" w:hAnsiTheme="majorHAnsi"/>
          <w:b/>
          <w:i/>
          <w:sz w:val="28"/>
          <w:szCs w:val="28"/>
        </w:rPr>
      </w:pPr>
      <w:r>
        <w:rPr>
          <w:rFonts w:asciiTheme="majorHAnsi" w:hAnsiTheme="majorHAnsi"/>
          <w:b/>
          <w:i/>
          <w:sz w:val="28"/>
          <w:szCs w:val="28"/>
        </w:rPr>
        <w:br w:type="page"/>
      </w:r>
    </w:p>
    <w:p w14:paraId="7DC79340" w14:textId="77777777" w:rsidR="00BF1E0C" w:rsidRDefault="00BF1E0C">
      <w:pPr>
        <w:spacing w:after="0" w:line="240" w:lineRule="auto"/>
        <w:rPr>
          <w:rFonts w:asciiTheme="majorHAnsi" w:hAnsiTheme="majorHAnsi"/>
          <w:b/>
          <w:i/>
          <w:sz w:val="28"/>
          <w:szCs w:val="28"/>
        </w:rPr>
      </w:pPr>
      <w:r>
        <w:rPr>
          <w:rFonts w:asciiTheme="majorHAnsi" w:hAnsiTheme="majorHAnsi"/>
          <w:b/>
          <w:i/>
          <w:sz w:val="28"/>
          <w:szCs w:val="28"/>
        </w:rPr>
        <w:lastRenderedPageBreak/>
        <w:t>Building Blocks</w:t>
      </w:r>
    </w:p>
    <w:p w14:paraId="6C69015F" w14:textId="77777777" w:rsidR="008E0C4B" w:rsidRDefault="008E0C4B" w:rsidP="00BF1E0C"/>
    <w:p w14:paraId="136694EC" w14:textId="77777777" w:rsidR="000E0C30" w:rsidRDefault="00BF1E0C" w:rsidP="00BF1E0C">
      <w:r>
        <w:t xml:space="preserve">We propose that </w:t>
      </w:r>
      <w:r w:rsidR="008E0C4B">
        <w:t xml:space="preserve">to satisfy the above criteria risk information </w:t>
      </w:r>
      <w:proofErr w:type="gramStart"/>
      <w:r>
        <w:t>reported</w:t>
      </w:r>
      <w:r w:rsidR="008E0C4B">
        <w:t xml:space="preserve">  </w:t>
      </w:r>
      <w:r>
        <w:t>by</w:t>
      </w:r>
      <w:proofErr w:type="gramEnd"/>
      <w:r>
        <w:t xml:space="preserve"> hedge fund managers should be divided into building blocks based on </w:t>
      </w:r>
      <w:r w:rsidR="000E0C30">
        <w:t>asset classes, leverage and liquidity information. We recommend the following types of building blocks:</w:t>
      </w:r>
    </w:p>
    <w:p w14:paraId="616BDB81" w14:textId="77777777" w:rsidR="000E0C30" w:rsidRDefault="000E0C30" w:rsidP="00BF1E0C">
      <w:r>
        <w:t>Asset Class Building Blocks</w:t>
      </w:r>
    </w:p>
    <w:p w14:paraId="01D0BF6E" w14:textId="77777777" w:rsidR="000E0C30" w:rsidRDefault="000E0C30" w:rsidP="000E0C30">
      <w:pPr>
        <w:pStyle w:val="ListParagraph"/>
        <w:numPr>
          <w:ilvl w:val="0"/>
          <w:numId w:val="12"/>
        </w:numPr>
      </w:pPr>
      <w:r>
        <w:t>Equity</w:t>
      </w:r>
    </w:p>
    <w:p w14:paraId="404C9117" w14:textId="77777777" w:rsidR="000E0C30" w:rsidRDefault="000E0C30" w:rsidP="000E0C30">
      <w:pPr>
        <w:pStyle w:val="ListParagraph"/>
        <w:numPr>
          <w:ilvl w:val="0"/>
          <w:numId w:val="12"/>
        </w:numPr>
      </w:pPr>
      <w:r>
        <w:t>Credit</w:t>
      </w:r>
    </w:p>
    <w:p w14:paraId="5466E6B0" w14:textId="77777777" w:rsidR="000E0C30" w:rsidRDefault="000E0C30" w:rsidP="000E0C30">
      <w:pPr>
        <w:pStyle w:val="ListParagraph"/>
        <w:numPr>
          <w:ilvl w:val="0"/>
          <w:numId w:val="12"/>
        </w:numPr>
      </w:pPr>
      <w:r>
        <w:t>Interest Rates</w:t>
      </w:r>
    </w:p>
    <w:p w14:paraId="0AACDBC9" w14:textId="77777777" w:rsidR="000E0C30" w:rsidRDefault="000E0C30" w:rsidP="000E0C30">
      <w:pPr>
        <w:pStyle w:val="ListParagraph"/>
        <w:numPr>
          <w:ilvl w:val="0"/>
          <w:numId w:val="12"/>
        </w:numPr>
      </w:pPr>
      <w:r>
        <w:t>Commodities</w:t>
      </w:r>
    </w:p>
    <w:p w14:paraId="24786C70" w14:textId="77777777" w:rsidR="000E0C30" w:rsidRDefault="000E0C30" w:rsidP="000E0C30">
      <w:pPr>
        <w:pStyle w:val="ListParagraph"/>
        <w:numPr>
          <w:ilvl w:val="0"/>
          <w:numId w:val="12"/>
        </w:numPr>
      </w:pPr>
      <w:r>
        <w:t>Options</w:t>
      </w:r>
    </w:p>
    <w:p w14:paraId="3AE4C3ED" w14:textId="77777777" w:rsidR="000E0C30" w:rsidRDefault="000E0C30" w:rsidP="000E0C30">
      <w:r>
        <w:t>Other</w:t>
      </w:r>
    </w:p>
    <w:p w14:paraId="753D409F" w14:textId="77777777" w:rsidR="000E0C30" w:rsidRDefault="000E0C30" w:rsidP="000E0C30">
      <w:pPr>
        <w:pStyle w:val="ListParagraph"/>
        <w:numPr>
          <w:ilvl w:val="0"/>
          <w:numId w:val="13"/>
        </w:numPr>
      </w:pPr>
      <w:r>
        <w:t>Leverage</w:t>
      </w:r>
    </w:p>
    <w:p w14:paraId="49E518AF" w14:textId="77777777" w:rsidR="000E0C30" w:rsidRDefault="000E0C30" w:rsidP="000E0C30">
      <w:pPr>
        <w:pStyle w:val="ListParagraph"/>
        <w:numPr>
          <w:ilvl w:val="0"/>
          <w:numId w:val="13"/>
        </w:numPr>
      </w:pPr>
      <w:r>
        <w:t>Portfolio Liquidity</w:t>
      </w:r>
    </w:p>
    <w:p w14:paraId="74F0D467" w14:textId="77777777" w:rsidR="000E0C30" w:rsidRDefault="000E0C30" w:rsidP="000E0C30">
      <w:pPr>
        <w:pStyle w:val="ListParagraph"/>
        <w:numPr>
          <w:ilvl w:val="0"/>
          <w:numId w:val="13"/>
        </w:numPr>
      </w:pPr>
      <w:r>
        <w:t>Investor Liquidity</w:t>
      </w:r>
    </w:p>
    <w:p w14:paraId="561163A9" w14:textId="77777777" w:rsidR="000E0C30" w:rsidRDefault="000E0C30" w:rsidP="000E0C30">
      <w:pPr>
        <w:pStyle w:val="ListParagraph"/>
        <w:ind w:left="360"/>
      </w:pPr>
    </w:p>
    <w:p w14:paraId="74292821" w14:textId="77777777" w:rsidR="00BF1E0C" w:rsidRDefault="008E0C4B" w:rsidP="00BF1E0C">
      <w:r>
        <w:t>Different building blocks will be available fo</w:t>
      </w:r>
      <w:r w:rsidR="0036189C">
        <w:t xml:space="preserve">r each asset class. When put together these building blocks would provide investors with comprehensive view into their hedge fund portfolios and allow for thorough risk analysis of the data. We realize that no set of building blocks would fit all hedge fund managers but creation of standard library of building blocks would enable for </w:t>
      </w:r>
      <w:r w:rsidR="00F55BC6">
        <w:t xml:space="preserve">hedge fund managers and investors to exchange </w:t>
      </w:r>
      <w:r w:rsidR="004F1B62">
        <w:t>relevant risk information without jeopardizing trade secrets.</w:t>
      </w:r>
      <w:r w:rsidR="00F1662D">
        <w:t xml:space="preserve"> </w:t>
      </w:r>
    </w:p>
    <w:p w14:paraId="69F55CBE" w14:textId="77777777" w:rsidR="005C0BD7" w:rsidRDefault="005C0BD7" w:rsidP="00BF1E0C"/>
    <w:p w14:paraId="04F3CE74" w14:textId="77777777" w:rsidR="005C0BD7" w:rsidRDefault="005C0BD7">
      <w:pPr>
        <w:spacing w:after="0" w:line="240" w:lineRule="auto"/>
      </w:pPr>
      <w:r>
        <w:br w:type="page"/>
      </w:r>
    </w:p>
    <w:p w14:paraId="1843DB0F" w14:textId="77777777" w:rsidR="0036189C" w:rsidRPr="005C0BD7" w:rsidRDefault="005C0BD7" w:rsidP="00BF1E0C">
      <w:pPr>
        <w:rPr>
          <w:b/>
        </w:rPr>
      </w:pPr>
      <w:r>
        <w:lastRenderedPageBreak/>
        <w:t>EQUIT</w:t>
      </w:r>
      <w:r w:rsidRPr="005C0BD7">
        <w:rPr>
          <w:b/>
        </w:rPr>
        <w:t>Y</w:t>
      </w:r>
    </w:p>
    <w:tbl>
      <w:tblPr>
        <w:tblStyle w:val="TableGrid"/>
        <w:tblW w:w="0" w:type="auto"/>
        <w:tblLook w:val="04A0" w:firstRow="1" w:lastRow="0" w:firstColumn="1" w:lastColumn="0" w:noHBand="0" w:noVBand="1"/>
      </w:tblPr>
      <w:tblGrid>
        <w:gridCol w:w="1359"/>
        <w:gridCol w:w="2741"/>
        <w:gridCol w:w="2942"/>
        <w:gridCol w:w="3028"/>
      </w:tblGrid>
      <w:tr w:rsidR="005C0BD7" w:rsidRPr="005C0BD7" w14:paraId="78615BF4" w14:textId="77777777" w:rsidTr="005C0BD7">
        <w:tc>
          <w:tcPr>
            <w:tcW w:w="1368" w:type="dxa"/>
          </w:tcPr>
          <w:p w14:paraId="7E379AA6" w14:textId="77777777" w:rsidR="005C0BD7" w:rsidRPr="005C0BD7" w:rsidRDefault="005C0BD7" w:rsidP="00BF1E0C">
            <w:pPr>
              <w:rPr>
                <w:b/>
              </w:rPr>
            </w:pPr>
            <w:r w:rsidRPr="005C0BD7">
              <w:rPr>
                <w:b/>
              </w:rPr>
              <w:t>Building Block</w:t>
            </w:r>
          </w:p>
        </w:tc>
        <w:tc>
          <w:tcPr>
            <w:tcW w:w="2829" w:type="dxa"/>
          </w:tcPr>
          <w:p w14:paraId="3634C818" w14:textId="77777777" w:rsidR="005C0BD7" w:rsidRPr="005C0BD7" w:rsidRDefault="005C0BD7" w:rsidP="00BF1E0C">
            <w:pPr>
              <w:rPr>
                <w:b/>
              </w:rPr>
            </w:pPr>
            <w:r w:rsidRPr="005C0BD7">
              <w:rPr>
                <w:b/>
              </w:rPr>
              <w:t>Description</w:t>
            </w:r>
          </w:p>
        </w:tc>
        <w:tc>
          <w:tcPr>
            <w:tcW w:w="2965" w:type="dxa"/>
          </w:tcPr>
          <w:p w14:paraId="21ED08E0" w14:textId="77777777" w:rsidR="005C0BD7" w:rsidRPr="005C0BD7" w:rsidRDefault="005C0BD7" w:rsidP="00BF1E0C">
            <w:pPr>
              <w:rPr>
                <w:b/>
              </w:rPr>
            </w:pPr>
            <w:r>
              <w:rPr>
                <w:b/>
              </w:rPr>
              <w:t>Fields</w:t>
            </w:r>
          </w:p>
        </w:tc>
        <w:tc>
          <w:tcPr>
            <w:tcW w:w="3134" w:type="dxa"/>
          </w:tcPr>
          <w:p w14:paraId="1D7A5025" w14:textId="77777777" w:rsidR="005C0BD7" w:rsidRPr="005C0BD7" w:rsidRDefault="005C0BD7" w:rsidP="00BF1E0C">
            <w:pPr>
              <w:rPr>
                <w:b/>
              </w:rPr>
            </w:pPr>
            <w:r w:rsidRPr="005C0BD7">
              <w:rPr>
                <w:b/>
              </w:rPr>
              <w:t>Uses</w:t>
            </w:r>
            <w:r>
              <w:rPr>
                <w:b/>
              </w:rPr>
              <w:t xml:space="preserve"> for Investor</w:t>
            </w:r>
          </w:p>
        </w:tc>
      </w:tr>
      <w:tr w:rsidR="005C0BD7" w14:paraId="701BDB78" w14:textId="77777777" w:rsidTr="005C0BD7">
        <w:tc>
          <w:tcPr>
            <w:tcW w:w="1368" w:type="dxa"/>
          </w:tcPr>
          <w:p w14:paraId="4A11888A" w14:textId="77777777" w:rsidR="005C0BD7" w:rsidRDefault="001357A1" w:rsidP="001357A1">
            <w:r>
              <w:t>Long Exposure</w:t>
            </w:r>
          </w:p>
        </w:tc>
        <w:tc>
          <w:tcPr>
            <w:tcW w:w="2829" w:type="dxa"/>
          </w:tcPr>
          <w:p w14:paraId="1DAFFB5D" w14:textId="77777777" w:rsidR="005C0BD7" w:rsidRDefault="001357A1" w:rsidP="00BF1E0C">
            <w:r>
              <w:t>Information about overall allocation to long portfolio</w:t>
            </w:r>
          </w:p>
        </w:tc>
        <w:tc>
          <w:tcPr>
            <w:tcW w:w="2965" w:type="dxa"/>
          </w:tcPr>
          <w:p w14:paraId="034AE17A" w14:textId="77777777" w:rsidR="005C0BD7" w:rsidRDefault="001357A1" w:rsidP="00BF1E0C">
            <w:r>
              <w:t xml:space="preserve">Percent of Equity </w:t>
            </w:r>
          </w:p>
          <w:p w14:paraId="6AB8ABC2" w14:textId="77777777" w:rsidR="001357A1" w:rsidRDefault="001357A1" w:rsidP="00BF1E0C">
            <w:r>
              <w:t>Beta Adjusted % of Equity</w:t>
            </w:r>
          </w:p>
        </w:tc>
        <w:tc>
          <w:tcPr>
            <w:tcW w:w="3134" w:type="dxa"/>
          </w:tcPr>
          <w:p w14:paraId="49A21249" w14:textId="77777777" w:rsidR="005C0BD7" w:rsidRDefault="001357A1" w:rsidP="00BF1E0C">
            <w:r>
              <w:t>Leverage information</w:t>
            </w:r>
          </w:p>
          <w:p w14:paraId="69A45F12" w14:textId="77777777" w:rsidR="001357A1" w:rsidRDefault="001357A1" w:rsidP="00BF1E0C">
            <w:r>
              <w:t>Historical Trend Analysis</w:t>
            </w:r>
          </w:p>
          <w:p w14:paraId="61E02C99" w14:textId="77777777" w:rsidR="001357A1" w:rsidRDefault="001357A1" w:rsidP="00BF1E0C">
            <w:r>
              <w:t>Monitoring</w:t>
            </w:r>
          </w:p>
        </w:tc>
      </w:tr>
      <w:tr w:rsidR="001357A1" w14:paraId="377F93EB" w14:textId="77777777" w:rsidTr="005C0BD7">
        <w:tc>
          <w:tcPr>
            <w:tcW w:w="1368" w:type="dxa"/>
          </w:tcPr>
          <w:p w14:paraId="77BF8E64" w14:textId="77777777" w:rsidR="001357A1" w:rsidRDefault="001357A1" w:rsidP="001357A1">
            <w:r>
              <w:t>Short Exposure</w:t>
            </w:r>
          </w:p>
        </w:tc>
        <w:tc>
          <w:tcPr>
            <w:tcW w:w="2829" w:type="dxa"/>
          </w:tcPr>
          <w:p w14:paraId="0AC67FA7" w14:textId="77777777" w:rsidR="001357A1" w:rsidRDefault="001357A1" w:rsidP="001357A1">
            <w:r>
              <w:t>Information about overall allocation to short portfolio</w:t>
            </w:r>
          </w:p>
        </w:tc>
        <w:tc>
          <w:tcPr>
            <w:tcW w:w="2965" w:type="dxa"/>
          </w:tcPr>
          <w:p w14:paraId="7C1BDDBD" w14:textId="77777777" w:rsidR="001357A1" w:rsidRDefault="001357A1" w:rsidP="00B0728F">
            <w:r>
              <w:t xml:space="preserve">Percent of Equity </w:t>
            </w:r>
          </w:p>
          <w:p w14:paraId="5416A514" w14:textId="77777777" w:rsidR="001357A1" w:rsidRDefault="001357A1" w:rsidP="00B0728F">
            <w:r>
              <w:t>Beta Adjusted % of Equity</w:t>
            </w:r>
          </w:p>
        </w:tc>
        <w:tc>
          <w:tcPr>
            <w:tcW w:w="3134" w:type="dxa"/>
          </w:tcPr>
          <w:p w14:paraId="03C7CF34" w14:textId="77777777" w:rsidR="001357A1" w:rsidRDefault="001357A1" w:rsidP="00B0728F">
            <w:r>
              <w:t>Leverage information</w:t>
            </w:r>
          </w:p>
          <w:p w14:paraId="2364B6B0" w14:textId="77777777" w:rsidR="001357A1" w:rsidRDefault="001357A1" w:rsidP="00B0728F">
            <w:r>
              <w:t>Historical Trend Analysis</w:t>
            </w:r>
          </w:p>
          <w:p w14:paraId="69C14BA3" w14:textId="77777777" w:rsidR="001357A1" w:rsidRDefault="001357A1" w:rsidP="00B0728F">
            <w:r>
              <w:t>Monitoring</w:t>
            </w:r>
          </w:p>
        </w:tc>
      </w:tr>
      <w:tr w:rsidR="001357A1" w14:paraId="08E24C9C" w14:textId="77777777" w:rsidTr="005C0BD7">
        <w:tc>
          <w:tcPr>
            <w:tcW w:w="1368" w:type="dxa"/>
          </w:tcPr>
          <w:p w14:paraId="345A60D5" w14:textId="77777777" w:rsidR="001357A1" w:rsidRDefault="001357A1" w:rsidP="00B0728F">
            <w:r>
              <w:t>Top 5 Long</w:t>
            </w:r>
          </w:p>
        </w:tc>
        <w:tc>
          <w:tcPr>
            <w:tcW w:w="2829" w:type="dxa"/>
          </w:tcPr>
          <w:p w14:paraId="0A41A9A4" w14:textId="77777777" w:rsidR="001357A1" w:rsidRDefault="001357A1" w:rsidP="00B0728F">
            <w:r>
              <w:t>Information about concentration in top 5 long positions.</w:t>
            </w:r>
          </w:p>
        </w:tc>
        <w:tc>
          <w:tcPr>
            <w:tcW w:w="2965" w:type="dxa"/>
          </w:tcPr>
          <w:p w14:paraId="1415BF63" w14:textId="77777777" w:rsidR="001357A1" w:rsidRDefault="001357A1" w:rsidP="00B0728F">
            <w:r>
              <w:t>Security Identifier,</w:t>
            </w:r>
          </w:p>
          <w:p w14:paraId="215C0565" w14:textId="77777777" w:rsidR="001357A1" w:rsidRDefault="001357A1" w:rsidP="00B0728F">
            <w:r>
              <w:t>Shares</w:t>
            </w:r>
          </w:p>
          <w:p w14:paraId="6247B1A8" w14:textId="77777777" w:rsidR="001357A1" w:rsidRDefault="001357A1" w:rsidP="00B0728F">
            <w:r>
              <w:t>Percent of Equity</w:t>
            </w:r>
          </w:p>
          <w:p w14:paraId="73775C2F" w14:textId="77777777" w:rsidR="001357A1" w:rsidRDefault="001357A1" w:rsidP="00B0728F">
            <w:r>
              <w:t>Beta Adjusted % of Equity</w:t>
            </w:r>
          </w:p>
        </w:tc>
        <w:tc>
          <w:tcPr>
            <w:tcW w:w="3134" w:type="dxa"/>
          </w:tcPr>
          <w:p w14:paraId="45187554" w14:textId="77777777" w:rsidR="001357A1" w:rsidRDefault="001357A1" w:rsidP="00B0728F">
            <w:r>
              <w:t>Exposure to individual securities</w:t>
            </w:r>
          </w:p>
          <w:p w14:paraId="5659F3E7" w14:textId="77777777" w:rsidR="001357A1" w:rsidRDefault="001357A1" w:rsidP="00B0728F">
            <w:r>
              <w:t>Concentration Analysis</w:t>
            </w:r>
          </w:p>
          <w:p w14:paraId="53EEBD55" w14:textId="77777777" w:rsidR="001357A1" w:rsidRDefault="001357A1" w:rsidP="00B0728F">
            <w:r>
              <w:t>Overlap analysis</w:t>
            </w:r>
          </w:p>
        </w:tc>
      </w:tr>
      <w:tr w:rsidR="001357A1" w14:paraId="495B66A7" w14:textId="77777777" w:rsidTr="005C0BD7">
        <w:tc>
          <w:tcPr>
            <w:tcW w:w="1368" w:type="dxa"/>
          </w:tcPr>
          <w:p w14:paraId="6CA1B145" w14:textId="77777777" w:rsidR="001357A1" w:rsidRDefault="001357A1" w:rsidP="00B0728F">
            <w:r>
              <w:t>Top 5 Short</w:t>
            </w:r>
          </w:p>
        </w:tc>
        <w:tc>
          <w:tcPr>
            <w:tcW w:w="2829" w:type="dxa"/>
          </w:tcPr>
          <w:p w14:paraId="121A918A" w14:textId="77777777" w:rsidR="001357A1" w:rsidRDefault="001357A1" w:rsidP="00B0728F">
            <w:r>
              <w:t>Information about concentration in top 5 short positions.</w:t>
            </w:r>
          </w:p>
        </w:tc>
        <w:tc>
          <w:tcPr>
            <w:tcW w:w="2965" w:type="dxa"/>
          </w:tcPr>
          <w:p w14:paraId="204E1D26" w14:textId="77777777" w:rsidR="001357A1" w:rsidRDefault="001357A1" w:rsidP="00B0728F">
            <w:r>
              <w:t>Security Identifier,</w:t>
            </w:r>
          </w:p>
          <w:p w14:paraId="6FC0EF40" w14:textId="77777777" w:rsidR="001357A1" w:rsidRDefault="001357A1" w:rsidP="00B0728F">
            <w:r>
              <w:t>Shares</w:t>
            </w:r>
          </w:p>
          <w:p w14:paraId="57A77025" w14:textId="77777777" w:rsidR="001357A1" w:rsidRDefault="001357A1" w:rsidP="001357A1">
            <w:r>
              <w:t xml:space="preserve">Percent of Equity </w:t>
            </w:r>
          </w:p>
          <w:p w14:paraId="4D862C0F" w14:textId="77777777" w:rsidR="001357A1" w:rsidRDefault="001357A1" w:rsidP="001357A1">
            <w:r>
              <w:t>Beta Adjusted % of Equity</w:t>
            </w:r>
          </w:p>
        </w:tc>
        <w:tc>
          <w:tcPr>
            <w:tcW w:w="3134" w:type="dxa"/>
          </w:tcPr>
          <w:p w14:paraId="2F551584" w14:textId="77777777" w:rsidR="001357A1" w:rsidRDefault="001357A1" w:rsidP="00B0728F">
            <w:r>
              <w:t>Exposure to individual securities</w:t>
            </w:r>
          </w:p>
          <w:p w14:paraId="6E27292A" w14:textId="77777777" w:rsidR="001357A1" w:rsidRDefault="001357A1" w:rsidP="00B0728F">
            <w:r>
              <w:t>Concentration Analysis</w:t>
            </w:r>
          </w:p>
          <w:p w14:paraId="6F6323A5" w14:textId="77777777" w:rsidR="001357A1" w:rsidRDefault="001357A1" w:rsidP="00B0728F">
            <w:r>
              <w:t>Overlap analysis</w:t>
            </w:r>
          </w:p>
        </w:tc>
      </w:tr>
      <w:tr w:rsidR="001357A1" w14:paraId="3C729EFC" w14:textId="77777777" w:rsidTr="005C0BD7">
        <w:tc>
          <w:tcPr>
            <w:tcW w:w="1368" w:type="dxa"/>
          </w:tcPr>
          <w:p w14:paraId="527DFC4B" w14:textId="77777777" w:rsidR="001357A1" w:rsidRDefault="001357A1" w:rsidP="00B0728F">
            <w:r>
              <w:t>Industry Exposure Long</w:t>
            </w:r>
          </w:p>
        </w:tc>
        <w:tc>
          <w:tcPr>
            <w:tcW w:w="2829" w:type="dxa"/>
          </w:tcPr>
          <w:p w14:paraId="4644AB1A" w14:textId="77777777" w:rsidR="001357A1" w:rsidRDefault="001357A1" w:rsidP="00B0728F">
            <w:r>
              <w:t>Information about portfolio allocation by GIC Industry.</w:t>
            </w:r>
          </w:p>
        </w:tc>
        <w:tc>
          <w:tcPr>
            <w:tcW w:w="2965" w:type="dxa"/>
          </w:tcPr>
          <w:p w14:paraId="5364E6D3" w14:textId="77777777" w:rsidR="001357A1" w:rsidRDefault="001357A1" w:rsidP="00B0728F">
            <w:r>
              <w:t>GIC Industry Identifier</w:t>
            </w:r>
          </w:p>
          <w:p w14:paraId="60F81972" w14:textId="77777777" w:rsidR="001357A1" w:rsidRDefault="001357A1" w:rsidP="001357A1">
            <w:r>
              <w:t xml:space="preserve">% </w:t>
            </w:r>
            <w:proofErr w:type="gramStart"/>
            <w:r>
              <w:t>of</w:t>
            </w:r>
            <w:proofErr w:type="gramEnd"/>
            <w:r>
              <w:t xml:space="preserve"> equity allocated to long positions in the Industry </w:t>
            </w:r>
          </w:p>
          <w:p w14:paraId="28F520BA" w14:textId="77777777" w:rsidR="001357A1" w:rsidRDefault="001357A1" w:rsidP="001357A1">
            <w:r>
              <w:t>Beta Adjusted % of Equity</w:t>
            </w:r>
          </w:p>
        </w:tc>
        <w:tc>
          <w:tcPr>
            <w:tcW w:w="3134" w:type="dxa"/>
          </w:tcPr>
          <w:p w14:paraId="5EF55224" w14:textId="77777777" w:rsidR="001357A1" w:rsidRDefault="001357A1" w:rsidP="00B0728F">
            <w:r>
              <w:t>Exposure Aggregation</w:t>
            </w:r>
          </w:p>
          <w:p w14:paraId="045D0F5D" w14:textId="77777777" w:rsidR="001357A1" w:rsidRDefault="001357A1" w:rsidP="00B0728F">
            <w:r>
              <w:t>Historical Trend/Style analysis</w:t>
            </w:r>
          </w:p>
          <w:p w14:paraId="012325ED" w14:textId="77777777" w:rsidR="001357A1" w:rsidRDefault="001357A1" w:rsidP="00B0728F">
            <w:r>
              <w:t>Risk Analysis: Value at Risk, Stress Test, Monte Carlo</w:t>
            </w:r>
          </w:p>
        </w:tc>
      </w:tr>
      <w:tr w:rsidR="001357A1" w14:paraId="64A14BBD" w14:textId="77777777" w:rsidTr="005C0BD7">
        <w:tc>
          <w:tcPr>
            <w:tcW w:w="1368" w:type="dxa"/>
          </w:tcPr>
          <w:p w14:paraId="1449F1A2" w14:textId="77777777" w:rsidR="001357A1" w:rsidRDefault="001357A1" w:rsidP="00B0728F">
            <w:r>
              <w:t>Industry Exposure Short</w:t>
            </w:r>
          </w:p>
        </w:tc>
        <w:tc>
          <w:tcPr>
            <w:tcW w:w="2829" w:type="dxa"/>
          </w:tcPr>
          <w:p w14:paraId="73C788C0" w14:textId="77777777" w:rsidR="001357A1" w:rsidRDefault="001357A1" w:rsidP="00B0728F">
            <w:r>
              <w:t>Information about portfolio allocation by GIC Industry.</w:t>
            </w:r>
          </w:p>
        </w:tc>
        <w:tc>
          <w:tcPr>
            <w:tcW w:w="2965" w:type="dxa"/>
          </w:tcPr>
          <w:p w14:paraId="48D610BB" w14:textId="77777777" w:rsidR="001357A1" w:rsidRDefault="001357A1" w:rsidP="00B0728F">
            <w:r>
              <w:t>GIC Industry Identifier</w:t>
            </w:r>
          </w:p>
          <w:p w14:paraId="574CADD3" w14:textId="77777777" w:rsidR="001357A1" w:rsidRDefault="001357A1" w:rsidP="001357A1">
            <w:r>
              <w:t xml:space="preserve">% </w:t>
            </w:r>
            <w:proofErr w:type="gramStart"/>
            <w:r>
              <w:t>of</w:t>
            </w:r>
            <w:proofErr w:type="gramEnd"/>
            <w:r>
              <w:t xml:space="preserve"> equity allocated to short positions in the Industry </w:t>
            </w:r>
          </w:p>
          <w:p w14:paraId="33B553F7" w14:textId="77777777" w:rsidR="001357A1" w:rsidRDefault="001357A1" w:rsidP="001357A1">
            <w:r>
              <w:t>Beta Adjusted % of Equity</w:t>
            </w:r>
          </w:p>
        </w:tc>
        <w:tc>
          <w:tcPr>
            <w:tcW w:w="3134" w:type="dxa"/>
          </w:tcPr>
          <w:p w14:paraId="4E62FC2D" w14:textId="77777777" w:rsidR="001357A1" w:rsidRDefault="001357A1" w:rsidP="00B0728F">
            <w:r>
              <w:t>Exposure Aggregation</w:t>
            </w:r>
          </w:p>
          <w:p w14:paraId="46713532" w14:textId="77777777" w:rsidR="001357A1" w:rsidRDefault="001357A1" w:rsidP="00B0728F">
            <w:r>
              <w:t>Historical Trend/Style analysis</w:t>
            </w:r>
          </w:p>
          <w:p w14:paraId="001299C2" w14:textId="77777777" w:rsidR="001357A1" w:rsidRDefault="001357A1" w:rsidP="00B0728F">
            <w:r>
              <w:t>Risk Analysis: Value at Risk, Stress Test, Monte Carlo</w:t>
            </w:r>
          </w:p>
        </w:tc>
      </w:tr>
      <w:tr w:rsidR="001357A1" w14:paraId="3F16F7BD" w14:textId="77777777" w:rsidTr="005C0BD7">
        <w:tc>
          <w:tcPr>
            <w:tcW w:w="1368" w:type="dxa"/>
          </w:tcPr>
          <w:p w14:paraId="1AE38E92" w14:textId="77777777" w:rsidR="001357A1" w:rsidRDefault="001357A1" w:rsidP="00BF1E0C">
            <w:r>
              <w:t xml:space="preserve">Industry / </w:t>
            </w:r>
            <w:r>
              <w:lastRenderedPageBreak/>
              <w:t xml:space="preserve">GEO Exposure </w:t>
            </w:r>
          </w:p>
          <w:p w14:paraId="26E13049" w14:textId="77777777" w:rsidR="001357A1" w:rsidRDefault="001357A1" w:rsidP="00BF1E0C">
            <w:r>
              <w:t>Long</w:t>
            </w:r>
          </w:p>
        </w:tc>
        <w:tc>
          <w:tcPr>
            <w:tcW w:w="2829" w:type="dxa"/>
          </w:tcPr>
          <w:p w14:paraId="280631AB" w14:textId="77777777" w:rsidR="001357A1" w:rsidRDefault="001357A1" w:rsidP="00BF1E0C">
            <w:r>
              <w:lastRenderedPageBreak/>
              <w:t xml:space="preserve">Information about portfolio </w:t>
            </w:r>
            <w:r>
              <w:lastRenderedPageBreak/>
              <w:t>allocation by GIC Industry within different geographical regions</w:t>
            </w:r>
          </w:p>
        </w:tc>
        <w:tc>
          <w:tcPr>
            <w:tcW w:w="2965" w:type="dxa"/>
          </w:tcPr>
          <w:p w14:paraId="10AC3C19" w14:textId="77777777" w:rsidR="001357A1" w:rsidRDefault="001357A1" w:rsidP="00BF1E0C">
            <w:r>
              <w:lastRenderedPageBreak/>
              <w:t>GIC Industry Identifier</w:t>
            </w:r>
          </w:p>
          <w:p w14:paraId="3A8A4FCB" w14:textId="77777777" w:rsidR="001357A1" w:rsidRDefault="001357A1" w:rsidP="00BF1E0C">
            <w:r>
              <w:lastRenderedPageBreak/>
              <w:t>Region Identify</w:t>
            </w:r>
          </w:p>
          <w:p w14:paraId="6723E7E0" w14:textId="77777777" w:rsidR="001357A1" w:rsidRDefault="001357A1" w:rsidP="00BF1E0C">
            <w:r>
              <w:t xml:space="preserve">% </w:t>
            </w:r>
            <w:proofErr w:type="gramStart"/>
            <w:r>
              <w:t>of</w:t>
            </w:r>
            <w:proofErr w:type="gramEnd"/>
            <w:r>
              <w:t xml:space="preserve"> equity allocated to long position within each region/Industry combination</w:t>
            </w:r>
          </w:p>
          <w:p w14:paraId="67836100" w14:textId="77777777" w:rsidR="001357A1" w:rsidRDefault="001357A1" w:rsidP="001357A1">
            <w:r>
              <w:t>Beta Adjusted % of Equity</w:t>
            </w:r>
          </w:p>
        </w:tc>
        <w:tc>
          <w:tcPr>
            <w:tcW w:w="3134" w:type="dxa"/>
          </w:tcPr>
          <w:p w14:paraId="362D3B08" w14:textId="77777777" w:rsidR="001357A1" w:rsidRDefault="001357A1" w:rsidP="005C0BD7">
            <w:r>
              <w:lastRenderedPageBreak/>
              <w:t>Exposure Aggregation</w:t>
            </w:r>
          </w:p>
          <w:p w14:paraId="003E6951" w14:textId="77777777" w:rsidR="001357A1" w:rsidRDefault="001357A1" w:rsidP="005C0BD7">
            <w:r>
              <w:lastRenderedPageBreak/>
              <w:t>Historical Trend/Style analysis</w:t>
            </w:r>
          </w:p>
          <w:p w14:paraId="755AFFDF" w14:textId="77777777" w:rsidR="001357A1" w:rsidRDefault="001357A1" w:rsidP="005C0BD7">
            <w:r>
              <w:t>Risk Analysis: Value at Risk, Stress Test, Monte Carlo</w:t>
            </w:r>
          </w:p>
        </w:tc>
      </w:tr>
      <w:tr w:rsidR="001357A1" w14:paraId="768EF4AE" w14:textId="77777777" w:rsidTr="005C0BD7">
        <w:tc>
          <w:tcPr>
            <w:tcW w:w="1368" w:type="dxa"/>
          </w:tcPr>
          <w:p w14:paraId="6F2ADAE9" w14:textId="77777777" w:rsidR="001357A1" w:rsidRDefault="001357A1" w:rsidP="00B0728F">
            <w:r>
              <w:lastRenderedPageBreak/>
              <w:t xml:space="preserve">Industry / GEO Exposure </w:t>
            </w:r>
          </w:p>
          <w:p w14:paraId="5A1D00E6" w14:textId="77777777" w:rsidR="001357A1" w:rsidRDefault="001357A1" w:rsidP="00B0728F">
            <w:r>
              <w:t>Short</w:t>
            </w:r>
          </w:p>
        </w:tc>
        <w:tc>
          <w:tcPr>
            <w:tcW w:w="2829" w:type="dxa"/>
          </w:tcPr>
          <w:p w14:paraId="25B852E5" w14:textId="77777777" w:rsidR="001357A1" w:rsidRDefault="001357A1" w:rsidP="00B0728F">
            <w:r>
              <w:t>Information about portfolio allocation by GIC Industry within different geographical regions</w:t>
            </w:r>
          </w:p>
        </w:tc>
        <w:tc>
          <w:tcPr>
            <w:tcW w:w="2965" w:type="dxa"/>
          </w:tcPr>
          <w:p w14:paraId="2B50DEC7" w14:textId="77777777" w:rsidR="001357A1" w:rsidRDefault="001357A1" w:rsidP="00B0728F">
            <w:r>
              <w:t>GIC Industry Identifier</w:t>
            </w:r>
          </w:p>
          <w:p w14:paraId="587F4BFD" w14:textId="77777777" w:rsidR="001357A1" w:rsidRDefault="001357A1" w:rsidP="00B0728F">
            <w:r>
              <w:t>Region Identify</w:t>
            </w:r>
          </w:p>
          <w:p w14:paraId="2692FEA1" w14:textId="77777777" w:rsidR="001357A1" w:rsidRDefault="001357A1" w:rsidP="005C0BD7">
            <w:r>
              <w:t xml:space="preserve">% </w:t>
            </w:r>
            <w:proofErr w:type="gramStart"/>
            <w:r>
              <w:t>of</w:t>
            </w:r>
            <w:proofErr w:type="gramEnd"/>
            <w:r>
              <w:t xml:space="preserve"> equity allocated to short position within each region/Industry combination</w:t>
            </w:r>
          </w:p>
          <w:p w14:paraId="703F3888" w14:textId="77777777" w:rsidR="001357A1" w:rsidRDefault="001357A1" w:rsidP="001357A1">
            <w:r>
              <w:t>Beta Adjusted % of Equity</w:t>
            </w:r>
          </w:p>
        </w:tc>
        <w:tc>
          <w:tcPr>
            <w:tcW w:w="3134" w:type="dxa"/>
          </w:tcPr>
          <w:p w14:paraId="4468B5A3" w14:textId="77777777" w:rsidR="001357A1" w:rsidRDefault="001357A1" w:rsidP="00B0728F">
            <w:r>
              <w:t>Exposure Aggregation</w:t>
            </w:r>
          </w:p>
          <w:p w14:paraId="000D0E5A" w14:textId="77777777" w:rsidR="001357A1" w:rsidRDefault="001357A1" w:rsidP="00B0728F">
            <w:r>
              <w:t>Historical Trend/Style analysis</w:t>
            </w:r>
          </w:p>
          <w:p w14:paraId="0FEC47E6" w14:textId="77777777" w:rsidR="001357A1" w:rsidRDefault="001357A1" w:rsidP="00B0728F">
            <w:r>
              <w:t>Risk Analysis: Value at Risk, Stress Test, Monte Carlo</w:t>
            </w:r>
          </w:p>
        </w:tc>
      </w:tr>
      <w:tr w:rsidR="001357A1" w14:paraId="3F534760" w14:textId="77777777" w:rsidTr="005C0BD7">
        <w:tc>
          <w:tcPr>
            <w:tcW w:w="1368" w:type="dxa"/>
          </w:tcPr>
          <w:p w14:paraId="654DB28F" w14:textId="77777777" w:rsidR="001357A1" w:rsidRDefault="001357A1" w:rsidP="00B0728F">
            <w:r>
              <w:t>Equity Index Positions - Long</w:t>
            </w:r>
          </w:p>
        </w:tc>
        <w:tc>
          <w:tcPr>
            <w:tcW w:w="2829" w:type="dxa"/>
          </w:tcPr>
          <w:p w14:paraId="70C80F9B" w14:textId="77777777" w:rsidR="001357A1" w:rsidRDefault="001357A1" w:rsidP="00B0728F">
            <w:r>
              <w:t>Information about long positions in equity indexes</w:t>
            </w:r>
          </w:p>
        </w:tc>
        <w:tc>
          <w:tcPr>
            <w:tcW w:w="2965" w:type="dxa"/>
          </w:tcPr>
          <w:p w14:paraId="460BB095" w14:textId="77777777" w:rsidR="001357A1" w:rsidRDefault="001357A1" w:rsidP="00B0728F">
            <w:r>
              <w:t>Index Identifier</w:t>
            </w:r>
          </w:p>
          <w:p w14:paraId="498226F6" w14:textId="77777777" w:rsidR="001357A1" w:rsidRDefault="001357A1" w:rsidP="00B0728F">
            <w:r>
              <w:t xml:space="preserve">% </w:t>
            </w:r>
            <w:proofErr w:type="gramStart"/>
            <w:r>
              <w:t>of</w:t>
            </w:r>
            <w:proofErr w:type="gramEnd"/>
            <w:r>
              <w:t xml:space="preserve"> equity allocated to long positions in the index</w:t>
            </w:r>
          </w:p>
          <w:p w14:paraId="211D7540" w14:textId="77777777" w:rsidR="001357A1" w:rsidRDefault="001357A1" w:rsidP="001357A1">
            <w:r>
              <w:t>Beta Adjusted % of Equity</w:t>
            </w:r>
          </w:p>
        </w:tc>
        <w:tc>
          <w:tcPr>
            <w:tcW w:w="3134" w:type="dxa"/>
          </w:tcPr>
          <w:p w14:paraId="0227CF7A" w14:textId="77777777" w:rsidR="001357A1" w:rsidRDefault="001357A1" w:rsidP="006A5233">
            <w:r>
              <w:t>Exposure Aggregation</w:t>
            </w:r>
          </w:p>
          <w:p w14:paraId="4C4F29C7" w14:textId="77777777" w:rsidR="001357A1" w:rsidRDefault="001357A1" w:rsidP="006A5233">
            <w:r>
              <w:t>Historical Trend/Style analysis</w:t>
            </w:r>
          </w:p>
          <w:p w14:paraId="14028274" w14:textId="77777777" w:rsidR="001357A1" w:rsidRDefault="001357A1" w:rsidP="00B0728F">
            <w:r>
              <w:t>Risk Analysis: Value at Risk, Stress Test, Monte Carlo</w:t>
            </w:r>
          </w:p>
        </w:tc>
      </w:tr>
      <w:tr w:rsidR="001357A1" w14:paraId="7401C88D" w14:textId="77777777" w:rsidTr="005C0BD7">
        <w:tc>
          <w:tcPr>
            <w:tcW w:w="1368" w:type="dxa"/>
          </w:tcPr>
          <w:p w14:paraId="78E6004B" w14:textId="77777777" w:rsidR="001357A1" w:rsidRDefault="001357A1" w:rsidP="006A5233">
            <w:r>
              <w:t>Equity Index Positions - Short</w:t>
            </w:r>
          </w:p>
        </w:tc>
        <w:tc>
          <w:tcPr>
            <w:tcW w:w="2829" w:type="dxa"/>
          </w:tcPr>
          <w:p w14:paraId="2AA635F5" w14:textId="77777777" w:rsidR="001357A1" w:rsidRDefault="001357A1" w:rsidP="006A5233">
            <w:r>
              <w:t>Information about short positions in equity indexes</w:t>
            </w:r>
          </w:p>
        </w:tc>
        <w:tc>
          <w:tcPr>
            <w:tcW w:w="2965" w:type="dxa"/>
          </w:tcPr>
          <w:p w14:paraId="4570C375" w14:textId="77777777" w:rsidR="001357A1" w:rsidRDefault="001357A1" w:rsidP="00B0728F">
            <w:r>
              <w:t>Index Identifier</w:t>
            </w:r>
          </w:p>
          <w:p w14:paraId="120735F9" w14:textId="77777777" w:rsidR="001357A1" w:rsidRDefault="001357A1" w:rsidP="001357A1">
            <w:r>
              <w:t xml:space="preserve">% </w:t>
            </w:r>
            <w:proofErr w:type="gramStart"/>
            <w:r>
              <w:t>of</w:t>
            </w:r>
            <w:proofErr w:type="gramEnd"/>
            <w:r>
              <w:t xml:space="preserve"> equity allocated to short positions in the index </w:t>
            </w:r>
          </w:p>
          <w:p w14:paraId="39AE5C76" w14:textId="77777777" w:rsidR="001357A1" w:rsidRDefault="001357A1" w:rsidP="001357A1">
            <w:r>
              <w:t>Beta Adjusted % of Equity</w:t>
            </w:r>
          </w:p>
        </w:tc>
        <w:tc>
          <w:tcPr>
            <w:tcW w:w="3134" w:type="dxa"/>
          </w:tcPr>
          <w:p w14:paraId="711DEDE3" w14:textId="77777777" w:rsidR="001357A1" w:rsidRDefault="001357A1" w:rsidP="00B0728F">
            <w:r>
              <w:t>Exposure Aggregation</w:t>
            </w:r>
          </w:p>
          <w:p w14:paraId="243C0132" w14:textId="77777777" w:rsidR="001357A1" w:rsidRDefault="001357A1" w:rsidP="00B0728F">
            <w:r>
              <w:t>Historical Trend/Style analysis</w:t>
            </w:r>
          </w:p>
          <w:p w14:paraId="2D06AC03" w14:textId="77777777" w:rsidR="001357A1" w:rsidRDefault="001357A1" w:rsidP="00B0728F">
            <w:r>
              <w:t>Risk Analysis: Value at Risk, Stress Test, Monte Carlo</w:t>
            </w:r>
          </w:p>
        </w:tc>
      </w:tr>
      <w:tr w:rsidR="00BB41B3" w14:paraId="512EFD38" w14:textId="77777777" w:rsidTr="005C0BD7">
        <w:tc>
          <w:tcPr>
            <w:tcW w:w="1368" w:type="dxa"/>
          </w:tcPr>
          <w:p w14:paraId="0377C4C9" w14:textId="77777777" w:rsidR="00BB41B3" w:rsidRDefault="00BB41B3" w:rsidP="006A5233">
            <w:r>
              <w:t>Short Book Purpose</w:t>
            </w:r>
          </w:p>
        </w:tc>
        <w:tc>
          <w:tcPr>
            <w:tcW w:w="2829" w:type="dxa"/>
          </w:tcPr>
          <w:p w14:paraId="24C4F45D" w14:textId="77777777" w:rsidR="00BB41B3" w:rsidRDefault="00BB41B3" w:rsidP="006A5233">
            <w:r>
              <w:t>Identifies whether the short positions are used as hedges or outright directional bets.</w:t>
            </w:r>
          </w:p>
        </w:tc>
        <w:tc>
          <w:tcPr>
            <w:tcW w:w="2965" w:type="dxa"/>
          </w:tcPr>
          <w:p w14:paraId="32DF671B" w14:textId="77777777" w:rsidR="00BB41B3" w:rsidRDefault="00BB41B3" w:rsidP="00B0728F">
            <w:r>
              <w:t xml:space="preserve">Short Position Purpose. </w:t>
            </w:r>
          </w:p>
          <w:p w14:paraId="3F83500C" w14:textId="77777777" w:rsidR="00BB41B3" w:rsidRDefault="00BB41B3" w:rsidP="00B0728F">
            <w:r>
              <w:t>Possible values: (“HEDGE”</w:t>
            </w:r>
            <w:proofErr w:type="gramStart"/>
            <w:r>
              <w:t>,”DIRECTIONAL</w:t>
            </w:r>
            <w:proofErr w:type="gramEnd"/>
            <w:r>
              <w:t>”)</w:t>
            </w:r>
          </w:p>
          <w:p w14:paraId="2BA2C303" w14:textId="77777777" w:rsidR="00BB41B3" w:rsidRDefault="00BB41B3" w:rsidP="00B0728F"/>
        </w:tc>
        <w:tc>
          <w:tcPr>
            <w:tcW w:w="3134" w:type="dxa"/>
          </w:tcPr>
          <w:p w14:paraId="1E201E16" w14:textId="77777777" w:rsidR="00BB41B3" w:rsidRDefault="00BB41B3" w:rsidP="00B0728F">
            <w:r>
              <w:t>Useful in making assumption about correlation between long and short books when building stress test or simulation models.</w:t>
            </w:r>
          </w:p>
        </w:tc>
      </w:tr>
      <w:tr w:rsidR="00C353FE" w14:paraId="0C7B5E72" w14:textId="77777777" w:rsidTr="005C0BD7">
        <w:tc>
          <w:tcPr>
            <w:tcW w:w="1368" w:type="dxa"/>
          </w:tcPr>
          <w:p w14:paraId="12B53546" w14:textId="77777777" w:rsidR="00C353FE" w:rsidRDefault="00C353FE" w:rsidP="006A5233">
            <w:r>
              <w:t>Correlation Long Short</w:t>
            </w:r>
          </w:p>
        </w:tc>
        <w:tc>
          <w:tcPr>
            <w:tcW w:w="2829" w:type="dxa"/>
          </w:tcPr>
          <w:p w14:paraId="4CC96F6F" w14:textId="77777777" w:rsidR="00C353FE" w:rsidRDefault="00C353FE" w:rsidP="006A5233">
            <w:r>
              <w:t>Identifies approximate average correlation between long and short portfolios.</w:t>
            </w:r>
          </w:p>
        </w:tc>
        <w:tc>
          <w:tcPr>
            <w:tcW w:w="2965" w:type="dxa"/>
          </w:tcPr>
          <w:p w14:paraId="66C4C738" w14:textId="77777777" w:rsidR="00C353FE" w:rsidRDefault="00C353FE" w:rsidP="00B0728F">
            <w:r>
              <w:t>Correlation Long/Short</w:t>
            </w:r>
          </w:p>
        </w:tc>
        <w:tc>
          <w:tcPr>
            <w:tcW w:w="3134" w:type="dxa"/>
          </w:tcPr>
          <w:p w14:paraId="261B9DA4" w14:textId="77777777" w:rsidR="00C353FE" w:rsidRDefault="00C353FE" w:rsidP="00B0728F">
            <w:r>
              <w:t>Useful in making assumption about correlation between long and short books when building stress test or simulation models.</w:t>
            </w:r>
          </w:p>
        </w:tc>
      </w:tr>
    </w:tbl>
    <w:p w14:paraId="73E2E1ED" w14:textId="77777777" w:rsidR="005C0BD7" w:rsidRDefault="005C0BD7" w:rsidP="00BF1E0C"/>
    <w:p w14:paraId="620228DF" w14:textId="77777777" w:rsidR="005C0BD7" w:rsidRDefault="005C0BD7" w:rsidP="00BF1E0C"/>
    <w:p w14:paraId="07E6E2E2" w14:textId="77777777" w:rsidR="005C0BD7" w:rsidRDefault="005C0BD7" w:rsidP="00BF1E0C"/>
    <w:p w14:paraId="3F9AB2D8" w14:textId="77777777" w:rsidR="006F5BC4" w:rsidRDefault="006F5BC4">
      <w:pPr>
        <w:spacing w:after="0" w:line="240" w:lineRule="auto"/>
      </w:pPr>
      <w:r>
        <w:br w:type="page"/>
      </w:r>
    </w:p>
    <w:p w14:paraId="2CCBF1E5" w14:textId="77777777" w:rsidR="002734F2" w:rsidRPr="005C0BD7" w:rsidRDefault="002734F2" w:rsidP="002734F2">
      <w:pPr>
        <w:rPr>
          <w:b/>
        </w:rPr>
      </w:pPr>
      <w:r>
        <w:lastRenderedPageBreak/>
        <w:t>CREDIT</w:t>
      </w:r>
    </w:p>
    <w:tbl>
      <w:tblPr>
        <w:tblStyle w:val="TableGrid"/>
        <w:tblW w:w="0" w:type="auto"/>
        <w:tblLook w:val="04A0" w:firstRow="1" w:lastRow="0" w:firstColumn="1" w:lastColumn="0" w:noHBand="0" w:noVBand="1"/>
      </w:tblPr>
      <w:tblGrid>
        <w:gridCol w:w="1358"/>
        <w:gridCol w:w="2767"/>
        <w:gridCol w:w="2882"/>
        <w:gridCol w:w="3063"/>
      </w:tblGrid>
      <w:tr w:rsidR="002734F2" w:rsidRPr="005C0BD7" w14:paraId="4416D8AE" w14:textId="77777777" w:rsidTr="00B0728F">
        <w:tc>
          <w:tcPr>
            <w:tcW w:w="1368" w:type="dxa"/>
          </w:tcPr>
          <w:p w14:paraId="270BA779" w14:textId="77777777" w:rsidR="002734F2" w:rsidRPr="005C0BD7" w:rsidRDefault="002734F2" w:rsidP="00B0728F">
            <w:pPr>
              <w:rPr>
                <w:b/>
              </w:rPr>
            </w:pPr>
            <w:r w:rsidRPr="005C0BD7">
              <w:rPr>
                <w:b/>
              </w:rPr>
              <w:t>Building Block</w:t>
            </w:r>
          </w:p>
        </w:tc>
        <w:tc>
          <w:tcPr>
            <w:tcW w:w="2829" w:type="dxa"/>
          </w:tcPr>
          <w:p w14:paraId="0524992A" w14:textId="77777777" w:rsidR="002734F2" w:rsidRPr="005C0BD7" w:rsidRDefault="002734F2" w:rsidP="00B0728F">
            <w:pPr>
              <w:rPr>
                <w:b/>
              </w:rPr>
            </w:pPr>
            <w:r w:rsidRPr="005C0BD7">
              <w:rPr>
                <w:b/>
              </w:rPr>
              <w:t>Description</w:t>
            </w:r>
          </w:p>
        </w:tc>
        <w:tc>
          <w:tcPr>
            <w:tcW w:w="2965" w:type="dxa"/>
          </w:tcPr>
          <w:p w14:paraId="68148951" w14:textId="77777777" w:rsidR="002734F2" w:rsidRPr="005C0BD7" w:rsidRDefault="002734F2" w:rsidP="00B0728F">
            <w:pPr>
              <w:rPr>
                <w:b/>
              </w:rPr>
            </w:pPr>
            <w:r>
              <w:rPr>
                <w:b/>
              </w:rPr>
              <w:t>Fields</w:t>
            </w:r>
          </w:p>
        </w:tc>
        <w:tc>
          <w:tcPr>
            <w:tcW w:w="3134" w:type="dxa"/>
          </w:tcPr>
          <w:p w14:paraId="76E4D6F1" w14:textId="77777777" w:rsidR="002734F2" w:rsidRPr="005C0BD7" w:rsidRDefault="002734F2" w:rsidP="00B0728F">
            <w:pPr>
              <w:rPr>
                <w:b/>
              </w:rPr>
            </w:pPr>
            <w:r w:rsidRPr="005C0BD7">
              <w:rPr>
                <w:b/>
              </w:rPr>
              <w:t>Uses</w:t>
            </w:r>
            <w:r>
              <w:rPr>
                <w:b/>
              </w:rPr>
              <w:t xml:space="preserve"> for Investor</w:t>
            </w:r>
          </w:p>
        </w:tc>
      </w:tr>
      <w:tr w:rsidR="002734F2" w14:paraId="3102333E" w14:textId="77777777" w:rsidTr="00B0728F">
        <w:tc>
          <w:tcPr>
            <w:tcW w:w="1368" w:type="dxa"/>
          </w:tcPr>
          <w:p w14:paraId="3B83723D" w14:textId="77777777" w:rsidR="002734F2" w:rsidRDefault="006B2AA3" w:rsidP="00B0728F">
            <w:r>
              <w:t xml:space="preserve">Asset Type Exposure – Cash, </w:t>
            </w:r>
            <w:proofErr w:type="gramStart"/>
            <w:r>
              <w:t>Long</w:t>
            </w:r>
            <w:proofErr w:type="gramEnd"/>
          </w:p>
        </w:tc>
        <w:tc>
          <w:tcPr>
            <w:tcW w:w="2829" w:type="dxa"/>
          </w:tcPr>
          <w:p w14:paraId="3CC25EA2" w14:textId="77777777" w:rsidR="002734F2" w:rsidRDefault="006B2AA3" w:rsidP="006B2AA3">
            <w:r>
              <w:t>Cash exposure to various types of credit instruments (Sovereign, Corporate, Asset Backed, Structured)</w:t>
            </w:r>
          </w:p>
        </w:tc>
        <w:tc>
          <w:tcPr>
            <w:tcW w:w="2965" w:type="dxa"/>
          </w:tcPr>
          <w:p w14:paraId="07B549D7" w14:textId="77777777" w:rsidR="006B2AA3" w:rsidRDefault="006B2AA3" w:rsidP="00B0728F">
            <w:r>
              <w:t>Asset Type Identifier</w:t>
            </w:r>
          </w:p>
          <w:p w14:paraId="50DE808A" w14:textId="77777777" w:rsidR="006B2AA3" w:rsidRDefault="006B2AA3" w:rsidP="00B0728F">
            <w:r>
              <w:t xml:space="preserve">% </w:t>
            </w:r>
            <w:proofErr w:type="gramStart"/>
            <w:r>
              <w:t>of</w:t>
            </w:r>
            <w:proofErr w:type="gramEnd"/>
            <w:r>
              <w:t xml:space="preserve"> Equity Allocated to Long Portfolio</w:t>
            </w:r>
          </w:p>
          <w:p w14:paraId="02F61A42" w14:textId="77777777" w:rsidR="006B2AA3" w:rsidRDefault="006B2AA3" w:rsidP="00B0728F">
            <w:r>
              <w:t>CDV01</w:t>
            </w:r>
            <w:r>
              <w:rPr>
                <w:rStyle w:val="FootnoteReference"/>
              </w:rPr>
              <w:footnoteReference w:id="1"/>
            </w:r>
          </w:p>
        </w:tc>
        <w:tc>
          <w:tcPr>
            <w:tcW w:w="3134" w:type="dxa"/>
          </w:tcPr>
          <w:p w14:paraId="365A0D93" w14:textId="77777777" w:rsidR="006B2AA3" w:rsidRDefault="006B2AA3" w:rsidP="00B0728F">
            <w:r>
              <w:t>Concentration</w:t>
            </w:r>
          </w:p>
          <w:p w14:paraId="37C791B4" w14:textId="77777777" w:rsidR="002734F2" w:rsidRDefault="006B2AA3" w:rsidP="00B0728F">
            <w:r>
              <w:t>Historical Trend/Style Analysis</w:t>
            </w:r>
          </w:p>
          <w:p w14:paraId="7E2D73F0" w14:textId="77777777" w:rsidR="006B2AA3" w:rsidRDefault="006B2AA3" w:rsidP="00B0728F">
            <w:r>
              <w:t>Overlap Analysis</w:t>
            </w:r>
          </w:p>
          <w:p w14:paraId="30C5BE51" w14:textId="77777777" w:rsidR="006B2AA3" w:rsidRDefault="006B2AA3" w:rsidP="00B0728F">
            <w:r>
              <w:t xml:space="preserve">Portfolio </w:t>
            </w:r>
            <w:proofErr w:type="spellStart"/>
            <w:r>
              <w:t>Aggregaion</w:t>
            </w:r>
            <w:proofErr w:type="spellEnd"/>
          </w:p>
          <w:p w14:paraId="2D22F448" w14:textId="77777777" w:rsidR="006B2AA3" w:rsidRDefault="006B2AA3" w:rsidP="00B0728F">
            <w:r>
              <w:t>Risk Analysis: Value at Risk, Stress Test, Monte Carlo</w:t>
            </w:r>
          </w:p>
        </w:tc>
      </w:tr>
      <w:tr w:rsidR="006B2AA3" w14:paraId="4936FB53" w14:textId="77777777" w:rsidTr="00B0728F">
        <w:tc>
          <w:tcPr>
            <w:tcW w:w="1368" w:type="dxa"/>
          </w:tcPr>
          <w:p w14:paraId="3C749722" w14:textId="77777777" w:rsidR="006B2AA3" w:rsidRDefault="006B2AA3" w:rsidP="006B2AA3">
            <w:r>
              <w:t>Asset Type Exposure – Cash, Short</w:t>
            </w:r>
          </w:p>
        </w:tc>
        <w:tc>
          <w:tcPr>
            <w:tcW w:w="2829" w:type="dxa"/>
          </w:tcPr>
          <w:p w14:paraId="5FD6C360" w14:textId="77777777" w:rsidR="006B2AA3" w:rsidRDefault="006B2AA3" w:rsidP="00B0728F">
            <w:r>
              <w:t>Cash exposure to various types of credit instruments (Sovereign, Corporate, Asset Backed, Structured)</w:t>
            </w:r>
          </w:p>
        </w:tc>
        <w:tc>
          <w:tcPr>
            <w:tcW w:w="2965" w:type="dxa"/>
          </w:tcPr>
          <w:p w14:paraId="4D12136A" w14:textId="77777777" w:rsidR="006B2AA3" w:rsidRDefault="006B2AA3" w:rsidP="00B0728F">
            <w:r>
              <w:t>Asset Type Identifier</w:t>
            </w:r>
          </w:p>
          <w:p w14:paraId="497FA5AB" w14:textId="77777777" w:rsidR="006B2AA3" w:rsidRDefault="006B2AA3" w:rsidP="00B0728F">
            <w:r>
              <w:t xml:space="preserve">% </w:t>
            </w:r>
            <w:proofErr w:type="gramStart"/>
            <w:r>
              <w:t>of</w:t>
            </w:r>
            <w:proofErr w:type="gramEnd"/>
            <w:r>
              <w:t xml:space="preserve"> Equity Allocated to Short Portfolio</w:t>
            </w:r>
          </w:p>
          <w:p w14:paraId="41037AFF" w14:textId="77777777" w:rsidR="006B2AA3" w:rsidRDefault="006B2AA3" w:rsidP="008778C6">
            <w:r>
              <w:t>CDV01</w:t>
            </w:r>
          </w:p>
        </w:tc>
        <w:tc>
          <w:tcPr>
            <w:tcW w:w="3134" w:type="dxa"/>
          </w:tcPr>
          <w:p w14:paraId="3D92555D" w14:textId="77777777" w:rsidR="006B2AA3" w:rsidRDefault="006B2AA3" w:rsidP="00B0728F">
            <w:r>
              <w:t>Concentration</w:t>
            </w:r>
          </w:p>
          <w:p w14:paraId="31E1AAA0" w14:textId="77777777" w:rsidR="006B2AA3" w:rsidRDefault="006B2AA3" w:rsidP="00B0728F">
            <w:r>
              <w:t>Historical Trend/Style Analysis</w:t>
            </w:r>
          </w:p>
          <w:p w14:paraId="395B8DCC" w14:textId="77777777" w:rsidR="006B2AA3" w:rsidRDefault="006B2AA3" w:rsidP="00B0728F">
            <w:r>
              <w:t>Overlap Analysis</w:t>
            </w:r>
          </w:p>
          <w:p w14:paraId="085BA481" w14:textId="77777777" w:rsidR="006B2AA3" w:rsidRDefault="006B2AA3" w:rsidP="00B0728F">
            <w:r>
              <w:t xml:space="preserve">Portfolio </w:t>
            </w:r>
            <w:proofErr w:type="spellStart"/>
            <w:r>
              <w:t>Aggregaion</w:t>
            </w:r>
            <w:proofErr w:type="spellEnd"/>
          </w:p>
          <w:p w14:paraId="3EC290BA" w14:textId="77777777" w:rsidR="006B2AA3" w:rsidRDefault="006B2AA3" w:rsidP="00B0728F">
            <w:r>
              <w:t>Risk Analysis: Value at Risk, Stress Test, Monte Carlo</w:t>
            </w:r>
          </w:p>
        </w:tc>
      </w:tr>
      <w:tr w:rsidR="006B2AA3" w14:paraId="6E77A13D" w14:textId="77777777" w:rsidTr="00B0728F">
        <w:tc>
          <w:tcPr>
            <w:tcW w:w="1368" w:type="dxa"/>
          </w:tcPr>
          <w:p w14:paraId="5D546B21" w14:textId="77777777" w:rsidR="006B2AA3" w:rsidRDefault="006B2AA3" w:rsidP="006B2AA3">
            <w:r>
              <w:t xml:space="preserve">Asset Type Exposure – Synthetic, </w:t>
            </w:r>
            <w:proofErr w:type="gramStart"/>
            <w:r>
              <w:t>Long</w:t>
            </w:r>
            <w:proofErr w:type="gramEnd"/>
          </w:p>
        </w:tc>
        <w:tc>
          <w:tcPr>
            <w:tcW w:w="2829" w:type="dxa"/>
          </w:tcPr>
          <w:p w14:paraId="0A9EB1E0" w14:textId="77777777" w:rsidR="006B2AA3" w:rsidRDefault="006B2AA3" w:rsidP="00B0728F">
            <w:r>
              <w:t>Synthetic exposure to various types of credit instruments (Sovereign, Corporate, Asset Backed, Structured)</w:t>
            </w:r>
          </w:p>
        </w:tc>
        <w:tc>
          <w:tcPr>
            <w:tcW w:w="2965" w:type="dxa"/>
          </w:tcPr>
          <w:p w14:paraId="051A8C89" w14:textId="77777777" w:rsidR="006B2AA3" w:rsidRDefault="006B2AA3" w:rsidP="00B0728F">
            <w:r>
              <w:t>Asset Type Identifier</w:t>
            </w:r>
          </w:p>
          <w:p w14:paraId="668E130C" w14:textId="77777777" w:rsidR="006B2AA3" w:rsidRDefault="006B2AA3" w:rsidP="00B0728F">
            <w:r>
              <w:t xml:space="preserve">% </w:t>
            </w:r>
            <w:proofErr w:type="gramStart"/>
            <w:r>
              <w:t>of</w:t>
            </w:r>
            <w:proofErr w:type="gramEnd"/>
            <w:r>
              <w:t xml:space="preserve"> Equity Allocated to Long Portfolio</w:t>
            </w:r>
          </w:p>
          <w:p w14:paraId="737DA4CC" w14:textId="77777777" w:rsidR="006B2AA3" w:rsidRDefault="006B2AA3" w:rsidP="008778C6">
            <w:r>
              <w:t>CDV01</w:t>
            </w:r>
          </w:p>
        </w:tc>
        <w:tc>
          <w:tcPr>
            <w:tcW w:w="3134" w:type="dxa"/>
          </w:tcPr>
          <w:p w14:paraId="36282676" w14:textId="77777777" w:rsidR="006B2AA3" w:rsidRDefault="006B2AA3" w:rsidP="00B0728F">
            <w:r>
              <w:t>Concentration</w:t>
            </w:r>
          </w:p>
          <w:p w14:paraId="3D585C8D" w14:textId="77777777" w:rsidR="006B2AA3" w:rsidRDefault="006B2AA3" w:rsidP="00B0728F">
            <w:r>
              <w:t>Historical Trend/Style Analysis</w:t>
            </w:r>
          </w:p>
          <w:p w14:paraId="01E36558" w14:textId="77777777" w:rsidR="006B2AA3" w:rsidRDefault="006B2AA3" w:rsidP="00B0728F">
            <w:r>
              <w:t>Overlap Analysis</w:t>
            </w:r>
          </w:p>
          <w:p w14:paraId="0BB38576" w14:textId="77777777" w:rsidR="006B2AA3" w:rsidRDefault="006B2AA3" w:rsidP="00B0728F">
            <w:r>
              <w:t xml:space="preserve">Portfolio </w:t>
            </w:r>
            <w:proofErr w:type="spellStart"/>
            <w:r>
              <w:t>Aggregaion</w:t>
            </w:r>
            <w:proofErr w:type="spellEnd"/>
          </w:p>
          <w:p w14:paraId="0113C4F5" w14:textId="77777777" w:rsidR="006B2AA3" w:rsidRDefault="006B2AA3" w:rsidP="00B0728F">
            <w:r>
              <w:t>Risk Analysis: Value at Risk, Stress Test, Monte Carlo</w:t>
            </w:r>
          </w:p>
        </w:tc>
      </w:tr>
      <w:tr w:rsidR="006B2AA3" w14:paraId="5D2D3523" w14:textId="77777777" w:rsidTr="00B0728F">
        <w:tc>
          <w:tcPr>
            <w:tcW w:w="1368" w:type="dxa"/>
          </w:tcPr>
          <w:p w14:paraId="7E71A596" w14:textId="77777777" w:rsidR="006B2AA3" w:rsidRDefault="006B2AA3" w:rsidP="006B2AA3">
            <w:r>
              <w:t>Asset Type Exposure – Synthetic, Short</w:t>
            </w:r>
          </w:p>
        </w:tc>
        <w:tc>
          <w:tcPr>
            <w:tcW w:w="2829" w:type="dxa"/>
          </w:tcPr>
          <w:p w14:paraId="68EA56B6" w14:textId="77777777" w:rsidR="006B2AA3" w:rsidRDefault="006B2AA3" w:rsidP="00B0728F">
            <w:r>
              <w:t>Synthetic exposure to various types of credit instruments (Sovereign, Corporate, Asset Backed, Structured)</w:t>
            </w:r>
          </w:p>
        </w:tc>
        <w:tc>
          <w:tcPr>
            <w:tcW w:w="2965" w:type="dxa"/>
          </w:tcPr>
          <w:p w14:paraId="010D81A0" w14:textId="77777777" w:rsidR="006B2AA3" w:rsidRDefault="006B2AA3" w:rsidP="00B0728F">
            <w:r>
              <w:t>Asset Type Identifier</w:t>
            </w:r>
          </w:p>
          <w:p w14:paraId="7E32941D" w14:textId="77777777" w:rsidR="006B2AA3" w:rsidRDefault="006B2AA3" w:rsidP="00B0728F">
            <w:r>
              <w:t xml:space="preserve">% </w:t>
            </w:r>
            <w:proofErr w:type="gramStart"/>
            <w:r>
              <w:t>of</w:t>
            </w:r>
            <w:proofErr w:type="gramEnd"/>
            <w:r>
              <w:t xml:space="preserve"> Equity Allocated to Short Portfolio</w:t>
            </w:r>
          </w:p>
          <w:p w14:paraId="75691731" w14:textId="77777777" w:rsidR="006B2AA3" w:rsidRDefault="006B2AA3" w:rsidP="008778C6">
            <w:r>
              <w:t>CDV01</w:t>
            </w:r>
          </w:p>
        </w:tc>
        <w:tc>
          <w:tcPr>
            <w:tcW w:w="3134" w:type="dxa"/>
          </w:tcPr>
          <w:p w14:paraId="5BABA584" w14:textId="77777777" w:rsidR="006B2AA3" w:rsidRDefault="006B2AA3" w:rsidP="00B0728F">
            <w:r>
              <w:t>Concentration</w:t>
            </w:r>
          </w:p>
          <w:p w14:paraId="62F99663" w14:textId="77777777" w:rsidR="006B2AA3" w:rsidRDefault="006B2AA3" w:rsidP="00B0728F">
            <w:r>
              <w:t>Historical Trend/Style Analysis</w:t>
            </w:r>
          </w:p>
          <w:p w14:paraId="1C0B4136" w14:textId="77777777" w:rsidR="006B2AA3" w:rsidRDefault="006B2AA3" w:rsidP="00B0728F">
            <w:r>
              <w:t>Overlap Analysis</w:t>
            </w:r>
          </w:p>
          <w:p w14:paraId="76D18802" w14:textId="77777777" w:rsidR="006B2AA3" w:rsidRDefault="006B2AA3" w:rsidP="00B0728F">
            <w:r>
              <w:lastRenderedPageBreak/>
              <w:t>Portfolio Aggrega</w:t>
            </w:r>
            <w:r w:rsidR="009A7999">
              <w:t>t</w:t>
            </w:r>
            <w:r>
              <w:t>ion</w:t>
            </w:r>
          </w:p>
          <w:p w14:paraId="5F5BBB4C" w14:textId="77777777" w:rsidR="006B2AA3" w:rsidRDefault="006B2AA3" w:rsidP="00B0728F">
            <w:r>
              <w:t>Risk Analysis: Value at Risk, Stress Test, Monte Carlo</w:t>
            </w:r>
          </w:p>
        </w:tc>
      </w:tr>
      <w:tr w:rsidR="006B2AA3" w14:paraId="16F720BF" w14:textId="77777777" w:rsidTr="00B0728F">
        <w:tc>
          <w:tcPr>
            <w:tcW w:w="1368" w:type="dxa"/>
          </w:tcPr>
          <w:p w14:paraId="2A5C7A73" w14:textId="77777777" w:rsidR="006B2AA3" w:rsidRDefault="006F5BC4" w:rsidP="00B0728F">
            <w:r>
              <w:lastRenderedPageBreak/>
              <w:t>Sovereign Credit Break Down by Region</w:t>
            </w:r>
            <w:r w:rsidR="00401880">
              <w:t xml:space="preserve"> - Long</w:t>
            </w:r>
            <w:r>
              <w:t xml:space="preserve"> </w:t>
            </w:r>
          </w:p>
        </w:tc>
        <w:tc>
          <w:tcPr>
            <w:tcW w:w="2829" w:type="dxa"/>
          </w:tcPr>
          <w:p w14:paraId="38D2557C" w14:textId="77777777" w:rsidR="006B2AA3" w:rsidRDefault="008D6F23" w:rsidP="00B0728F">
            <w:r>
              <w:t xml:space="preserve">Breakdown of exposure </w:t>
            </w:r>
            <w:proofErr w:type="gramStart"/>
            <w:r>
              <w:t>to  different</w:t>
            </w:r>
            <w:proofErr w:type="gramEnd"/>
            <w:r>
              <w:t xml:space="preserve"> sovereign governments (US &amp; Canada, Western Europe, Eastern Europe ex </w:t>
            </w:r>
            <w:proofErr w:type="spellStart"/>
            <w:r>
              <w:t>Russsia</w:t>
            </w:r>
            <w:proofErr w:type="spellEnd"/>
            <w:r>
              <w:t xml:space="preserve">, Latin America ex </w:t>
            </w:r>
            <w:proofErr w:type="spellStart"/>
            <w:r>
              <w:t>Brazi</w:t>
            </w:r>
            <w:proofErr w:type="spellEnd"/>
            <w:r>
              <w:t xml:space="preserve">, Asia ex Japan, China &amp; India, </w:t>
            </w:r>
            <w:proofErr w:type="spellStart"/>
            <w:r>
              <w:t>Brazil,Russia</w:t>
            </w:r>
            <w:proofErr w:type="spellEnd"/>
            <w:r>
              <w:t>, India, China</w:t>
            </w:r>
          </w:p>
        </w:tc>
        <w:tc>
          <w:tcPr>
            <w:tcW w:w="2965" w:type="dxa"/>
          </w:tcPr>
          <w:p w14:paraId="7826495D" w14:textId="77777777" w:rsidR="006B2AA3" w:rsidRDefault="00401880" w:rsidP="00B0728F">
            <w:r>
              <w:t>Region Identifier</w:t>
            </w:r>
          </w:p>
          <w:p w14:paraId="6FD97463" w14:textId="77777777" w:rsidR="009A7999" w:rsidRDefault="009A7999" w:rsidP="00B0728F">
            <w:r>
              <w:t xml:space="preserve">% </w:t>
            </w:r>
            <w:proofErr w:type="gramStart"/>
            <w:r>
              <w:t>of</w:t>
            </w:r>
            <w:proofErr w:type="gramEnd"/>
            <w:r>
              <w:t xml:space="preserve"> equity allocated to long position</w:t>
            </w:r>
          </w:p>
          <w:p w14:paraId="0452E0B2" w14:textId="77777777" w:rsidR="009A7999" w:rsidRDefault="009A7999" w:rsidP="00B0728F">
            <w:r>
              <w:t>CDV01</w:t>
            </w:r>
          </w:p>
        </w:tc>
        <w:tc>
          <w:tcPr>
            <w:tcW w:w="3134" w:type="dxa"/>
          </w:tcPr>
          <w:p w14:paraId="7A82C156" w14:textId="77777777" w:rsidR="009A7999" w:rsidRDefault="009A7999" w:rsidP="009A7999">
            <w:r>
              <w:t>Concentration</w:t>
            </w:r>
          </w:p>
          <w:p w14:paraId="053FF4AF" w14:textId="77777777" w:rsidR="009A7999" w:rsidRDefault="009A7999" w:rsidP="009A7999">
            <w:r>
              <w:t>Historical Trend/Style Analysis</w:t>
            </w:r>
          </w:p>
          <w:p w14:paraId="019A9B8B" w14:textId="77777777" w:rsidR="009A7999" w:rsidRDefault="009A7999" w:rsidP="009A7999">
            <w:r>
              <w:t>Overlap Analysis</w:t>
            </w:r>
          </w:p>
          <w:p w14:paraId="234DDF4A" w14:textId="77777777" w:rsidR="009A7999" w:rsidRDefault="009A7999" w:rsidP="009A7999">
            <w:r>
              <w:t>Portfolio Aggregation</w:t>
            </w:r>
          </w:p>
          <w:p w14:paraId="7D7BF1C5" w14:textId="77777777" w:rsidR="006B2AA3" w:rsidRDefault="009A7999" w:rsidP="009A7999">
            <w:r>
              <w:t>Risk Analysis: Value at Risk, Stress Test, Monte Carlo</w:t>
            </w:r>
          </w:p>
        </w:tc>
      </w:tr>
      <w:tr w:rsidR="009A7999" w14:paraId="07768FED" w14:textId="77777777" w:rsidTr="00B0728F">
        <w:tc>
          <w:tcPr>
            <w:tcW w:w="1368" w:type="dxa"/>
          </w:tcPr>
          <w:p w14:paraId="21AFF929" w14:textId="77777777" w:rsidR="009A7999" w:rsidRDefault="009A7999" w:rsidP="009A7999">
            <w:r>
              <w:t xml:space="preserve">Sovereign Credit Break Down by Region - Short </w:t>
            </w:r>
          </w:p>
        </w:tc>
        <w:tc>
          <w:tcPr>
            <w:tcW w:w="2829" w:type="dxa"/>
          </w:tcPr>
          <w:p w14:paraId="76F64F17" w14:textId="77777777" w:rsidR="009A7999" w:rsidRDefault="009A7999" w:rsidP="00B0728F">
            <w:r>
              <w:t xml:space="preserve">Breakdown of exposure </w:t>
            </w:r>
            <w:proofErr w:type="gramStart"/>
            <w:r>
              <w:t>to  different</w:t>
            </w:r>
            <w:proofErr w:type="gramEnd"/>
            <w:r>
              <w:t xml:space="preserve"> sovereign governments</w:t>
            </w:r>
            <w:r w:rsidR="009F7E01">
              <w:t xml:space="preserve"> (US &amp; Canada, Western Europe, Eastern Europe ex </w:t>
            </w:r>
            <w:proofErr w:type="spellStart"/>
            <w:r w:rsidR="009F7E01">
              <w:t>Russsia</w:t>
            </w:r>
            <w:proofErr w:type="spellEnd"/>
            <w:r w:rsidR="009F7E01">
              <w:t xml:space="preserve">, Latin America ex </w:t>
            </w:r>
            <w:proofErr w:type="spellStart"/>
            <w:r w:rsidR="009F7E01">
              <w:t>Brazi</w:t>
            </w:r>
            <w:proofErr w:type="spellEnd"/>
            <w:r w:rsidR="009F7E01">
              <w:t xml:space="preserve">, Asia ex Japan, China &amp; India, </w:t>
            </w:r>
            <w:proofErr w:type="spellStart"/>
            <w:r w:rsidR="009F7E01">
              <w:t>Brazil,Russia</w:t>
            </w:r>
            <w:proofErr w:type="spellEnd"/>
            <w:r w:rsidR="009F7E01">
              <w:t>, India, China</w:t>
            </w:r>
          </w:p>
        </w:tc>
        <w:tc>
          <w:tcPr>
            <w:tcW w:w="2965" w:type="dxa"/>
          </w:tcPr>
          <w:p w14:paraId="62452435" w14:textId="77777777" w:rsidR="009A7999" w:rsidRDefault="009A7999" w:rsidP="00B0728F">
            <w:r>
              <w:t>Region Identifier</w:t>
            </w:r>
          </w:p>
          <w:p w14:paraId="118AF307" w14:textId="77777777" w:rsidR="009A7999" w:rsidRDefault="009A7999" w:rsidP="00B0728F">
            <w:r>
              <w:t xml:space="preserve">% </w:t>
            </w:r>
            <w:proofErr w:type="gramStart"/>
            <w:r>
              <w:t>of</w:t>
            </w:r>
            <w:proofErr w:type="gramEnd"/>
            <w:r>
              <w:t xml:space="preserve"> equity allocated to short position</w:t>
            </w:r>
          </w:p>
          <w:p w14:paraId="1A9A0AFE" w14:textId="77777777" w:rsidR="009A7999" w:rsidRDefault="009A7999" w:rsidP="00B0728F">
            <w:r>
              <w:t>CDV01</w:t>
            </w:r>
          </w:p>
        </w:tc>
        <w:tc>
          <w:tcPr>
            <w:tcW w:w="3134" w:type="dxa"/>
          </w:tcPr>
          <w:p w14:paraId="22A475A3" w14:textId="77777777" w:rsidR="009A7999" w:rsidRDefault="009A7999" w:rsidP="00B0728F">
            <w:r>
              <w:t>Concentration</w:t>
            </w:r>
          </w:p>
          <w:p w14:paraId="1A41AD02" w14:textId="77777777" w:rsidR="009A7999" w:rsidRDefault="009A7999" w:rsidP="00B0728F">
            <w:r>
              <w:t>Historical Trend/Style Analysis</w:t>
            </w:r>
          </w:p>
          <w:p w14:paraId="6496E171" w14:textId="77777777" w:rsidR="009A7999" w:rsidRDefault="009A7999" w:rsidP="00B0728F">
            <w:r>
              <w:t>Overlap Analysis</w:t>
            </w:r>
          </w:p>
          <w:p w14:paraId="0B53A357" w14:textId="77777777" w:rsidR="009A7999" w:rsidRDefault="009A7999" w:rsidP="00B0728F">
            <w:r>
              <w:t>Portfolio Aggregation</w:t>
            </w:r>
          </w:p>
          <w:p w14:paraId="22ADFAAD" w14:textId="77777777" w:rsidR="009A7999" w:rsidRDefault="009A7999" w:rsidP="00B0728F">
            <w:r>
              <w:t>Risk Analysis: Value at Risk, Stress Test, Monte Carlo</w:t>
            </w:r>
          </w:p>
        </w:tc>
      </w:tr>
      <w:tr w:rsidR="009A7999" w14:paraId="50886A8A" w14:textId="77777777" w:rsidTr="00B0728F">
        <w:tc>
          <w:tcPr>
            <w:tcW w:w="1368" w:type="dxa"/>
          </w:tcPr>
          <w:p w14:paraId="6A7C18BD" w14:textId="77777777" w:rsidR="009A7999" w:rsidRDefault="00E02588" w:rsidP="00B0728F">
            <w:r>
              <w:t xml:space="preserve">Corporate Credit Break Down by GIC </w:t>
            </w:r>
            <w:r w:rsidR="00826F1C">
              <w:t>Industry</w:t>
            </w:r>
            <w:r>
              <w:t xml:space="preserve"> - Long</w:t>
            </w:r>
          </w:p>
        </w:tc>
        <w:tc>
          <w:tcPr>
            <w:tcW w:w="2829" w:type="dxa"/>
          </w:tcPr>
          <w:p w14:paraId="35CDF9DB" w14:textId="77777777" w:rsidR="009A7999" w:rsidRDefault="00E02588" w:rsidP="00B0728F">
            <w:r>
              <w:t xml:space="preserve">Breakdown of corporate exposure by 10 GIC </w:t>
            </w:r>
            <w:proofErr w:type="spellStart"/>
            <w:r w:rsidR="00826F1C">
              <w:t>Industry</w:t>
            </w:r>
            <w:r>
              <w:t>s</w:t>
            </w:r>
            <w:proofErr w:type="spellEnd"/>
          </w:p>
        </w:tc>
        <w:tc>
          <w:tcPr>
            <w:tcW w:w="2965" w:type="dxa"/>
          </w:tcPr>
          <w:p w14:paraId="39F70F51" w14:textId="77777777" w:rsidR="009A7999" w:rsidRDefault="00826F1C" w:rsidP="00B0728F">
            <w:r>
              <w:t>Industry</w:t>
            </w:r>
            <w:r w:rsidR="00E02588">
              <w:t xml:space="preserve"> Identifier</w:t>
            </w:r>
          </w:p>
          <w:p w14:paraId="56135836" w14:textId="77777777" w:rsidR="00E02588" w:rsidRDefault="00E02588" w:rsidP="00E02588">
            <w:r>
              <w:t xml:space="preserve">% </w:t>
            </w:r>
            <w:proofErr w:type="gramStart"/>
            <w:r>
              <w:t>of</w:t>
            </w:r>
            <w:proofErr w:type="gramEnd"/>
            <w:r>
              <w:t xml:space="preserve"> equity allocated to Long position</w:t>
            </w:r>
          </w:p>
          <w:p w14:paraId="3F2BFBE4" w14:textId="77777777" w:rsidR="00E02588" w:rsidRDefault="00E02588" w:rsidP="00E02588">
            <w:r>
              <w:t>CDV01</w:t>
            </w:r>
          </w:p>
        </w:tc>
        <w:tc>
          <w:tcPr>
            <w:tcW w:w="3134" w:type="dxa"/>
          </w:tcPr>
          <w:p w14:paraId="156B1F5D" w14:textId="77777777" w:rsidR="00E02588" w:rsidRDefault="00E02588" w:rsidP="00E02588">
            <w:r>
              <w:t>Concentration</w:t>
            </w:r>
          </w:p>
          <w:p w14:paraId="499EFBD7" w14:textId="77777777" w:rsidR="00E02588" w:rsidRDefault="00E02588" w:rsidP="00E02588">
            <w:r>
              <w:t>Historical Trend/Style Analysis</w:t>
            </w:r>
          </w:p>
          <w:p w14:paraId="733044C3" w14:textId="77777777" w:rsidR="00E02588" w:rsidRDefault="00E02588" w:rsidP="00E02588">
            <w:r>
              <w:t>Overlap Analysis</w:t>
            </w:r>
          </w:p>
          <w:p w14:paraId="1DCAEEFE" w14:textId="77777777" w:rsidR="00E02588" w:rsidRDefault="00E02588" w:rsidP="00E02588">
            <w:r>
              <w:t>Portfolio Aggregation</w:t>
            </w:r>
          </w:p>
          <w:p w14:paraId="0D3F4D62" w14:textId="77777777" w:rsidR="009A7999" w:rsidRDefault="00E02588" w:rsidP="00E02588">
            <w:r>
              <w:t>Risk Analysis: Value at Risk, Stress Test, Monte Carlo</w:t>
            </w:r>
          </w:p>
        </w:tc>
      </w:tr>
      <w:tr w:rsidR="00E02588" w14:paraId="08469967" w14:textId="77777777" w:rsidTr="00B0728F">
        <w:tc>
          <w:tcPr>
            <w:tcW w:w="1368" w:type="dxa"/>
          </w:tcPr>
          <w:p w14:paraId="1C6C03FB" w14:textId="77777777" w:rsidR="00E02588" w:rsidRDefault="00E02588" w:rsidP="00E02588">
            <w:r>
              <w:t xml:space="preserve">Corporate Credit Break Down by GIC </w:t>
            </w:r>
            <w:r w:rsidR="00826F1C">
              <w:t>Industry</w:t>
            </w:r>
            <w:r>
              <w:t xml:space="preserve"> - Short</w:t>
            </w:r>
          </w:p>
        </w:tc>
        <w:tc>
          <w:tcPr>
            <w:tcW w:w="2829" w:type="dxa"/>
          </w:tcPr>
          <w:p w14:paraId="76E17179" w14:textId="77777777" w:rsidR="00E02588" w:rsidRDefault="00E02588" w:rsidP="00B0728F">
            <w:r>
              <w:t xml:space="preserve">Breakdown of corporate exposure by 10 GIC </w:t>
            </w:r>
            <w:proofErr w:type="spellStart"/>
            <w:r w:rsidR="00826F1C">
              <w:t>Industry</w:t>
            </w:r>
            <w:r>
              <w:t>s</w:t>
            </w:r>
            <w:proofErr w:type="spellEnd"/>
          </w:p>
        </w:tc>
        <w:tc>
          <w:tcPr>
            <w:tcW w:w="2965" w:type="dxa"/>
          </w:tcPr>
          <w:p w14:paraId="41CB1F20" w14:textId="77777777" w:rsidR="00E02588" w:rsidRDefault="00826F1C" w:rsidP="00B0728F">
            <w:r>
              <w:t>Industry</w:t>
            </w:r>
            <w:r w:rsidR="00E02588">
              <w:t xml:space="preserve"> Identifier</w:t>
            </w:r>
          </w:p>
          <w:p w14:paraId="2875E552" w14:textId="77777777" w:rsidR="00E02588" w:rsidRDefault="00E02588" w:rsidP="00B0728F">
            <w:r>
              <w:t xml:space="preserve">% </w:t>
            </w:r>
            <w:proofErr w:type="gramStart"/>
            <w:r>
              <w:t>of</w:t>
            </w:r>
            <w:proofErr w:type="gramEnd"/>
            <w:r>
              <w:t xml:space="preserve"> equity allocated to short position</w:t>
            </w:r>
          </w:p>
          <w:p w14:paraId="4DEB3455" w14:textId="77777777" w:rsidR="00E02588" w:rsidRDefault="00E02588" w:rsidP="00B0728F">
            <w:r>
              <w:t>CDV01</w:t>
            </w:r>
          </w:p>
        </w:tc>
        <w:tc>
          <w:tcPr>
            <w:tcW w:w="3134" w:type="dxa"/>
          </w:tcPr>
          <w:p w14:paraId="53438DE6" w14:textId="77777777" w:rsidR="00E02588" w:rsidRDefault="00E02588" w:rsidP="00B0728F">
            <w:r>
              <w:t>Concentration</w:t>
            </w:r>
          </w:p>
          <w:p w14:paraId="61A79568" w14:textId="77777777" w:rsidR="00E02588" w:rsidRDefault="00E02588" w:rsidP="00B0728F">
            <w:r>
              <w:t>Historical Trend/Style Analysis</w:t>
            </w:r>
          </w:p>
          <w:p w14:paraId="751BA359" w14:textId="77777777" w:rsidR="00E02588" w:rsidRDefault="00E02588" w:rsidP="00B0728F">
            <w:r>
              <w:t>Overlap Analysis</w:t>
            </w:r>
          </w:p>
          <w:p w14:paraId="4056951A" w14:textId="77777777" w:rsidR="00E02588" w:rsidRDefault="00E02588" w:rsidP="00B0728F">
            <w:r>
              <w:t>Portfolio Aggregation</w:t>
            </w:r>
          </w:p>
          <w:p w14:paraId="54A2E561" w14:textId="77777777" w:rsidR="00E02588" w:rsidRDefault="00E02588" w:rsidP="00B0728F">
            <w:r>
              <w:t xml:space="preserve">Risk Analysis: Value at Risk, </w:t>
            </w:r>
            <w:r>
              <w:lastRenderedPageBreak/>
              <w:t>Stress Test, Monte Carlo</w:t>
            </w:r>
          </w:p>
        </w:tc>
      </w:tr>
      <w:tr w:rsidR="00826F1C" w14:paraId="21F4210E" w14:textId="77777777" w:rsidTr="00B0728F">
        <w:tc>
          <w:tcPr>
            <w:tcW w:w="1368" w:type="dxa"/>
          </w:tcPr>
          <w:p w14:paraId="1777ABC2" w14:textId="77777777" w:rsidR="00826F1C" w:rsidRDefault="00826F1C" w:rsidP="00826F1C">
            <w:r>
              <w:lastRenderedPageBreak/>
              <w:t xml:space="preserve">ABS Break down by Type </w:t>
            </w:r>
          </w:p>
        </w:tc>
        <w:tc>
          <w:tcPr>
            <w:tcW w:w="2829" w:type="dxa"/>
          </w:tcPr>
          <w:p w14:paraId="6504F2D0" w14:textId="77777777" w:rsidR="00826F1C" w:rsidRDefault="00826F1C" w:rsidP="00B0728F">
            <w:r>
              <w:t>Breakdown of ABS Exposure by Type</w:t>
            </w:r>
          </w:p>
          <w:p w14:paraId="09E3FE64" w14:textId="77777777" w:rsidR="00826F1C" w:rsidRDefault="00826F1C" w:rsidP="00B0728F">
            <w:r>
              <w:t>(Home Equity, Auto, Student Loan, CDO, TALF, Other)</w:t>
            </w:r>
          </w:p>
        </w:tc>
        <w:tc>
          <w:tcPr>
            <w:tcW w:w="2965" w:type="dxa"/>
          </w:tcPr>
          <w:p w14:paraId="0AA2FA3A" w14:textId="77777777" w:rsidR="00826F1C" w:rsidRDefault="00826F1C" w:rsidP="00B0728F">
            <w:r>
              <w:t>Asset Type Identifier</w:t>
            </w:r>
          </w:p>
          <w:p w14:paraId="296649E1" w14:textId="77777777" w:rsidR="00826F1C" w:rsidRDefault="00826F1C" w:rsidP="00B0728F">
            <w:r>
              <w:t xml:space="preserve">% </w:t>
            </w:r>
            <w:proofErr w:type="gramStart"/>
            <w:r>
              <w:t>of</w:t>
            </w:r>
            <w:proofErr w:type="gramEnd"/>
            <w:r>
              <w:t xml:space="preserve"> equity allocated to Long position</w:t>
            </w:r>
          </w:p>
          <w:p w14:paraId="542D092A" w14:textId="77777777" w:rsidR="00826F1C" w:rsidRDefault="00826F1C" w:rsidP="00B0728F">
            <w:r>
              <w:t>CDV01</w:t>
            </w:r>
          </w:p>
        </w:tc>
        <w:tc>
          <w:tcPr>
            <w:tcW w:w="3134" w:type="dxa"/>
          </w:tcPr>
          <w:p w14:paraId="5EC57496" w14:textId="77777777" w:rsidR="00826F1C" w:rsidRDefault="00826F1C" w:rsidP="00B0728F">
            <w:r>
              <w:t>Concentration</w:t>
            </w:r>
          </w:p>
          <w:p w14:paraId="581680A6" w14:textId="77777777" w:rsidR="00826F1C" w:rsidRDefault="00826F1C" w:rsidP="00B0728F">
            <w:r>
              <w:t>Historical Trend/Style Analysis</w:t>
            </w:r>
          </w:p>
          <w:p w14:paraId="72523831" w14:textId="77777777" w:rsidR="00826F1C" w:rsidRDefault="00826F1C" w:rsidP="00B0728F">
            <w:r>
              <w:t>Overlap Analysis</w:t>
            </w:r>
          </w:p>
          <w:p w14:paraId="5742B27A" w14:textId="77777777" w:rsidR="00826F1C" w:rsidRDefault="00826F1C" w:rsidP="00B0728F">
            <w:r>
              <w:t>Portfolio Aggregation</w:t>
            </w:r>
          </w:p>
          <w:p w14:paraId="34C5C3C5" w14:textId="77777777" w:rsidR="00826F1C" w:rsidRDefault="00826F1C" w:rsidP="00B0728F">
            <w:r>
              <w:t>Risk Analysis: Value at Risk, Stress Test, Monte Carlo</w:t>
            </w:r>
          </w:p>
        </w:tc>
      </w:tr>
      <w:tr w:rsidR="00826F1C" w14:paraId="70EB5565" w14:textId="77777777" w:rsidTr="00B0728F">
        <w:tc>
          <w:tcPr>
            <w:tcW w:w="1368" w:type="dxa"/>
          </w:tcPr>
          <w:p w14:paraId="2DA4CA50" w14:textId="77777777" w:rsidR="00826F1C" w:rsidRDefault="00826F1C" w:rsidP="00B0728F">
            <w:r>
              <w:t>Corporate Credit Break Down by GIC Industry - Short</w:t>
            </w:r>
          </w:p>
        </w:tc>
        <w:tc>
          <w:tcPr>
            <w:tcW w:w="2829" w:type="dxa"/>
          </w:tcPr>
          <w:p w14:paraId="25F229B1" w14:textId="77777777" w:rsidR="00826F1C" w:rsidRDefault="00826F1C" w:rsidP="00826F1C">
            <w:r>
              <w:t>Breakdown of ABS Exposure by Type</w:t>
            </w:r>
          </w:p>
          <w:p w14:paraId="563641D8" w14:textId="77777777" w:rsidR="00826F1C" w:rsidRDefault="00826F1C" w:rsidP="00826F1C">
            <w:r>
              <w:t>(Home Equity, Auto, Student Loan, CDO, TALF, Other)</w:t>
            </w:r>
          </w:p>
        </w:tc>
        <w:tc>
          <w:tcPr>
            <w:tcW w:w="2965" w:type="dxa"/>
          </w:tcPr>
          <w:p w14:paraId="7A88CD70" w14:textId="77777777" w:rsidR="00826F1C" w:rsidRDefault="00826F1C" w:rsidP="00B0728F">
            <w:r>
              <w:t>Asset Type Identifier</w:t>
            </w:r>
          </w:p>
          <w:p w14:paraId="6D3E36F3" w14:textId="77777777" w:rsidR="00826F1C" w:rsidRDefault="00826F1C" w:rsidP="00B0728F">
            <w:r>
              <w:t xml:space="preserve">% </w:t>
            </w:r>
            <w:proofErr w:type="gramStart"/>
            <w:r>
              <w:t>of</w:t>
            </w:r>
            <w:proofErr w:type="gramEnd"/>
            <w:r>
              <w:t xml:space="preserve"> equity allocated to short position</w:t>
            </w:r>
          </w:p>
          <w:p w14:paraId="06CEEC76" w14:textId="77777777" w:rsidR="00826F1C" w:rsidRDefault="00826F1C" w:rsidP="00B0728F">
            <w:r>
              <w:t>CDV01</w:t>
            </w:r>
          </w:p>
        </w:tc>
        <w:tc>
          <w:tcPr>
            <w:tcW w:w="3134" w:type="dxa"/>
          </w:tcPr>
          <w:p w14:paraId="4B5218CC" w14:textId="77777777" w:rsidR="00826F1C" w:rsidRDefault="00826F1C" w:rsidP="00B0728F">
            <w:r>
              <w:t>Concentration</w:t>
            </w:r>
          </w:p>
          <w:p w14:paraId="278E3136" w14:textId="77777777" w:rsidR="00826F1C" w:rsidRDefault="00826F1C" w:rsidP="00B0728F">
            <w:r>
              <w:t>Historical Trend/Style Analysis</w:t>
            </w:r>
          </w:p>
          <w:p w14:paraId="1502BC10" w14:textId="77777777" w:rsidR="00826F1C" w:rsidRDefault="00826F1C" w:rsidP="00B0728F">
            <w:r>
              <w:t>Overlap Analysis</w:t>
            </w:r>
          </w:p>
          <w:p w14:paraId="24F56451" w14:textId="77777777" w:rsidR="00826F1C" w:rsidRDefault="00826F1C" w:rsidP="00B0728F">
            <w:r>
              <w:t>Portfolio Aggregation</w:t>
            </w:r>
          </w:p>
          <w:p w14:paraId="75163B3C" w14:textId="77777777" w:rsidR="00826F1C" w:rsidRDefault="00826F1C" w:rsidP="00B0728F">
            <w:r>
              <w:t>Risk Analysis: Value at Risk, Stress Test, Monte Carlo</w:t>
            </w:r>
          </w:p>
        </w:tc>
      </w:tr>
    </w:tbl>
    <w:p w14:paraId="0F37F36A" w14:textId="77777777" w:rsidR="005C0BD7" w:rsidRDefault="005C0BD7" w:rsidP="00BF1E0C"/>
    <w:p w14:paraId="7081D663" w14:textId="77777777" w:rsidR="005C0BD7" w:rsidRDefault="005C0BD7" w:rsidP="00BF1E0C"/>
    <w:p w14:paraId="400A8C9A" w14:textId="77777777" w:rsidR="005C0BD7" w:rsidRDefault="005C0BD7" w:rsidP="00BF1E0C"/>
    <w:p w14:paraId="6FC0B481" w14:textId="77777777" w:rsidR="00E80C72" w:rsidRDefault="00E80C72" w:rsidP="00BF1E0C"/>
    <w:p w14:paraId="4ED99A6B" w14:textId="77777777" w:rsidR="00E80C72" w:rsidRDefault="00E80C72">
      <w:pPr>
        <w:spacing w:after="0" w:line="240" w:lineRule="auto"/>
      </w:pPr>
      <w:r>
        <w:br w:type="page"/>
      </w:r>
    </w:p>
    <w:p w14:paraId="0D05E7E5" w14:textId="77777777" w:rsidR="005C0BD7" w:rsidRPr="00B0728F" w:rsidRDefault="00B0728F" w:rsidP="00BF1E0C">
      <w:pPr>
        <w:rPr>
          <w:b/>
        </w:rPr>
      </w:pPr>
      <w:r>
        <w:rPr>
          <w:b/>
        </w:rPr>
        <w:lastRenderedPageBreak/>
        <w:t>Rates</w:t>
      </w:r>
    </w:p>
    <w:tbl>
      <w:tblPr>
        <w:tblStyle w:val="TableGrid"/>
        <w:tblW w:w="0" w:type="auto"/>
        <w:tblLook w:val="04A0" w:firstRow="1" w:lastRow="0" w:firstColumn="1" w:lastColumn="0" w:noHBand="0" w:noVBand="1"/>
      </w:tblPr>
      <w:tblGrid>
        <w:gridCol w:w="1353"/>
        <w:gridCol w:w="2772"/>
        <w:gridCol w:w="2908"/>
        <w:gridCol w:w="3037"/>
      </w:tblGrid>
      <w:tr w:rsidR="00B0728F" w:rsidRPr="005C0BD7" w14:paraId="63EE718B" w14:textId="77777777" w:rsidTr="00B0728F">
        <w:tc>
          <w:tcPr>
            <w:tcW w:w="1368" w:type="dxa"/>
          </w:tcPr>
          <w:p w14:paraId="369DFAAF" w14:textId="77777777" w:rsidR="00B0728F" w:rsidRPr="005C0BD7" w:rsidRDefault="00B0728F" w:rsidP="00B0728F">
            <w:pPr>
              <w:rPr>
                <w:b/>
              </w:rPr>
            </w:pPr>
            <w:r w:rsidRPr="005C0BD7">
              <w:rPr>
                <w:b/>
              </w:rPr>
              <w:t>Building Block</w:t>
            </w:r>
          </w:p>
        </w:tc>
        <w:tc>
          <w:tcPr>
            <w:tcW w:w="2829" w:type="dxa"/>
          </w:tcPr>
          <w:p w14:paraId="65A6D1C8" w14:textId="77777777" w:rsidR="00B0728F" w:rsidRPr="005C0BD7" w:rsidRDefault="00B0728F" w:rsidP="00B0728F">
            <w:pPr>
              <w:rPr>
                <w:b/>
              </w:rPr>
            </w:pPr>
            <w:r w:rsidRPr="005C0BD7">
              <w:rPr>
                <w:b/>
              </w:rPr>
              <w:t>Description</w:t>
            </w:r>
          </w:p>
        </w:tc>
        <w:tc>
          <w:tcPr>
            <w:tcW w:w="2965" w:type="dxa"/>
          </w:tcPr>
          <w:p w14:paraId="4BCAC710" w14:textId="77777777" w:rsidR="00B0728F" w:rsidRPr="005C0BD7" w:rsidRDefault="00B0728F" w:rsidP="00B0728F">
            <w:pPr>
              <w:rPr>
                <w:b/>
              </w:rPr>
            </w:pPr>
            <w:r>
              <w:rPr>
                <w:b/>
              </w:rPr>
              <w:t>Fields</w:t>
            </w:r>
          </w:p>
        </w:tc>
        <w:tc>
          <w:tcPr>
            <w:tcW w:w="3134" w:type="dxa"/>
          </w:tcPr>
          <w:p w14:paraId="3D438FBF" w14:textId="77777777" w:rsidR="00B0728F" w:rsidRPr="005C0BD7" w:rsidRDefault="00B0728F" w:rsidP="00B0728F">
            <w:pPr>
              <w:rPr>
                <w:b/>
              </w:rPr>
            </w:pPr>
            <w:r w:rsidRPr="005C0BD7">
              <w:rPr>
                <w:b/>
              </w:rPr>
              <w:t>Uses</w:t>
            </w:r>
            <w:r>
              <w:rPr>
                <w:b/>
              </w:rPr>
              <w:t xml:space="preserve"> for Investor</w:t>
            </w:r>
          </w:p>
        </w:tc>
      </w:tr>
      <w:tr w:rsidR="00B0728F" w14:paraId="37BF52C0" w14:textId="77777777" w:rsidTr="00B0728F">
        <w:tc>
          <w:tcPr>
            <w:tcW w:w="1368" w:type="dxa"/>
          </w:tcPr>
          <w:p w14:paraId="4D86D58F" w14:textId="77777777" w:rsidR="00B0728F" w:rsidRDefault="002A36BB" w:rsidP="00B0728F">
            <w:r>
              <w:t>DV01</w:t>
            </w:r>
            <w:r>
              <w:rPr>
                <w:rStyle w:val="FootnoteReference"/>
              </w:rPr>
              <w:footnoteReference w:id="2"/>
            </w:r>
            <w:r>
              <w:t xml:space="preserve"> by Currency, Maturity</w:t>
            </w:r>
          </w:p>
        </w:tc>
        <w:tc>
          <w:tcPr>
            <w:tcW w:w="2829" w:type="dxa"/>
          </w:tcPr>
          <w:p w14:paraId="48BBB6A6" w14:textId="77777777" w:rsidR="00B0728F" w:rsidRDefault="002A36BB" w:rsidP="00B0728F">
            <w:r>
              <w:t xml:space="preserve">Partial duration exposure by currency (USD, EUR, GBP, </w:t>
            </w:r>
            <w:proofErr w:type="gramStart"/>
            <w:r>
              <w:t>JPY,CAD</w:t>
            </w:r>
            <w:proofErr w:type="gramEnd"/>
            <w:r>
              <w:t>, HKD, Other)</w:t>
            </w:r>
          </w:p>
        </w:tc>
        <w:tc>
          <w:tcPr>
            <w:tcW w:w="2965" w:type="dxa"/>
          </w:tcPr>
          <w:p w14:paraId="645AE721" w14:textId="77777777" w:rsidR="00B0728F" w:rsidRDefault="002A36BB" w:rsidP="00B0728F">
            <w:r>
              <w:t>Currency Code</w:t>
            </w:r>
          </w:p>
          <w:p w14:paraId="0E61BB40" w14:textId="77777777" w:rsidR="002A36BB" w:rsidRDefault="002A36BB" w:rsidP="00B0728F">
            <w:r>
              <w:t>Maturity (3,6,12,24,60,120)</w:t>
            </w:r>
          </w:p>
          <w:p w14:paraId="56594D0E" w14:textId="77777777" w:rsidR="002A36BB" w:rsidRDefault="002A36BB" w:rsidP="00B0728F">
            <w:r>
              <w:t>DV01</w:t>
            </w:r>
          </w:p>
        </w:tc>
        <w:tc>
          <w:tcPr>
            <w:tcW w:w="3134" w:type="dxa"/>
          </w:tcPr>
          <w:p w14:paraId="3AEE04E0" w14:textId="77777777" w:rsidR="00B0728F" w:rsidRDefault="002A36BB" w:rsidP="00B0728F">
            <w:r>
              <w:t>Exposure Tracking,</w:t>
            </w:r>
          </w:p>
          <w:p w14:paraId="583DE9B4" w14:textId="77777777" w:rsidR="002A36BB" w:rsidRDefault="002A36BB" w:rsidP="00B0728F">
            <w:r>
              <w:t>Historical Trend/Style Analysis</w:t>
            </w:r>
          </w:p>
          <w:p w14:paraId="5A3B808C" w14:textId="77777777" w:rsidR="002A36BB" w:rsidRDefault="002A36BB" w:rsidP="00B0728F">
            <w:r>
              <w:t>Risk Analysis: Value at Risk, Stress Test, Monte Carlo</w:t>
            </w:r>
          </w:p>
        </w:tc>
      </w:tr>
      <w:tr w:rsidR="002A36BB" w14:paraId="1B93E719" w14:textId="77777777" w:rsidTr="00B0728F">
        <w:tc>
          <w:tcPr>
            <w:tcW w:w="1368" w:type="dxa"/>
          </w:tcPr>
          <w:p w14:paraId="41D66C10" w14:textId="77777777" w:rsidR="002A36BB" w:rsidRDefault="002A36BB" w:rsidP="0089308E">
            <w:r>
              <w:t>DV01</w:t>
            </w:r>
            <w:r w:rsidR="0089308E">
              <w:t xml:space="preserve"> </w:t>
            </w:r>
            <w:r>
              <w:t>by Asset Type</w:t>
            </w:r>
          </w:p>
        </w:tc>
        <w:tc>
          <w:tcPr>
            <w:tcW w:w="2829" w:type="dxa"/>
          </w:tcPr>
          <w:p w14:paraId="59FC7342" w14:textId="77777777" w:rsidR="002A36BB" w:rsidRDefault="002A36BB" w:rsidP="002A36BB">
            <w:r>
              <w:t xml:space="preserve">Partial duration exposure by Asset Type (Sovereign, </w:t>
            </w:r>
            <w:proofErr w:type="spellStart"/>
            <w:proofErr w:type="gramStart"/>
            <w:r>
              <w:t>Swap,Swaptions</w:t>
            </w:r>
            <w:proofErr w:type="spellEnd"/>
            <w:proofErr w:type="gramEnd"/>
            <w:r>
              <w:t>, Repos, ED Futures, Other)</w:t>
            </w:r>
          </w:p>
          <w:p w14:paraId="44DE95D3" w14:textId="77777777" w:rsidR="002A36BB" w:rsidRDefault="002A36BB" w:rsidP="002A36BB"/>
        </w:tc>
        <w:tc>
          <w:tcPr>
            <w:tcW w:w="2965" w:type="dxa"/>
          </w:tcPr>
          <w:p w14:paraId="2A269A3E" w14:textId="77777777" w:rsidR="002A36BB" w:rsidRDefault="002A36BB" w:rsidP="00994431">
            <w:r>
              <w:t>Asset Type</w:t>
            </w:r>
          </w:p>
          <w:p w14:paraId="25F80727" w14:textId="77777777" w:rsidR="002A36BB" w:rsidRDefault="002A36BB" w:rsidP="00994431">
            <w:r>
              <w:t>Maturity (3,6,12,24,60,120)</w:t>
            </w:r>
          </w:p>
          <w:p w14:paraId="373739B6" w14:textId="77777777" w:rsidR="002A36BB" w:rsidRDefault="002A36BB" w:rsidP="00994431">
            <w:r>
              <w:t>DV01</w:t>
            </w:r>
          </w:p>
        </w:tc>
        <w:tc>
          <w:tcPr>
            <w:tcW w:w="3134" w:type="dxa"/>
          </w:tcPr>
          <w:p w14:paraId="5CADCD16" w14:textId="77777777" w:rsidR="002A36BB" w:rsidRDefault="002A36BB" w:rsidP="00994431">
            <w:r>
              <w:t>Exposure Tracking,</w:t>
            </w:r>
          </w:p>
          <w:p w14:paraId="12A1BA42" w14:textId="77777777" w:rsidR="002A36BB" w:rsidRDefault="002A36BB" w:rsidP="00994431">
            <w:r>
              <w:t>Historical Trend/Style Analysis</w:t>
            </w:r>
          </w:p>
          <w:p w14:paraId="617333B7" w14:textId="77777777" w:rsidR="002A36BB" w:rsidRDefault="002A36BB" w:rsidP="00994431">
            <w:r>
              <w:t>Risk Analysis: Value at Risk, Stress Test, Monte Carlo</w:t>
            </w:r>
          </w:p>
        </w:tc>
      </w:tr>
      <w:tr w:rsidR="00150834" w14:paraId="2BD6F195" w14:textId="77777777" w:rsidTr="00150834">
        <w:tc>
          <w:tcPr>
            <w:tcW w:w="1368" w:type="dxa"/>
          </w:tcPr>
          <w:p w14:paraId="141567FA" w14:textId="77777777" w:rsidR="00150834" w:rsidRDefault="00150834" w:rsidP="0089308E">
            <w:r>
              <w:t>DV01 by Asset Type and Currency</w:t>
            </w:r>
          </w:p>
        </w:tc>
        <w:tc>
          <w:tcPr>
            <w:tcW w:w="2829" w:type="dxa"/>
          </w:tcPr>
          <w:p w14:paraId="144296A6" w14:textId="77777777" w:rsidR="00150834" w:rsidRDefault="00150834" w:rsidP="00150834">
            <w:r>
              <w:t xml:space="preserve">Partial duration exposure by Currency </w:t>
            </w:r>
            <w:proofErr w:type="gramStart"/>
            <w:r>
              <w:t>and  Asset</w:t>
            </w:r>
            <w:proofErr w:type="gramEnd"/>
            <w:r>
              <w:t xml:space="preserve"> Type </w:t>
            </w:r>
          </w:p>
        </w:tc>
        <w:tc>
          <w:tcPr>
            <w:tcW w:w="2965" w:type="dxa"/>
          </w:tcPr>
          <w:p w14:paraId="599A13F4" w14:textId="77777777" w:rsidR="00150834" w:rsidRDefault="00150834" w:rsidP="00994431">
            <w:r>
              <w:t>Asset Type</w:t>
            </w:r>
          </w:p>
          <w:p w14:paraId="06FC5395" w14:textId="77777777" w:rsidR="00150834" w:rsidRDefault="00150834" w:rsidP="00994431">
            <w:r>
              <w:t>Currency</w:t>
            </w:r>
          </w:p>
          <w:p w14:paraId="191F29BD" w14:textId="77777777" w:rsidR="00150834" w:rsidRDefault="00150834" w:rsidP="00994431">
            <w:r>
              <w:t>Maturity (3,6,12,24,60,120)</w:t>
            </w:r>
          </w:p>
          <w:p w14:paraId="5B90EA63" w14:textId="77777777" w:rsidR="00150834" w:rsidRDefault="00150834" w:rsidP="00994431">
            <w:r>
              <w:t>DV01</w:t>
            </w:r>
          </w:p>
        </w:tc>
        <w:tc>
          <w:tcPr>
            <w:tcW w:w="3134" w:type="dxa"/>
          </w:tcPr>
          <w:p w14:paraId="617CB0AE" w14:textId="77777777" w:rsidR="00150834" w:rsidRDefault="00150834" w:rsidP="00994431">
            <w:r>
              <w:t>Exposure Tracking,</w:t>
            </w:r>
          </w:p>
          <w:p w14:paraId="0792DF74" w14:textId="77777777" w:rsidR="00150834" w:rsidRDefault="00150834" w:rsidP="00994431">
            <w:r>
              <w:t>Historical Trend/Style Analysis</w:t>
            </w:r>
          </w:p>
          <w:p w14:paraId="28930942" w14:textId="77777777" w:rsidR="00150834" w:rsidRDefault="00150834" w:rsidP="00994431">
            <w:r>
              <w:t>Risk Analysis: Value at Risk, Stress Test, Monte Carlo</w:t>
            </w:r>
          </w:p>
        </w:tc>
      </w:tr>
    </w:tbl>
    <w:p w14:paraId="6FFEBB57" w14:textId="77777777" w:rsidR="00E80C72" w:rsidRDefault="00E80C72" w:rsidP="00BF1E0C"/>
    <w:p w14:paraId="1A65ED1F" w14:textId="77777777" w:rsidR="0089308E" w:rsidRDefault="0089308E">
      <w:pPr>
        <w:spacing w:after="0" w:line="240" w:lineRule="auto"/>
      </w:pPr>
      <w:r>
        <w:br w:type="page"/>
      </w:r>
    </w:p>
    <w:p w14:paraId="5346831F" w14:textId="77777777" w:rsidR="005C0BD7" w:rsidRDefault="00C20F3A" w:rsidP="00BF1E0C">
      <w:pPr>
        <w:rPr>
          <w:b/>
        </w:rPr>
      </w:pPr>
      <w:r>
        <w:rPr>
          <w:b/>
        </w:rPr>
        <w:lastRenderedPageBreak/>
        <w:t>COMMODITY</w:t>
      </w:r>
    </w:p>
    <w:tbl>
      <w:tblPr>
        <w:tblStyle w:val="TableGrid"/>
        <w:tblW w:w="0" w:type="auto"/>
        <w:tblLook w:val="04A0" w:firstRow="1" w:lastRow="0" w:firstColumn="1" w:lastColumn="0" w:noHBand="0" w:noVBand="1"/>
      </w:tblPr>
      <w:tblGrid>
        <w:gridCol w:w="1362"/>
        <w:gridCol w:w="2767"/>
        <w:gridCol w:w="2881"/>
        <w:gridCol w:w="3060"/>
      </w:tblGrid>
      <w:tr w:rsidR="00C20F3A" w:rsidRPr="005C0BD7" w14:paraId="193CAF46" w14:textId="77777777" w:rsidTr="00994431">
        <w:tc>
          <w:tcPr>
            <w:tcW w:w="1368" w:type="dxa"/>
          </w:tcPr>
          <w:p w14:paraId="53211354" w14:textId="77777777" w:rsidR="00C20F3A" w:rsidRPr="005C0BD7" w:rsidRDefault="00C20F3A" w:rsidP="00994431">
            <w:pPr>
              <w:rPr>
                <w:b/>
              </w:rPr>
            </w:pPr>
            <w:r w:rsidRPr="005C0BD7">
              <w:rPr>
                <w:b/>
              </w:rPr>
              <w:t>Building Block</w:t>
            </w:r>
          </w:p>
        </w:tc>
        <w:tc>
          <w:tcPr>
            <w:tcW w:w="2829" w:type="dxa"/>
          </w:tcPr>
          <w:p w14:paraId="36EF59E7" w14:textId="77777777" w:rsidR="00C20F3A" w:rsidRPr="005C0BD7" w:rsidRDefault="00C20F3A" w:rsidP="00994431">
            <w:pPr>
              <w:rPr>
                <w:b/>
              </w:rPr>
            </w:pPr>
            <w:r w:rsidRPr="005C0BD7">
              <w:rPr>
                <w:b/>
              </w:rPr>
              <w:t>Description</w:t>
            </w:r>
          </w:p>
        </w:tc>
        <w:tc>
          <w:tcPr>
            <w:tcW w:w="2965" w:type="dxa"/>
          </w:tcPr>
          <w:p w14:paraId="1758CB56" w14:textId="77777777" w:rsidR="00C20F3A" w:rsidRPr="005C0BD7" w:rsidRDefault="00C20F3A" w:rsidP="00994431">
            <w:pPr>
              <w:rPr>
                <w:b/>
              </w:rPr>
            </w:pPr>
            <w:r>
              <w:rPr>
                <w:b/>
              </w:rPr>
              <w:t>Fields</w:t>
            </w:r>
          </w:p>
        </w:tc>
        <w:tc>
          <w:tcPr>
            <w:tcW w:w="3134" w:type="dxa"/>
          </w:tcPr>
          <w:p w14:paraId="447D629B" w14:textId="77777777" w:rsidR="00C20F3A" w:rsidRPr="005C0BD7" w:rsidRDefault="00C20F3A" w:rsidP="00994431">
            <w:pPr>
              <w:rPr>
                <w:b/>
              </w:rPr>
            </w:pPr>
            <w:r w:rsidRPr="005C0BD7">
              <w:rPr>
                <w:b/>
              </w:rPr>
              <w:t>Uses</w:t>
            </w:r>
            <w:r>
              <w:rPr>
                <w:b/>
              </w:rPr>
              <w:t xml:space="preserve"> for Investor</w:t>
            </w:r>
          </w:p>
        </w:tc>
      </w:tr>
      <w:tr w:rsidR="00C20F3A" w14:paraId="3307D8E3" w14:textId="77777777" w:rsidTr="00994431">
        <w:tc>
          <w:tcPr>
            <w:tcW w:w="1368" w:type="dxa"/>
          </w:tcPr>
          <w:p w14:paraId="481CD789" w14:textId="77777777" w:rsidR="00C20F3A" w:rsidRDefault="00C20F3A" w:rsidP="00994431">
            <w:r>
              <w:t>Asset allocation by commodity type - Long</w:t>
            </w:r>
          </w:p>
        </w:tc>
        <w:tc>
          <w:tcPr>
            <w:tcW w:w="2829" w:type="dxa"/>
          </w:tcPr>
          <w:p w14:paraId="15858B13" w14:textId="77777777" w:rsidR="00C20F3A" w:rsidRDefault="00C20F3A" w:rsidP="00994431">
            <w:r>
              <w:t xml:space="preserve">Allocation by commodity types (OIL, Gas, Metals – Base, Metals – Precious, </w:t>
            </w:r>
            <w:proofErr w:type="gramStart"/>
            <w:r>
              <w:t>Live Stock</w:t>
            </w:r>
            <w:proofErr w:type="gramEnd"/>
            <w:r>
              <w:t>, Cotton, FX)</w:t>
            </w:r>
          </w:p>
        </w:tc>
        <w:tc>
          <w:tcPr>
            <w:tcW w:w="2965" w:type="dxa"/>
          </w:tcPr>
          <w:p w14:paraId="3F350562" w14:textId="77777777" w:rsidR="00C20F3A" w:rsidRDefault="00C20F3A" w:rsidP="00994431">
            <w:r>
              <w:t xml:space="preserve">Asset Type </w:t>
            </w:r>
          </w:p>
          <w:p w14:paraId="701C6441" w14:textId="77777777" w:rsidR="00C20F3A" w:rsidRDefault="00C20F3A" w:rsidP="00994431">
            <w:r>
              <w:t xml:space="preserve">% </w:t>
            </w:r>
            <w:proofErr w:type="gramStart"/>
            <w:r>
              <w:t>of</w:t>
            </w:r>
            <w:proofErr w:type="gramEnd"/>
            <w:r>
              <w:t xml:space="preserve"> Equity</w:t>
            </w:r>
          </w:p>
          <w:p w14:paraId="0C3F01C9" w14:textId="77777777" w:rsidR="00C20F3A" w:rsidRDefault="00C20F3A" w:rsidP="00994431">
            <w:r>
              <w:t>Margin to Equity</w:t>
            </w:r>
          </w:p>
          <w:p w14:paraId="68342C59" w14:textId="77777777" w:rsidR="00C20F3A" w:rsidRDefault="00C20F3A" w:rsidP="00994431"/>
        </w:tc>
        <w:tc>
          <w:tcPr>
            <w:tcW w:w="3134" w:type="dxa"/>
          </w:tcPr>
          <w:p w14:paraId="3496323E" w14:textId="77777777" w:rsidR="00C20F3A" w:rsidRDefault="00C20F3A" w:rsidP="00C20F3A">
            <w:r>
              <w:t>Exposure Tracking,</w:t>
            </w:r>
          </w:p>
          <w:p w14:paraId="01123B2F" w14:textId="77777777" w:rsidR="00C20F3A" w:rsidRDefault="00C20F3A" w:rsidP="00C20F3A">
            <w:r>
              <w:t>Historical Trend/Style Analysis</w:t>
            </w:r>
          </w:p>
          <w:p w14:paraId="33753891" w14:textId="77777777" w:rsidR="00C20F3A" w:rsidRDefault="00C20F3A" w:rsidP="00C20F3A">
            <w:r>
              <w:t>Risk Analysis: Value at Risk, Stress Test, Monte Carlo</w:t>
            </w:r>
          </w:p>
        </w:tc>
      </w:tr>
      <w:tr w:rsidR="00C20F3A" w14:paraId="220A72CF" w14:textId="77777777" w:rsidTr="00C20F3A">
        <w:tc>
          <w:tcPr>
            <w:tcW w:w="1368" w:type="dxa"/>
          </w:tcPr>
          <w:p w14:paraId="4F184302" w14:textId="77777777" w:rsidR="00C20F3A" w:rsidRDefault="00C20F3A" w:rsidP="00994431">
            <w:r>
              <w:t>Asset allocation by commodity type - Short</w:t>
            </w:r>
          </w:p>
        </w:tc>
        <w:tc>
          <w:tcPr>
            <w:tcW w:w="2829" w:type="dxa"/>
          </w:tcPr>
          <w:p w14:paraId="70CF914E" w14:textId="77777777" w:rsidR="00C20F3A" w:rsidRDefault="00C20F3A" w:rsidP="00994431">
            <w:r>
              <w:t xml:space="preserve">Allocation by commodity types (OIL, Gas, Metals – Base, Metals – Precious, </w:t>
            </w:r>
            <w:proofErr w:type="gramStart"/>
            <w:r>
              <w:t>Live Stock</w:t>
            </w:r>
            <w:proofErr w:type="gramEnd"/>
            <w:r>
              <w:t>, Cotton, FX)</w:t>
            </w:r>
          </w:p>
        </w:tc>
        <w:tc>
          <w:tcPr>
            <w:tcW w:w="2965" w:type="dxa"/>
          </w:tcPr>
          <w:p w14:paraId="6606634E" w14:textId="77777777" w:rsidR="00C20F3A" w:rsidRDefault="00C20F3A" w:rsidP="00994431">
            <w:r>
              <w:t xml:space="preserve">Asset Type </w:t>
            </w:r>
          </w:p>
          <w:p w14:paraId="1E1C9ED9" w14:textId="77777777" w:rsidR="00C20F3A" w:rsidRDefault="00C20F3A" w:rsidP="00994431">
            <w:r>
              <w:t xml:space="preserve">% </w:t>
            </w:r>
            <w:proofErr w:type="gramStart"/>
            <w:r>
              <w:t>of</w:t>
            </w:r>
            <w:proofErr w:type="gramEnd"/>
            <w:r>
              <w:t xml:space="preserve"> Equity</w:t>
            </w:r>
          </w:p>
          <w:p w14:paraId="4B06B9CE" w14:textId="77777777" w:rsidR="00C20F3A" w:rsidRDefault="00C20F3A" w:rsidP="00994431">
            <w:r>
              <w:t>Margin to Equity</w:t>
            </w:r>
          </w:p>
          <w:p w14:paraId="5C12FEE8" w14:textId="77777777" w:rsidR="00C20F3A" w:rsidRDefault="00C20F3A" w:rsidP="00994431"/>
        </w:tc>
        <w:tc>
          <w:tcPr>
            <w:tcW w:w="3134" w:type="dxa"/>
          </w:tcPr>
          <w:p w14:paraId="5FC9F9C6" w14:textId="77777777" w:rsidR="00C20F3A" w:rsidRDefault="00C20F3A" w:rsidP="00C20F3A">
            <w:r>
              <w:t>Exposure Tracking,</w:t>
            </w:r>
          </w:p>
          <w:p w14:paraId="6280058E" w14:textId="77777777" w:rsidR="00C20F3A" w:rsidRDefault="00C20F3A" w:rsidP="00C20F3A">
            <w:r>
              <w:t>Historical Trend/Style Analysis</w:t>
            </w:r>
          </w:p>
          <w:p w14:paraId="6462169D" w14:textId="77777777" w:rsidR="00C20F3A" w:rsidRDefault="00C20F3A" w:rsidP="00C20F3A">
            <w:r>
              <w:t>Risk Analysis: Value at Risk, Stress Test, Monte Carlo</w:t>
            </w:r>
          </w:p>
        </w:tc>
      </w:tr>
    </w:tbl>
    <w:p w14:paraId="05E326A6" w14:textId="77777777" w:rsidR="00C20F3A" w:rsidRPr="00C20F3A" w:rsidRDefault="00C20F3A" w:rsidP="00BF1E0C">
      <w:pPr>
        <w:rPr>
          <w:b/>
        </w:rPr>
      </w:pPr>
    </w:p>
    <w:p w14:paraId="764E71AA" w14:textId="77777777" w:rsidR="001D4125" w:rsidRDefault="001D4125">
      <w:pPr>
        <w:spacing w:after="0" w:line="240" w:lineRule="auto"/>
      </w:pPr>
      <w:r>
        <w:br w:type="page"/>
      </w:r>
    </w:p>
    <w:p w14:paraId="3A6B6BE9" w14:textId="77777777" w:rsidR="00C20F3A" w:rsidRDefault="001D4125" w:rsidP="00BF1E0C">
      <w:pPr>
        <w:rPr>
          <w:b/>
        </w:rPr>
      </w:pPr>
      <w:r>
        <w:rPr>
          <w:b/>
        </w:rPr>
        <w:lastRenderedPageBreak/>
        <w:t>OPTIONS</w:t>
      </w:r>
    </w:p>
    <w:tbl>
      <w:tblPr>
        <w:tblStyle w:val="TableGrid"/>
        <w:tblW w:w="0" w:type="auto"/>
        <w:tblLook w:val="04A0" w:firstRow="1" w:lastRow="0" w:firstColumn="1" w:lastColumn="0" w:noHBand="0" w:noVBand="1"/>
      </w:tblPr>
      <w:tblGrid>
        <w:gridCol w:w="1357"/>
        <w:gridCol w:w="2766"/>
        <w:gridCol w:w="2888"/>
        <w:gridCol w:w="3059"/>
      </w:tblGrid>
      <w:tr w:rsidR="001D4125" w:rsidRPr="005C0BD7" w14:paraId="1045E443" w14:textId="77777777" w:rsidTr="00994431">
        <w:tc>
          <w:tcPr>
            <w:tcW w:w="1368" w:type="dxa"/>
          </w:tcPr>
          <w:p w14:paraId="4617ABE0" w14:textId="77777777" w:rsidR="001D4125" w:rsidRPr="005C0BD7" w:rsidRDefault="001D4125" w:rsidP="00994431">
            <w:pPr>
              <w:rPr>
                <w:b/>
              </w:rPr>
            </w:pPr>
            <w:r w:rsidRPr="005C0BD7">
              <w:rPr>
                <w:b/>
              </w:rPr>
              <w:t>Building Block</w:t>
            </w:r>
          </w:p>
        </w:tc>
        <w:tc>
          <w:tcPr>
            <w:tcW w:w="2829" w:type="dxa"/>
          </w:tcPr>
          <w:p w14:paraId="15298F3D" w14:textId="77777777" w:rsidR="001D4125" w:rsidRPr="005C0BD7" w:rsidRDefault="001D4125" w:rsidP="00994431">
            <w:pPr>
              <w:rPr>
                <w:b/>
              </w:rPr>
            </w:pPr>
            <w:r w:rsidRPr="005C0BD7">
              <w:rPr>
                <w:b/>
              </w:rPr>
              <w:t>Description</w:t>
            </w:r>
          </w:p>
        </w:tc>
        <w:tc>
          <w:tcPr>
            <w:tcW w:w="2965" w:type="dxa"/>
          </w:tcPr>
          <w:p w14:paraId="7668C8FC" w14:textId="77777777" w:rsidR="001D4125" w:rsidRPr="005C0BD7" w:rsidRDefault="001D4125" w:rsidP="00994431">
            <w:pPr>
              <w:rPr>
                <w:b/>
              </w:rPr>
            </w:pPr>
            <w:r>
              <w:rPr>
                <w:b/>
              </w:rPr>
              <w:t>Fields</w:t>
            </w:r>
          </w:p>
        </w:tc>
        <w:tc>
          <w:tcPr>
            <w:tcW w:w="3134" w:type="dxa"/>
          </w:tcPr>
          <w:p w14:paraId="2CF363BC" w14:textId="77777777" w:rsidR="001D4125" w:rsidRPr="005C0BD7" w:rsidRDefault="001D4125" w:rsidP="00994431">
            <w:pPr>
              <w:rPr>
                <w:b/>
              </w:rPr>
            </w:pPr>
            <w:r w:rsidRPr="005C0BD7">
              <w:rPr>
                <w:b/>
              </w:rPr>
              <w:t>Uses</w:t>
            </w:r>
            <w:r>
              <w:rPr>
                <w:b/>
              </w:rPr>
              <w:t xml:space="preserve"> for Investor</w:t>
            </w:r>
          </w:p>
        </w:tc>
      </w:tr>
      <w:tr w:rsidR="001D4125" w14:paraId="4159E2E4" w14:textId="77777777" w:rsidTr="00994431">
        <w:tc>
          <w:tcPr>
            <w:tcW w:w="1368" w:type="dxa"/>
          </w:tcPr>
          <w:p w14:paraId="6452A452" w14:textId="77777777" w:rsidR="001D4125" w:rsidRDefault="001D4125" w:rsidP="00994431">
            <w:r>
              <w:t>Equity Index Options</w:t>
            </w:r>
          </w:p>
        </w:tc>
        <w:tc>
          <w:tcPr>
            <w:tcW w:w="2829" w:type="dxa"/>
          </w:tcPr>
          <w:p w14:paraId="5176D0A7" w14:textId="77777777" w:rsidR="001D4125" w:rsidRDefault="001D4125" w:rsidP="00994431">
            <w:r>
              <w:t>Exposure to index options</w:t>
            </w:r>
          </w:p>
        </w:tc>
        <w:tc>
          <w:tcPr>
            <w:tcW w:w="2965" w:type="dxa"/>
          </w:tcPr>
          <w:p w14:paraId="562F81F7" w14:textId="77777777" w:rsidR="001D4125" w:rsidRDefault="001D4125" w:rsidP="00994431">
            <w:r>
              <w:t>Index</w:t>
            </w:r>
          </w:p>
          <w:p w14:paraId="7799BEC3" w14:textId="77777777" w:rsidR="001D4125" w:rsidRDefault="001D4125" w:rsidP="00994431">
            <w:r>
              <w:t>Call/Put</w:t>
            </w:r>
          </w:p>
          <w:p w14:paraId="60383D78" w14:textId="77777777" w:rsidR="001D4125" w:rsidRDefault="001D4125" w:rsidP="00994431">
            <w:r>
              <w:t>Delta</w:t>
            </w:r>
          </w:p>
          <w:p w14:paraId="689AFD88" w14:textId="77777777" w:rsidR="001D4125" w:rsidRDefault="001D4125" w:rsidP="00994431">
            <w:r>
              <w:t>Gamma</w:t>
            </w:r>
          </w:p>
        </w:tc>
        <w:tc>
          <w:tcPr>
            <w:tcW w:w="3134" w:type="dxa"/>
          </w:tcPr>
          <w:p w14:paraId="1CFD3B8D" w14:textId="77777777" w:rsidR="001D4125" w:rsidRDefault="001D4125" w:rsidP="00994431">
            <w:r>
              <w:t>Exposure Reporting</w:t>
            </w:r>
          </w:p>
          <w:p w14:paraId="39E24E57" w14:textId="77777777" w:rsidR="001D4125" w:rsidRDefault="001D4125" w:rsidP="00994431">
            <w:r>
              <w:t>Overlap Analysis</w:t>
            </w:r>
          </w:p>
          <w:p w14:paraId="39E42956" w14:textId="77777777" w:rsidR="001D4125" w:rsidRDefault="001D4125" w:rsidP="001D4125">
            <w:r>
              <w:t>Historical Trend/Style Analysis</w:t>
            </w:r>
          </w:p>
          <w:p w14:paraId="011297E5" w14:textId="77777777" w:rsidR="001D4125" w:rsidRDefault="001D4125" w:rsidP="00994431">
            <w:r>
              <w:t>Risk Analysis: Value at Risk, Stress Test, Monte Carlo</w:t>
            </w:r>
          </w:p>
        </w:tc>
      </w:tr>
      <w:tr w:rsidR="001D4125" w14:paraId="44FF22A1" w14:textId="77777777" w:rsidTr="00994431">
        <w:tc>
          <w:tcPr>
            <w:tcW w:w="1368" w:type="dxa"/>
          </w:tcPr>
          <w:p w14:paraId="30620F3C" w14:textId="77777777" w:rsidR="001D4125" w:rsidRDefault="001D4125" w:rsidP="00994431">
            <w:r>
              <w:t>Individual Equity Options</w:t>
            </w:r>
          </w:p>
        </w:tc>
        <w:tc>
          <w:tcPr>
            <w:tcW w:w="2829" w:type="dxa"/>
          </w:tcPr>
          <w:p w14:paraId="3CEF3DE6" w14:textId="77777777" w:rsidR="001D4125" w:rsidRDefault="001D4125" w:rsidP="00994431">
            <w:r>
              <w:t>Exposure to individual equity options</w:t>
            </w:r>
          </w:p>
        </w:tc>
        <w:tc>
          <w:tcPr>
            <w:tcW w:w="2965" w:type="dxa"/>
          </w:tcPr>
          <w:p w14:paraId="412676DF" w14:textId="77777777" w:rsidR="001D4125" w:rsidRDefault="001D4125" w:rsidP="00994431">
            <w:r>
              <w:t>Stock Identifier</w:t>
            </w:r>
          </w:p>
          <w:p w14:paraId="7BAB2C70" w14:textId="77777777" w:rsidR="001D4125" w:rsidRDefault="001D4125" w:rsidP="00994431">
            <w:r>
              <w:t>Call/Put</w:t>
            </w:r>
          </w:p>
          <w:p w14:paraId="70D4C650" w14:textId="77777777" w:rsidR="001D4125" w:rsidRDefault="001D4125" w:rsidP="00994431">
            <w:r>
              <w:t>Delta</w:t>
            </w:r>
          </w:p>
          <w:p w14:paraId="2DC8CE32" w14:textId="77777777" w:rsidR="001D4125" w:rsidRDefault="001D4125" w:rsidP="00994431">
            <w:r>
              <w:t>Gamma</w:t>
            </w:r>
          </w:p>
        </w:tc>
        <w:tc>
          <w:tcPr>
            <w:tcW w:w="3134" w:type="dxa"/>
          </w:tcPr>
          <w:p w14:paraId="0B9B13A2" w14:textId="77777777" w:rsidR="001D4125" w:rsidRDefault="001D4125" w:rsidP="00994431">
            <w:r>
              <w:t>Exposure Reporting</w:t>
            </w:r>
          </w:p>
          <w:p w14:paraId="574CDB8F" w14:textId="77777777" w:rsidR="001D4125" w:rsidRDefault="001D4125" w:rsidP="00994431">
            <w:r>
              <w:t>Overlap Analysis</w:t>
            </w:r>
          </w:p>
          <w:p w14:paraId="3A8FCF25" w14:textId="77777777" w:rsidR="001D4125" w:rsidRDefault="001D4125" w:rsidP="00994431">
            <w:r>
              <w:t>Historical Trend/Style Analysis</w:t>
            </w:r>
          </w:p>
          <w:p w14:paraId="3A0AA23F" w14:textId="77777777" w:rsidR="001D4125" w:rsidRDefault="001D4125" w:rsidP="00994431">
            <w:r>
              <w:t>Risk Analysis: Value at Risk, Stress Test, Monte Carlo</w:t>
            </w:r>
          </w:p>
        </w:tc>
      </w:tr>
      <w:tr w:rsidR="001D4125" w14:paraId="72E16B6C" w14:textId="77777777" w:rsidTr="001D4125">
        <w:tc>
          <w:tcPr>
            <w:tcW w:w="1368" w:type="dxa"/>
          </w:tcPr>
          <w:p w14:paraId="0AE048DE" w14:textId="77777777" w:rsidR="001D4125" w:rsidRDefault="0018667B" w:rsidP="00994431">
            <w:proofErr w:type="gramStart"/>
            <w:r>
              <w:t xml:space="preserve">Other </w:t>
            </w:r>
            <w:r w:rsidR="001D4125">
              <w:t xml:space="preserve"> Options</w:t>
            </w:r>
            <w:proofErr w:type="gramEnd"/>
          </w:p>
        </w:tc>
        <w:tc>
          <w:tcPr>
            <w:tcW w:w="2829" w:type="dxa"/>
          </w:tcPr>
          <w:p w14:paraId="59581FF9" w14:textId="77777777" w:rsidR="001D4125" w:rsidRDefault="001D4125" w:rsidP="0018667B">
            <w:r>
              <w:t xml:space="preserve">Exposure to </w:t>
            </w:r>
            <w:r w:rsidR="0018667B">
              <w:t xml:space="preserve">other </w:t>
            </w:r>
            <w:r>
              <w:t>options</w:t>
            </w:r>
          </w:p>
        </w:tc>
        <w:tc>
          <w:tcPr>
            <w:tcW w:w="2965" w:type="dxa"/>
          </w:tcPr>
          <w:p w14:paraId="24CF7D8F" w14:textId="77777777" w:rsidR="001D4125" w:rsidRDefault="0018667B" w:rsidP="00994431">
            <w:r>
              <w:t>Asset Identifier</w:t>
            </w:r>
          </w:p>
          <w:p w14:paraId="47109238" w14:textId="77777777" w:rsidR="001D4125" w:rsidRDefault="001D4125" w:rsidP="00994431">
            <w:r>
              <w:t>Call/Put</w:t>
            </w:r>
          </w:p>
          <w:p w14:paraId="61C63BD1" w14:textId="77777777" w:rsidR="001D4125" w:rsidRDefault="001D4125" w:rsidP="00994431">
            <w:r>
              <w:t>Delta</w:t>
            </w:r>
          </w:p>
          <w:p w14:paraId="0CF1BA17" w14:textId="77777777" w:rsidR="001D4125" w:rsidRDefault="001D4125" w:rsidP="00994431">
            <w:r>
              <w:t>Gamma</w:t>
            </w:r>
          </w:p>
        </w:tc>
        <w:tc>
          <w:tcPr>
            <w:tcW w:w="3134" w:type="dxa"/>
          </w:tcPr>
          <w:p w14:paraId="307CACD1" w14:textId="77777777" w:rsidR="001D4125" w:rsidRDefault="001D4125" w:rsidP="00994431">
            <w:r>
              <w:t>Exposure Reporting</w:t>
            </w:r>
          </w:p>
          <w:p w14:paraId="39FEAB10" w14:textId="77777777" w:rsidR="001D4125" w:rsidRDefault="001D4125" w:rsidP="00994431">
            <w:r>
              <w:t>Overlap Analysis</w:t>
            </w:r>
          </w:p>
          <w:p w14:paraId="79F5562E" w14:textId="77777777" w:rsidR="001D4125" w:rsidRDefault="001D4125" w:rsidP="00994431">
            <w:r>
              <w:t>Historical Trend/Style Analysis</w:t>
            </w:r>
          </w:p>
          <w:p w14:paraId="53F82CF4" w14:textId="77777777" w:rsidR="001D4125" w:rsidRDefault="001D4125" w:rsidP="00994431">
            <w:r>
              <w:t>Risk Analysis: Value at Risk, Stress Test, Monte Carlo</w:t>
            </w:r>
          </w:p>
        </w:tc>
      </w:tr>
    </w:tbl>
    <w:p w14:paraId="4CE305D2" w14:textId="77777777" w:rsidR="00C20F3A" w:rsidRDefault="00C20F3A" w:rsidP="00BF1E0C"/>
    <w:p w14:paraId="3C631F3B" w14:textId="77777777" w:rsidR="00464BBF" w:rsidRDefault="00464BBF">
      <w:pPr>
        <w:spacing w:after="0" w:line="240" w:lineRule="auto"/>
      </w:pPr>
      <w:r>
        <w:br w:type="page"/>
      </w:r>
    </w:p>
    <w:p w14:paraId="41B20163" w14:textId="77777777" w:rsidR="00C20F3A" w:rsidRDefault="00464BBF" w:rsidP="00BF1E0C">
      <w:r>
        <w:lastRenderedPageBreak/>
        <w:t>LEVERAGE</w:t>
      </w:r>
    </w:p>
    <w:tbl>
      <w:tblPr>
        <w:tblStyle w:val="TableGrid"/>
        <w:tblW w:w="0" w:type="auto"/>
        <w:tblLook w:val="04A0" w:firstRow="1" w:lastRow="0" w:firstColumn="1" w:lastColumn="0" w:noHBand="0" w:noVBand="1"/>
      </w:tblPr>
      <w:tblGrid>
        <w:gridCol w:w="1354"/>
        <w:gridCol w:w="2768"/>
        <w:gridCol w:w="2889"/>
        <w:gridCol w:w="3059"/>
      </w:tblGrid>
      <w:tr w:rsidR="00464BBF" w:rsidRPr="005C0BD7" w14:paraId="29FA3E70" w14:textId="77777777" w:rsidTr="00994431">
        <w:tc>
          <w:tcPr>
            <w:tcW w:w="1368" w:type="dxa"/>
          </w:tcPr>
          <w:p w14:paraId="64EBFC78" w14:textId="77777777" w:rsidR="00464BBF" w:rsidRPr="005C0BD7" w:rsidRDefault="00464BBF" w:rsidP="00994431">
            <w:pPr>
              <w:rPr>
                <w:b/>
              </w:rPr>
            </w:pPr>
            <w:r w:rsidRPr="005C0BD7">
              <w:rPr>
                <w:b/>
              </w:rPr>
              <w:t>Building Block</w:t>
            </w:r>
          </w:p>
        </w:tc>
        <w:tc>
          <w:tcPr>
            <w:tcW w:w="2829" w:type="dxa"/>
          </w:tcPr>
          <w:p w14:paraId="4C4168B3" w14:textId="77777777" w:rsidR="00464BBF" w:rsidRPr="005C0BD7" w:rsidRDefault="00464BBF" w:rsidP="00994431">
            <w:pPr>
              <w:rPr>
                <w:b/>
              </w:rPr>
            </w:pPr>
            <w:r w:rsidRPr="005C0BD7">
              <w:rPr>
                <w:b/>
              </w:rPr>
              <w:t>Description</w:t>
            </w:r>
          </w:p>
        </w:tc>
        <w:tc>
          <w:tcPr>
            <w:tcW w:w="2965" w:type="dxa"/>
          </w:tcPr>
          <w:p w14:paraId="045A8475" w14:textId="77777777" w:rsidR="00464BBF" w:rsidRPr="005C0BD7" w:rsidRDefault="00464BBF" w:rsidP="00994431">
            <w:pPr>
              <w:rPr>
                <w:b/>
              </w:rPr>
            </w:pPr>
            <w:r>
              <w:rPr>
                <w:b/>
              </w:rPr>
              <w:t>Fields</w:t>
            </w:r>
          </w:p>
        </w:tc>
        <w:tc>
          <w:tcPr>
            <w:tcW w:w="3134" w:type="dxa"/>
          </w:tcPr>
          <w:p w14:paraId="1F981F6C" w14:textId="77777777" w:rsidR="00464BBF" w:rsidRPr="005C0BD7" w:rsidRDefault="00464BBF" w:rsidP="00994431">
            <w:pPr>
              <w:rPr>
                <w:b/>
              </w:rPr>
            </w:pPr>
            <w:r w:rsidRPr="005C0BD7">
              <w:rPr>
                <w:b/>
              </w:rPr>
              <w:t>Uses</w:t>
            </w:r>
            <w:r>
              <w:rPr>
                <w:b/>
              </w:rPr>
              <w:t xml:space="preserve"> for Investor</w:t>
            </w:r>
          </w:p>
        </w:tc>
      </w:tr>
      <w:tr w:rsidR="00464BBF" w14:paraId="574FFAC4" w14:textId="77777777" w:rsidTr="00994431">
        <w:tc>
          <w:tcPr>
            <w:tcW w:w="1368" w:type="dxa"/>
          </w:tcPr>
          <w:p w14:paraId="003A1E1E" w14:textId="77777777" w:rsidR="00464BBF" w:rsidRDefault="00464BBF" w:rsidP="00994431">
            <w:r>
              <w:t>Total Leverage</w:t>
            </w:r>
          </w:p>
        </w:tc>
        <w:tc>
          <w:tcPr>
            <w:tcW w:w="2829" w:type="dxa"/>
          </w:tcPr>
          <w:p w14:paraId="50A206B1" w14:textId="77777777" w:rsidR="00464BBF" w:rsidRDefault="00464BBF" w:rsidP="00994431">
            <w:r>
              <w:t>Overall Leverage Information</w:t>
            </w:r>
          </w:p>
        </w:tc>
        <w:tc>
          <w:tcPr>
            <w:tcW w:w="2965" w:type="dxa"/>
          </w:tcPr>
          <w:p w14:paraId="72E78B11" w14:textId="77777777" w:rsidR="00464BBF" w:rsidRDefault="00464BBF" w:rsidP="00994431">
            <w:r>
              <w:t>% Long</w:t>
            </w:r>
          </w:p>
          <w:p w14:paraId="37CF0070" w14:textId="77777777" w:rsidR="00464BBF" w:rsidRDefault="00464BBF" w:rsidP="00994431">
            <w:r>
              <w:t>% Short</w:t>
            </w:r>
          </w:p>
          <w:p w14:paraId="1B50ACDF" w14:textId="77777777" w:rsidR="00464BBF" w:rsidRDefault="00464BBF" w:rsidP="00994431">
            <w:r>
              <w:t>% Net</w:t>
            </w:r>
          </w:p>
          <w:p w14:paraId="010494DF" w14:textId="77777777" w:rsidR="00464BBF" w:rsidRDefault="00464BBF" w:rsidP="00994431">
            <w:r>
              <w:t>% Gross</w:t>
            </w:r>
          </w:p>
        </w:tc>
        <w:tc>
          <w:tcPr>
            <w:tcW w:w="3134" w:type="dxa"/>
          </w:tcPr>
          <w:p w14:paraId="27CFE8C9" w14:textId="77777777" w:rsidR="00464BBF" w:rsidRDefault="00464BBF" w:rsidP="00994431">
            <w:r>
              <w:t>Exposure Reporting</w:t>
            </w:r>
          </w:p>
          <w:p w14:paraId="6E221C38" w14:textId="77777777" w:rsidR="00464BBF" w:rsidRDefault="00464BBF" w:rsidP="00994431">
            <w:r>
              <w:t>Peer Analysis</w:t>
            </w:r>
          </w:p>
          <w:p w14:paraId="2DA17456" w14:textId="77777777" w:rsidR="00464BBF" w:rsidRDefault="00464BBF" w:rsidP="00994431">
            <w:r>
              <w:t>Historical Trend Analysis</w:t>
            </w:r>
          </w:p>
          <w:p w14:paraId="25F8DD56" w14:textId="77777777" w:rsidR="00464BBF" w:rsidRDefault="00464BBF" w:rsidP="00994431">
            <w:r>
              <w:t>Monitoring</w:t>
            </w:r>
          </w:p>
        </w:tc>
      </w:tr>
      <w:tr w:rsidR="00464BBF" w14:paraId="2C7D8831" w14:textId="77777777" w:rsidTr="00994431">
        <w:tc>
          <w:tcPr>
            <w:tcW w:w="1368" w:type="dxa"/>
          </w:tcPr>
          <w:p w14:paraId="325418D5" w14:textId="77777777" w:rsidR="00464BBF" w:rsidRDefault="00464BBF" w:rsidP="00994431">
            <w:r>
              <w:t>Leverage Term</w:t>
            </w:r>
          </w:p>
        </w:tc>
        <w:tc>
          <w:tcPr>
            <w:tcW w:w="2829" w:type="dxa"/>
          </w:tcPr>
          <w:p w14:paraId="5F495EDF" w14:textId="77777777" w:rsidR="00464BBF" w:rsidRDefault="00464BBF" w:rsidP="00994431">
            <w:r>
              <w:t>Description of leverage structure</w:t>
            </w:r>
          </w:p>
          <w:p w14:paraId="1CC97365" w14:textId="77777777" w:rsidR="00464BBF" w:rsidRDefault="00464BBF" w:rsidP="00994431">
            <w:r>
              <w:t xml:space="preserve">Overnight, Week, Month,3 Moths, 1 Year, </w:t>
            </w:r>
            <w:proofErr w:type="gramStart"/>
            <w:r>
              <w:t>Longer</w:t>
            </w:r>
            <w:proofErr w:type="gramEnd"/>
          </w:p>
        </w:tc>
        <w:tc>
          <w:tcPr>
            <w:tcW w:w="2965" w:type="dxa"/>
          </w:tcPr>
          <w:p w14:paraId="775CB01F" w14:textId="77777777" w:rsidR="00464BBF" w:rsidRDefault="00464BBF" w:rsidP="00994431">
            <w:r>
              <w:t>Term Identifier</w:t>
            </w:r>
          </w:p>
          <w:p w14:paraId="39DD8B93" w14:textId="77777777" w:rsidR="00464BBF" w:rsidRDefault="00464BBF" w:rsidP="00994431">
            <w:r>
              <w:t>% Long</w:t>
            </w:r>
          </w:p>
          <w:p w14:paraId="0340590D" w14:textId="77777777" w:rsidR="00464BBF" w:rsidRDefault="00464BBF" w:rsidP="00994431"/>
        </w:tc>
        <w:tc>
          <w:tcPr>
            <w:tcW w:w="3134" w:type="dxa"/>
          </w:tcPr>
          <w:p w14:paraId="56A5089C" w14:textId="77777777" w:rsidR="00464BBF" w:rsidRDefault="00464BBF" w:rsidP="00994431">
            <w:r>
              <w:t>Asset Liability Analysis</w:t>
            </w:r>
          </w:p>
          <w:p w14:paraId="14482E0E" w14:textId="77777777" w:rsidR="00464BBF" w:rsidRDefault="00464BBF" w:rsidP="00994431">
            <w:r>
              <w:t>Monitoring</w:t>
            </w:r>
          </w:p>
          <w:p w14:paraId="301B905A" w14:textId="77777777" w:rsidR="00464BBF" w:rsidRDefault="00464BBF" w:rsidP="00994431"/>
        </w:tc>
      </w:tr>
    </w:tbl>
    <w:p w14:paraId="66DE7BD1" w14:textId="77777777" w:rsidR="00464BBF" w:rsidRDefault="00464BBF" w:rsidP="00BF1E0C"/>
    <w:p w14:paraId="0040EDBA" w14:textId="77777777" w:rsidR="00464BBF" w:rsidRDefault="00464BBF">
      <w:pPr>
        <w:spacing w:after="0" w:line="240" w:lineRule="auto"/>
      </w:pPr>
      <w:r>
        <w:br w:type="page"/>
      </w:r>
    </w:p>
    <w:p w14:paraId="55ECA228" w14:textId="77777777" w:rsidR="005C0BD7" w:rsidRDefault="00464BBF" w:rsidP="00BF1E0C">
      <w:r>
        <w:lastRenderedPageBreak/>
        <w:t>LIQUIDITY</w:t>
      </w:r>
    </w:p>
    <w:tbl>
      <w:tblPr>
        <w:tblStyle w:val="TableGrid"/>
        <w:tblW w:w="0" w:type="auto"/>
        <w:tblLook w:val="04A0" w:firstRow="1" w:lastRow="0" w:firstColumn="1" w:lastColumn="0" w:noHBand="0" w:noVBand="1"/>
      </w:tblPr>
      <w:tblGrid>
        <w:gridCol w:w="1362"/>
        <w:gridCol w:w="2766"/>
        <w:gridCol w:w="2886"/>
        <w:gridCol w:w="3056"/>
      </w:tblGrid>
      <w:tr w:rsidR="00464BBF" w:rsidRPr="005C0BD7" w14:paraId="46C01D49" w14:textId="77777777" w:rsidTr="00994431">
        <w:tc>
          <w:tcPr>
            <w:tcW w:w="1368" w:type="dxa"/>
          </w:tcPr>
          <w:p w14:paraId="7215AB1A" w14:textId="77777777" w:rsidR="00464BBF" w:rsidRPr="005C0BD7" w:rsidRDefault="00464BBF" w:rsidP="00994431">
            <w:pPr>
              <w:rPr>
                <w:b/>
              </w:rPr>
            </w:pPr>
            <w:r w:rsidRPr="005C0BD7">
              <w:rPr>
                <w:b/>
              </w:rPr>
              <w:t>Building Block</w:t>
            </w:r>
          </w:p>
        </w:tc>
        <w:tc>
          <w:tcPr>
            <w:tcW w:w="2829" w:type="dxa"/>
          </w:tcPr>
          <w:p w14:paraId="4451F31D" w14:textId="77777777" w:rsidR="00464BBF" w:rsidRPr="005C0BD7" w:rsidRDefault="00464BBF" w:rsidP="00994431">
            <w:pPr>
              <w:rPr>
                <w:b/>
              </w:rPr>
            </w:pPr>
            <w:r w:rsidRPr="005C0BD7">
              <w:rPr>
                <w:b/>
              </w:rPr>
              <w:t>Description</w:t>
            </w:r>
          </w:p>
        </w:tc>
        <w:tc>
          <w:tcPr>
            <w:tcW w:w="2965" w:type="dxa"/>
          </w:tcPr>
          <w:p w14:paraId="16E88451" w14:textId="77777777" w:rsidR="00464BBF" w:rsidRPr="005C0BD7" w:rsidRDefault="00464BBF" w:rsidP="00994431">
            <w:pPr>
              <w:rPr>
                <w:b/>
              </w:rPr>
            </w:pPr>
            <w:r>
              <w:rPr>
                <w:b/>
              </w:rPr>
              <w:t>Fields</w:t>
            </w:r>
          </w:p>
        </w:tc>
        <w:tc>
          <w:tcPr>
            <w:tcW w:w="3134" w:type="dxa"/>
          </w:tcPr>
          <w:p w14:paraId="7128D6AA" w14:textId="77777777" w:rsidR="00464BBF" w:rsidRPr="005C0BD7" w:rsidRDefault="00464BBF" w:rsidP="00994431">
            <w:pPr>
              <w:rPr>
                <w:b/>
              </w:rPr>
            </w:pPr>
            <w:r w:rsidRPr="005C0BD7">
              <w:rPr>
                <w:b/>
              </w:rPr>
              <w:t>Uses</w:t>
            </w:r>
            <w:r>
              <w:rPr>
                <w:b/>
              </w:rPr>
              <w:t xml:space="preserve"> for Investor</w:t>
            </w:r>
          </w:p>
        </w:tc>
      </w:tr>
      <w:tr w:rsidR="00464BBF" w14:paraId="2CC7977E" w14:textId="77777777" w:rsidTr="00994431">
        <w:tc>
          <w:tcPr>
            <w:tcW w:w="1368" w:type="dxa"/>
          </w:tcPr>
          <w:p w14:paraId="53305827" w14:textId="77777777" w:rsidR="00464BBF" w:rsidRDefault="00464BBF" w:rsidP="00994431">
            <w:r>
              <w:t xml:space="preserve">General </w:t>
            </w:r>
            <w:proofErr w:type="spellStart"/>
            <w:r>
              <w:t>Liquidty</w:t>
            </w:r>
            <w:proofErr w:type="spellEnd"/>
            <w:r>
              <w:t xml:space="preserve"> Breakdown - Long</w:t>
            </w:r>
          </w:p>
        </w:tc>
        <w:tc>
          <w:tcPr>
            <w:tcW w:w="2829" w:type="dxa"/>
          </w:tcPr>
          <w:p w14:paraId="00B2B9D2" w14:textId="77777777" w:rsidR="00464BBF" w:rsidRDefault="00464BBF" w:rsidP="00994431">
            <w:r>
              <w:t>Breakdown of assets by liquidity type (Tier 1, Tier2, Tier 3)</w:t>
            </w:r>
          </w:p>
        </w:tc>
        <w:tc>
          <w:tcPr>
            <w:tcW w:w="2965" w:type="dxa"/>
          </w:tcPr>
          <w:p w14:paraId="638F651C" w14:textId="77777777" w:rsidR="00464BBF" w:rsidRDefault="00464BBF" w:rsidP="00994431">
            <w:r>
              <w:t>Tier Identifier</w:t>
            </w:r>
          </w:p>
          <w:p w14:paraId="0F26C961" w14:textId="77777777" w:rsidR="00464BBF" w:rsidRDefault="00464BBF" w:rsidP="00994431">
            <w:r>
              <w:t>% Long Portfolio</w:t>
            </w:r>
          </w:p>
        </w:tc>
        <w:tc>
          <w:tcPr>
            <w:tcW w:w="3134" w:type="dxa"/>
          </w:tcPr>
          <w:p w14:paraId="5E0843E3" w14:textId="77777777" w:rsidR="00464BBF" w:rsidRDefault="00464BBF" w:rsidP="00994431">
            <w:r>
              <w:t>Peer Analysis</w:t>
            </w:r>
          </w:p>
          <w:p w14:paraId="7E213766" w14:textId="77777777" w:rsidR="00464BBF" w:rsidRDefault="00464BBF" w:rsidP="00994431">
            <w:r>
              <w:t>Asset Liability Mismatch</w:t>
            </w:r>
          </w:p>
          <w:p w14:paraId="5B573F63" w14:textId="77777777" w:rsidR="00464BBF" w:rsidRDefault="00464BBF" w:rsidP="00994431">
            <w:r>
              <w:t>Liquidity Stress Test</w:t>
            </w:r>
          </w:p>
          <w:p w14:paraId="3D279234" w14:textId="77777777" w:rsidR="00906BB5" w:rsidRDefault="00906BB5" w:rsidP="00906BB5">
            <w:r>
              <w:t>Historical Trend Analysis</w:t>
            </w:r>
          </w:p>
          <w:p w14:paraId="3220BB8B" w14:textId="77777777" w:rsidR="00464BBF" w:rsidRDefault="00464BBF" w:rsidP="00994431">
            <w:r>
              <w:t>Monitoring</w:t>
            </w:r>
          </w:p>
        </w:tc>
      </w:tr>
      <w:tr w:rsidR="00464BBF" w14:paraId="2906F2E5" w14:textId="77777777" w:rsidTr="00994431">
        <w:tc>
          <w:tcPr>
            <w:tcW w:w="1368" w:type="dxa"/>
          </w:tcPr>
          <w:p w14:paraId="000B8801" w14:textId="77777777" w:rsidR="00464BBF" w:rsidRDefault="00464BBF" w:rsidP="00464BBF">
            <w:r>
              <w:t xml:space="preserve">General </w:t>
            </w:r>
            <w:proofErr w:type="spellStart"/>
            <w:r>
              <w:t>Liquidty</w:t>
            </w:r>
            <w:proofErr w:type="spellEnd"/>
            <w:r>
              <w:t xml:space="preserve"> Breakdown - Short</w:t>
            </w:r>
          </w:p>
        </w:tc>
        <w:tc>
          <w:tcPr>
            <w:tcW w:w="2829" w:type="dxa"/>
          </w:tcPr>
          <w:p w14:paraId="556D4FED" w14:textId="77777777" w:rsidR="00464BBF" w:rsidRDefault="00464BBF" w:rsidP="00994431">
            <w:r>
              <w:t>Breakdown of assets by liquidity type (Tier 1, Tier2, Tier 3)</w:t>
            </w:r>
          </w:p>
        </w:tc>
        <w:tc>
          <w:tcPr>
            <w:tcW w:w="2965" w:type="dxa"/>
          </w:tcPr>
          <w:p w14:paraId="5DA00E77" w14:textId="77777777" w:rsidR="00464BBF" w:rsidRDefault="00464BBF" w:rsidP="00994431">
            <w:r>
              <w:t>Tier Identifier</w:t>
            </w:r>
          </w:p>
          <w:p w14:paraId="6057CAC3" w14:textId="77777777" w:rsidR="00464BBF" w:rsidRDefault="00464BBF" w:rsidP="00464BBF">
            <w:r>
              <w:t>% Short Portfolio</w:t>
            </w:r>
          </w:p>
        </w:tc>
        <w:tc>
          <w:tcPr>
            <w:tcW w:w="3134" w:type="dxa"/>
          </w:tcPr>
          <w:p w14:paraId="230A8B62" w14:textId="77777777" w:rsidR="00464BBF" w:rsidRDefault="00464BBF" w:rsidP="00994431">
            <w:r>
              <w:t>Peer Analysis</w:t>
            </w:r>
          </w:p>
          <w:p w14:paraId="669201B2" w14:textId="77777777" w:rsidR="00464BBF" w:rsidRDefault="00464BBF" w:rsidP="00994431">
            <w:r>
              <w:t>Asset Liability Mismatch</w:t>
            </w:r>
          </w:p>
          <w:p w14:paraId="0A57F45E" w14:textId="77777777" w:rsidR="00464BBF" w:rsidRDefault="00464BBF" w:rsidP="00994431">
            <w:r>
              <w:t>Liquidity Stress Test</w:t>
            </w:r>
          </w:p>
          <w:p w14:paraId="6B46606F" w14:textId="77777777" w:rsidR="00906BB5" w:rsidRDefault="00906BB5" w:rsidP="00906BB5">
            <w:r>
              <w:t>Historical Trend Analysis</w:t>
            </w:r>
          </w:p>
          <w:p w14:paraId="05EE7B90" w14:textId="77777777" w:rsidR="00464BBF" w:rsidRDefault="00464BBF" w:rsidP="00994431">
            <w:r>
              <w:t>Monitoring</w:t>
            </w:r>
          </w:p>
        </w:tc>
      </w:tr>
      <w:tr w:rsidR="00464BBF" w14:paraId="39D917CA" w14:textId="77777777" w:rsidTr="00994431">
        <w:tc>
          <w:tcPr>
            <w:tcW w:w="1368" w:type="dxa"/>
          </w:tcPr>
          <w:p w14:paraId="0AA0FBC8" w14:textId="77777777" w:rsidR="00464BBF" w:rsidRDefault="00464BBF" w:rsidP="00994431">
            <w:r>
              <w:t>Days to Trade - Long</w:t>
            </w:r>
          </w:p>
        </w:tc>
        <w:tc>
          <w:tcPr>
            <w:tcW w:w="2829" w:type="dxa"/>
          </w:tcPr>
          <w:p w14:paraId="5CE7F129" w14:textId="77777777" w:rsidR="00464BBF" w:rsidRDefault="00464BBF" w:rsidP="00994431">
            <w:r>
              <w:t xml:space="preserve">Breakdown of portfolio by liquidity (days to </w:t>
            </w:r>
            <w:proofErr w:type="gramStart"/>
            <w:r>
              <w:t>trade )</w:t>
            </w:r>
            <w:proofErr w:type="gramEnd"/>
            <w:r>
              <w:t xml:space="preserve"> profile</w:t>
            </w:r>
          </w:p>
          <w:p w14:paraId="491B9300" w14:textId="77777777" w:rsidR="00464BBF" w:rsidRDefault="00464BBF" w:rsidP="00994431">
            <w:r>
              <w:t xml:space="preserve">(1 Day, 5 Days, 1 Month, More) </w:t>
            </w:r>
          </w:p>
        </w:tc>
        <w:tc>
          <w:tcPr>
            <w:tcW w:w="2965" w:type="dxa"/>
          </w:tcPr>
          <w:p w14:paraId="41E3506D" w14:textId="77777777" w:rsidR="00464BBF" w:rsidRDefault="008549A4" w:rsidP="00994431">
            <w:r>
              <w:t>Period Identifier</w:t>
            </w:r>
          </w:p>
          <w:p w14:paraId="48912EE1" w14:textId="77777777" w:rsidR="00464BBF" w:rsidRDefault="00464BBF" w:rsidP="00906BB5">
            <w:r>
              <w:t xml:space="preserve">% </w:t>
            </w:r>
            <w:proofErr w:type="gramStart"/>
            <w:r>
              <w:t>of</w:t>
            </w:r>
            <w:proofErr w:type="gramEnd"/>
            <w:r>
              <w:t xml:space="preserve"> </w:t>
            </w:r>
            <w:r w:rsidR="00906BB5">
              <w:t>Long Portfolio</w:t>
            </w:r>
            <w:r>
              <w:t xml:space="preserve"> </w:t>
            </w:r>
          </w:p>
        </w:tc>
        <w:tc>
          <w:tcPr>
            <w:tcW w:w="3134" w:type="dxa"/>
          </w:tcPr>
          <w:p w14:paraId="04C039F2" w14:textId="77777777" w:rsidR="00464BBF" w:rsidRDefault="00906BB5" w:rsidP="00994431">
            <w:r>
              <w:t>Peer Analysis</w:t>
            </w:r>
          </w:p>
          <w:p w14:paraId="5D7BA1F9" w14:textId="77777777" w:rsidR="00906BB5" w:rsidRDefault="00906BB5" w:rsidP="00994431">
            <w:r>
              <w:t>Asset Liability Mismatch</w:t>
            </w:r>
          </w:p>
          <w:p w14:paraId="6B01BBF9" w14:textId="77777777" w:rsidR="00906BB5" w:rsidRDefault="00906BB5" w:rsidP="00994431">
            <w:r>
              <w:t>Liquidity Stress Test</w:t>
            </w:r>
          </w:p>
          <w:p w14:paraId="3C953C96" w14:textId="77777777" w:rsidR="00906BB5" w:rsidRDefault="00906BB5" w:rsidP="00994431">
            <w:r>
              <w:t>Historical Trend Analysis</w:t>
            </w:r>
          </w:p>
          <w:p w14:paraId="44422D85" w14:textId="77777777" w:rsidR="00906BB5" w:rsidRDefault="00906BB5" w:rsidP="00994431">
            <w:r>
              <w:t>Monitoring</w:t>
            </w:r>
          </w:p>
        </w:tc>
      </w:tr>
      <w:tr w:rsidR="00906BB5" w14:paraId="438FAE24" w14:textId="77777777" w:rsidTr="00906BB5">
        <w:tc>
          <w:tcPr>
            <w:tcW w:w="1368" w:type="dxa"/>
          </w:tcPr>
          <w:p w14:paraId="58727D5E" w14:textId="77777777" w:rsidR="00906BB5" w:rsidRDefault="00906BB5" w:rsidP="00906BB5">
            <w:r>
              <w:t>Days to Trade - Short</w:t>
            </w:r>
          </w:p>
        </w:tc>
        <w:tc>
          <w:tcPr>
            <w:tcW w:w="2829" w:type="dxa"/>
          </w:tcPr>
          <w:p w14:paraId="3B4068F3" w14:textId="77777777" w:rsidR="00906BB5" w:rsidRDefault="00906BB5" w:rsidP="00994431">
            <w:r>
              <w:t xml:space="preserve">Breakdown of portfolio by liquidity (days to </w:t>
            </w:r>
            <w:proofErr w:type="gramStart"/>
            <w:r>
              <w:t>trade )</w:t>
            </w:r>
            <w:proofErr w:type="gramEnd"/>
            <w:r>
              <w:t xml:space="preserve"> profile</w:t>
            </w:r>
          </w:p>
          <w:p w14:paraId="3106F809" w14:textId="77777777" w:rsidR="00906BB5" w:rsidRDefault="00906BB5" w:rsidP="00994431">
            <w:r>
              <w:t xml:space="preserve">(1 Day, 5 Days, 1 Month, More) </w:t>
            </w:r>
          </w:p>
        </w:tc>
        <w:tc>
          <w:tcPr>
            <w:tcW w:w="2965" w:type="dxa"/>
          </w:tcPr>
          <w:p w14:paraId="73664F3A" w14:textId="77777777" w:rsidR="00906BB5" w:rsidRDefault="008549A4" w:rsidP="00994431">
            <w:r>
              <w:t>Period Identifier</w:t>
            </w:r>
          </w:p>
          <w:p w14:paraId="36FA5BBB" w14:textId="77777777" w:rsidR="00906BB5" w:rsidRDefault="00906BB5" w:rsidP="00906BB5">
            <w:r>
              <w:t xml:space="preserve">% </w:t>
            </w:r>
            <w:proofErr w:type="gramStart"/>
            <w:r>
              <w:t>of</w:t>
            </w:r>
            <w:proofErr w:type="gramEnd"/>
            <w:r>
              <w:t xml:space="preserve"> Short Portfolio </w:t>
            </w:r>
          </w:p>
        </w:tc>
        <w:tc>
          <w:tcPr>
            <w:tcW w:w="3134" w:type="dxa"/>
          </w:tcPr>
          <w:p w14:paraId="3D9DF1EC" w14:textId="77777777" w:rsidR="00906BB5" w:rsidRDefault="00906BB5" w:rsidP="00994431">
            <w:r>
              <w:t>Peer Analysis</w:t>
            </w:r>
          </w:p>
          <w:p w14:paraId="6F56AE2B" w14:textId="77777777" w:rsidR="00906BB5" w:rsidRDefault="00906BB5" w:rsidP="00994431">
            <w:r>
              <w:t>Asset Liability Mismatch</w:t>
            </w:r>
          </w:p>
          <w:p w14:paraId="6B6493BE" w14:textId="77777777" w:rsidR="00906BB5" w:rsidRDefault="00906BB5" w:rsidP="00994431">
            <w:r>
              <w:t>Liquidity Stress Test</w:t>
            </w:r>
          </w:p>
          <w:p w14:paraId="0C84BE10" w14:textId="77777777" w:rsidR="00906BB5" w:rsidRDefault="00906BB5" w:rsidP="00994431">
            <w:r>
              <w:t>Historical Trend Analysis</w:t>
            </w:r>
          </w:p>
          <w:p w14:paraId="5B7C1DCA" w14:textId="77777777" w:rsidR="00906BB5" w:rsidRDefault="00906BB5" w:rsidP="00994431">
            <w:r>
              <w:t>Monitoring</w:t>
            </w:r>
          </w:p>
        </w:tc>
      </w:tr>
      <w:tr w:rsidR="00BA6C86" w14:paraId="08CF924E" w14:textId="77777777" w:rsidTr="00906BB5">
        <w:tc>
          <w:tcPr>
            <w:tcW w:w="1368" w:type="dxa"/>
          </w:tcPr>
          <w:p w14:paraId="7A187A29" w14:textId="77777777" w:rsidR="00BA6C86" w:rsidRDefault="00BA6C86" w:rsidP="00906BB5">
            <w:r>
              <w:t>% Side Pockets</w:t>
            </w:r>
          </w:p>
        </w:tc>
        <w:tc>
          <w:tcPr>
            <w:tcW w:w="2829" w:type="dxa"/>
          </w:tcPr>
          <w:p w14:paraId="181363FE" w14:textId="77777777" w:rsidR="00BA6C86" w:rsidRDefault="00BA6C86" w:rsidP="00994431">
            <w:r>
              <w:t xml:space="preserve">Information about percent of portfolio </w:t>
            </w:r>
            <w:proofErr w:type="gramStart"/>
            <w:r>
              <w:t>in side</w:t>
            </w:r>
            <w:proofErr w:type="gramEnd"/>
            <w:r>
              <w:t xml:space="preserve"> pockets</w:t>
            </w:r>
          </w:p>
        </w:tc>
        <w:tc>
          <w:tcPr>
            <w:tcW w:w="2965" w:type="dxa"/>
          </w:tcPr>
          <w:p w14:paraId="3AEFCCBC" w14:textId="77777777" w:rsidR="00BA6C86" w:rsidRDefault="00BA6C86" w:rsidP="00994431">
            <w:r>
              <w:t xml:space="preserve">% </w:t>
            </w:r>
            <w:proofErr w:type="gramStart"/>
            <w:r>
              <w:t>of</w:t>
            </w:r>
            <w:proofErr w:type="gramEnd"/>
            <w:r>
              <w:t xml:space="preserve"> Equity in Side Pockets</w:t>
            </w:r>
          </w:p>
        </w:tc>
        <w:tc>
          <w:tcPr>
            <w:tcW w:w="3134" w:type="dxa"/>
          </w:tcPr>
          <w:p w14:paraId="1C8E0A63" w14:textId="77777777" w:rsidR="00BA6C86" w:rsidRDefault="00BA6C86" w:rsidP="00994431">
            <w:r>
              <w:t>Asset Liability Mismatch</w:t>
            </w:r>
          </w:p>
          <w:p w14:paraId="10313363" w14:textId="77777777" w:rsidR="00BA6C86" w:rsidRDefault="00BA6C86" w:rsidP="00994431">
            <w:r>
              <w:t>Liquidity Stress Test</w:t>
            </w:r>
          </w:p>
          <w:p w14:paraId="4A8D1204" w14:textId="77777777" w:rsidR="00BA6C86" w:rsidRDefault="00BA6C86" w:rsidP="00994431">
            <w:r>
              <w:lastRenderedPageBreak/>
              <w:t>Peer Analysis</w:t>
            </w:r>
          </w:p>
          <w:p w14:paraId="20F8EE02" w14:textId="77777777" w:rsidR="00BA6C86" w:rsidRDefault="00BA6C86" w:rsidP="00994431">
            <w:r>
              <w:t>Monitoring</w:t>
            </w:r>
          </w:p>
        </w:tc>
      </w:tr>
      <w:tr w:rsidR="008549A4" w14:paraId="7FCE727E" w14:textId="77777777" w:rsidTr="00906BB5">
        <w:tc>
          <w:tcPr>
            <w:tcW w:w="1368" w:type="dxa"/>
          </w:tcPr>
          <w:p w14:paraId="1E2C6A11" w14:textId="77777777" w:rsidR="008549A4" w:rsidRDefault="008549A4" w:rsidP="00906BB5">
            <w:r>
              <w:lastRenderedPageBreak/>
              <w:t>Investor Liquidity</w:t>
            </w:r>
          </w:p>
        </w:tc>
        <w:tc>
          <w:tcPr>
            <w:tcW w:w="2829" w:type="dxa"/>
          </w:tcPr>
          <w:p w14:paraId="28EDDCB4" w14:textId="77777777" w:rsidR="008549A4" w:rsidRDefault="008549A4" w:rsidP="00994431">
            <w:r>
              <w:t>Breakdown of assets by Investor Liquidity Terms (</w:t>
            </w:r>
          </w:p>
          <w:p w14:paraId="4838A6A7" w14:textId="77777777" w:rsidR="008549A4" w:rsidRDefault="008549A4" w:rsidP="00994431">
            <w:r>
              <w:t>Daily, Week, 1 Month, 3 Months, Annual, More)</w:t>
            </w:r>
          </w:p>
        </w:tc>
        <w:tc>
          <w:tcPr>
            <w:tcW w:w="2965" w:type="dxa"/>
          </w:tcPr>
          <w:p w14:paraId="405E3686" w14:textId="77777777" w:rsidR="008549A4" w:rsidRDefault="008549A4" w:rsidP="00994431">
            <w:r>
              <w:t>Period Identifier</w:t>
            </w:r>
          </w:p>
          <w:p w14:paraId="795E950F" w14:textId="77777777" w:rsidR="008549A4" w:rsidRDefault="008549A4" w:rsidP="00994431">
            <w:r>
              <w:t>Percent of Investor Assets</w:t>
            </w:r>
          </w:p>
        </w:tc>
        <w:tc>
          <w:tcPr>
            <w:tcW w:w="3134" w:type="dxa"/>
          </w:tcPr>
          <w:p w14:paraId="3C894D3F" w14:textId="77777777" w:rsidR="008549A4" w:rsidRDefault="008549A4" w:rsidP="00994431">
            <w:r>
              <w:t>Asset Liability Mismatch</w:t>
            </w:r>
          </w:p>
          <w:p w14:paraId="7A6539D5" w14:textId="77777777" w:rsidR="008549A4" w:rsidRDefault="008549A4" w:rsidP="00994431">
            <w:r>
              <w:t>Liquidity Stress Test</w:t>
            </w:r>
          </w:p>
          <w:p w14:paraId="18689951" w14:textId="77777777" w:rsidR="008549A4" w:rsidRDefault="008549A4" w:rsidP="00994431">
            <w:r>
              <w:t>Monitoring</w:t>
            </w:r>
          </w:p>
        </w:tc>
      </w:tr>
    </w:tbl>
    <w:p w14:paraId="2E0B4336" w14:textId="77777777" w:rsidR="00464BBF" w:rsidRDefault="00464BBF" w:rsidP="00BF1E0C"/>
    <w:p w14:paraId="011E36C7" w14:textId="77777777" w:rsidR="00692F2E" w:rsidRDefault="00692F2E">
      <w:pPr>
        <w:spacing w:after="0" w:line="240" w:lineRule="auto"/>
      </w:pPr>
      <w:r>
        <w:br w:type="page"/>
      </w:r>
    </w:p>
    <w:p w14:paraId="7F2820B1" w14:textId="77777777" w:rsidR="0036189C" w:rsidRDefault="00692F2E" w:rsidP="00BF1E0C">
      <w:pPr>
        <w:rPr>
          <w:b/>
        </w:rPr>
      </w:pPr>
      <w:r>
        <w:rPr>
          <w:b/>
        </w:rPr>
        <w:lastRenderedPageBreak/>
        <w:t>LANGUAGE</w:t>
      </w:r>
    </w:p>
    <w:p w14:paraId="417B338B" w14:textId="77777777" w:rsidR="0058091B" w:rsidRDefault="00D04246" w:rsidP="00987CB5">
      <w:r>
        <w:t>Defining standard building blocks is o</w:t>
      </w:r>
      <w:r w:rsidR="00AA69A2">
        <w:t xml:space="preserve">nly the first step in building efficient information exchange between asset managers and investors. </w:t>
      </w:r>
      <w:r w:rsidR="008C6434">
        <w:t xml:space="preserve">For the exchange to be efficient there needs to be a standard way to send and receive this information.  In the past ten years </w:t>
      </w:r>
      <w:proofErr w:type="gramStart"/>
      <w:r w:rsidR="008C6434">
        <w:t>virtually</w:t>
      </w:r>
      <w:proofErr w:type="gramEnd"/>
      <w:r w:rsidR="008C6434">
        <w:t xml:space="preserve"> every industry adopted a variation of XML</w:t>
      </w:r>
      <w:r w:rsidR="008C6434">
        <w:rPr>
          <w:rStyle w:val="FootnoteReference"/>
        </w:rPr>
        <w:footnoteReference w:id="3"/>
      </w:r>
      <w:r w:rsidR="008C6434">
        <w:t xml:space="preserve"> to exchange information in standard way. One of the examples of XML use in financial industry is </w:t>
      </w:r>
      <w:proofErr w:type="spellStart"/>
      <w:r w:rsidR="008C6434">
        <w:t>FpML</w:t>
      </w:r>
      <w:proofErr w:type="spellEnd"/>
      <w:r w:rsidR="008C6434">
        <w:t xml:space="preserve">, a language for exchanging trade information. SEC has recently launched an initiative to convert information stored in its EDGAR system into XML format. We, therefore, propose the development of XML based language for exchanging transparency data. </w:t>
      </w:r>
      <w:r w:rsidR="00E22C4E">
        <w:t xml:space="preserve"> The proposed name of the new language is</w:t>
      </w:r>
      <w:r w:rsidR="00987CB5">
        <w:t xml:space="preserve"> Risk and Exposure Exchange Markup Language REXML. </w:t>
      </w:r>
    </w:p>
    <w:p w14:paraId="2E7529A6" w14:textId="77777777" w:rsidR="008E0C4B" w:rsidRDefault="00E22C4E">
      <w:pPr>
        <w:spacing w:after="0" w:line="240" w:lineRule="auto"/>
      </w:pPr>
      <w:r>
        <w:t xml:space="preserve"> </w:t>
      </w:r>
      <w:r w:rsidR="008E0C4B">
        <w:br w:type="page"/>
      </w:r>
    </w:p>
    <w:p w14:paraId="5FCB8A16" w14:textId="77777777" w:rsidR="008E0C4B" w:rsidRDefault="008E0C4B" w:rsidP="00BF1E0C"/>
    <w:p w14:paraId="1E7D6475" w14:textId="77777777" w:rsidR="000663A1" w:rsidRDefault="000663A1" w:rsidP="00312E9D">
      <w:pPr>
        <w:pStyle w:val="NoSpacing"/>
        <w:rPr>
          <w:rFonts w:asciiTheme="majorHAnsi" w:hAnsiTheme="majorHAnsi"/>
          <w:b/>
          <w:i/>
          <w:sz w:val="28"/>
          <w:szCs w:val="28"/>
        </w:rPr>
      </w:pPr>
      <w:r>
        <w:rPr>
          <w:rFonts w:asciiTheme="majorHAnsi" w:hAnsiTheme="majorHAnsi"/>
          <w:b/>
          <w:i/>
          <w:sz w:val="28"/>
          <w:szCs w:val="28"/>
        </w:rPr>
        <w:t xml:space="preserve">APPENDIX </w:t>
      </w:r>
      <w:r w:rsidR="00BB41B3">
        <w:rPr>
          <w:rFonts w:asciiTheme="majorHAnsi" w:hAnsiTheme="majorHAnsi"/>
          <w:b/>
          <w:i/>
          <w:sz w:val="28"/>
          <w:szCs w:val="28"/>
        </w:rPr>
        <w:t xml:space="preserve">  </w:t>
      </w:r>
      <w:r>
        <w:rPr>
          <w:rFonts w:asciiTheme="majorHAnsi" w:hAnsiTheme="majorHAnsi"/>
          <w:b/>
          <w:i/>
          <w:sz w:val="28"/>
          <w:szCs w:val="28"/>
        </w:rPr>
        <w:t xml:space="preserve">I – ANALYZING EQUITY LONG/SHORT FUND </w:t>
      </w:r>
    </w:p>
    <w:p w14:paraId="4B8396A6" w14:textId="77777777" w:rsidR="000663A1" w:rsidRDefault="000663A1" w:rsidP="00312E9D">
      <w:pPr>
        <w:pStyle w:val="NoSpacing"/>
        <w:rPr>
          <w:rFonts w:asciiTheme="majorHAnsi" w:hAnsiTheme="majorHAnsi"/>
          <w:b/>
          <w:i/>
          <w:sz w:val="28"/>
          <w:szCs w:val="28"/>
        </w:rPr>
      </w:pPr>
    </w:p>
    <w:p w14:paraId="12373659" w14:textId="77777777" w:rsidR="008F3A45" w:rsidRDefault="008F3A45" w:rsidP="00312E9D">
      <w:pPr>
        <w:pStyle w:val="NoSpacing"/>
        <w:rPr>
          <w:rFonts w:asciiTheme="majorHAnsi" w:hAnsiTheme="majorHAnsi"/>
          <w:b/>
          <w:i/>
          <w:sz w:val="28"/>
          <w:szCs w:val="28"/>
        </w:rPr>
      </w:pPr>
      <w:r>
        <w:rPr>
          <w:rFonts w:asciiTheme="majorHAnsi" w:hAnsiTheme="majorHAnsi"/>
          <w:b/>
          <w:i/>
          <w:sz w:val="28"/>
          <w:szCs w:val="28"/>
        </w:rPr>
        <w:t xml:space="preserve">Example: </w:t>
      </w:r>
    </w:p>
    <w:p w14:paraId="6B2CB837" w14:textId="77777777" w:rsidR="008F3A45" w:rsidRDefault="008F3A45" w:rsidP="00312E9D">
      <w:pPr>
        <w:pStyle w:val="NoSpacing"/>
        <w:rPr>
          <w:rFonts w:asciiTheme="majorHAnsi" w:hAnsiTheme="majorHAnsi"/>
          <w:b/>
          <w:i/>
          <w:sz w:val="28"/>
          <w:szCs w:val="28"/>
        </w:rPr>
      </w:pPr>
    </w:p>
    <w:p w14:paraId="2DA4058D" w14:textId="77777777" w:rsidR="00312E9D" w:rsidRPr="00A61F18" w:rsidRDefault="00312E9D" w:rsidP="00312E9D">
      <w:pPr>
        <w:pStyle w:val="NoSpacing"/>
        <w:rPr>
          <w:rFonts w:asciiTheme="majorHAnsi" w:hAnsiTheme="majorHAnsi"/>
          <w:b/>
          <w:i/>
          <w:sz w:val="28"/>
          <w:szCs w:val="28"/>
        </w:rPr>
      </w:pPr>
      <w:r w:rsidRPr="00A61F18">
        <w:rPr>
          <w:rFonts w:asciiTheme="majorHAnsi" w:hAnsiTheme="majorHAnsi"/>
          <w:b/>
          <w:i/>
          <w:sz w:val="28"/>
          <w:szCs w:val="28"/>
        </w:rPr>
        <w:t>Risk Analysis – Equity Long/Short Fund</w:t>
      </w:r>
    </w:p>
    <w:p w14:paraId="0875B789" w14:textId="77777777" w:rsidR="00312E9D" w:rsidRPr="00312E9D" w:rsidRDefault="00312E9D" w:rsidP="00312E9D">
      <w:pPr>
        <w:pStyle w:val="NoSpacing"/>
        <w:rPr>
          <w:rFonts w:asciiTheme="minorHAnsi" w:hAnsiTheme="minorHAnsi"/>
          <w:sz w:val="24"/>
          <w:szCs w:val="24"/>
        </w:rPr>
      </w:pPr>
    </w:p>
    <w:p w14:paraId="270EB6EC" w14:textId="77777777" w:rsidR="00312E9D" w:rsidRDefault="00312E9D" w:rsidP="00312E9D">
      <w:pPr>
        <w:pStyle w:val="NoSpacing"/>
        <w:rPr>
          <w:rFonts w:asciiTheme="minorHAnsi" w:hAnsiTheme="minorHAnsi"/>
          <w:sz w:val="24"/>
          <w:szCs w:val="24"/>
        </w:rPr>
      </w:pPr>
      <w:r w:rsidRPr="00312E9D">
        <w:rPr>
          <w:rFonts w:asciiTheme="minorHAnsi" w:hAnsiTheme="minorHAnsi"/>
          <w:sz w:val="24"/>
          <w:szCs w:val="24"/>
        </w:rPr>
        <w:t xml:space="preserve">An investor who has </w:t>
      </w:r>
      <w:proofErr w:type="gramStart"/>
      <w:r w:rsidRPr="00312E9D">
        <w:rPr>
          <w:rFonts w:asciiTheme="minorHAnsi" w:hAnsiTheme="minorHAnsi"/>
          <w:sz w:val="24"/>
          <w:szCs w:val="24"/>
        </w:rPr>
        <w:t xml:space="preserve">collected </w:t>
      </w:r>
      <w:r w:rsidR="00BB41B3">
        <w:rPr>
          <w:rFonts w:asciiTheme="minorHAnsi" w:hAnsiTheme="minorHAnsi"/>
          <w:sz w:val="24"/>
          <w:szCs w:val="24"/>
        </w:rPr>
        <w:t xml:space="preserve"> building</w:t>
      </w:r>
      <w:proofErr w:type="gramEnd"/>
      <w:r w:rsidR="00BB41B3">
        <w:rPr>
          <w:rFonts w:asciiTheme="minorHAnsi" w:hAnsiTheme="minorHAnsi"/>
          <w:sz w:val="24"/>
          <w:szCs w:val="24"/>
        </w:rPr>
        <w:t xml:space="preserve"> blocks for </w:t>
      </w:r>
      <w:r w:rsidR="005C0BD7">
        <w:rPr>
          <w:rFonts w:asciiTheme="minorHAnsi" w:hAnsiTheme="minorHAnsi"/>
          <w:sz w:val="24"/>
          <w:szCs w:val="24"/>
        </w:rPr>
        <w:t>Industry</w:t>
      </w:r>
      <w:r w:rsidRPr="00312E9D">
        <w:rPr>
          <w:rFonts w:asciiTheme="minorHAnsi" w:hAnsiTheme="minorHAnsi"/>
          <w:sz w:val="24"/>
          <w:szCs w:val="24"/>
        </w:rPr>
        <w:t xml:space="preserve"> exposures data from an Equity Long/Short hedge fund may use that information to estimate Value At Risk (</w:t>
      </w:r>
      <w:proofErr w:type="spellStart"/>
      <w:r w:rsidRPr="00312E9D">
        <w:rPr>
          <w:rFonts w:asciiTheme="minorHAnsi" w:hAnsiTheme="minorHAnsi"/>
          <w:sz w:val="24"/>
          <w:szCs w:val="24"/>
        </w:rPr>
        <w:t>VaR</w:t>
      </w:r>
      <w:proofErr w:type="spellEnd"/>
      <w:r w:rsidRPr="00312E9D">
        <w:rPr>
          <w:rFonts w:asciiTheme="minorHAnsi" w:hAnsiTheme="minorHAnsi"/>
          <w:sz w:val="24"/>
          <w:szCs w:val="24"/>
        </w:rPr>
        <w:t>) using the Monte Carlo techniques. To do that the investor needs to perform the following steps:</w:t>
      </w:r>
    </w:p>
    <w:p w14:paraId="7A8C3F64" w14:textId="77777777" w:rsidR="00A61F18" w:rsidRPr="00312E9D" w:rsidRDefault="00A61F18" w:rsidP="00312E9D">
      <w:pPr>
        <w:pStyle w:val="NoSpacing"/>
        <w:rPr>
          <w:rFonts w:asciiTheme="minorHAnsi" w:hAnsiTheme="minorHAnsi"/>
          <w:sz w:val="24"/>
          <w:szCs w:val="24"/>
        </w:rPr>
      </w:pPr>
    </w:p>
    <w:p w14:paraId="7168E05A" w14:textId="77777777" w:rsidR="00312E9D" w:rsidRPr="00A61F18" w:rsidRDefault="00312E9D" w:rsidP="00A61F18">
      <w:pPr>
        <w:pStyle w:val="NoSpacing"/>
        <w:numPr>
          <w:ilvl w:val="0"/>
          <w:numId w:val="10"/>
        </w:numPr>
        <w:spacing w:line="360" w:lineRule="auto"/>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 xml:space="preserve">Collect long/short exposure for each </w:t>
      </w:r>
      <w:r w:rsidR="005C0BD7">
        <w:rPr>
          <w:rFonts w:asciiTheme="minorHAnsi" w:hAnsiTheme="minorHAnsi"/>
          <w:b/>
          <w:color w:val="1D1B11" w:themeColor="background2" w:themeShade="1A"/>
          <w:sz w:val="24"/>
          <w:szCs w:val="24"/>
        </w:rPr>
        <w:t>Industry</w:t>
      </w:r>
      <w:r w:rsidRPr="00A61F18">
        <w:rPr>
          <w:rFonts w:asciiTheme="minorHAnsi" w:hAnsiTheme="minorHAnsi"/>
          <w:b/>
          <w:color w:val="1D1B11" w:themeColor="background2" w:themeShade="1A"/>
          <w:sz w:val="24"/>
          <w:szCs w:val="24"/>
        </w:rPr>
        <w:t xml:space="preserve">. </w:t>
      </w:r>
    </w:p>
    <w:p w14:paraId="5F73D4CE" w14:textId="77777777" w:rsidR="00312E9D" w:rsidRPr="00A61F18" w:rsidRDefault="00312E9D" w:rsidP="00A61F18">
      <w:pPr>
        <w:pStyle w:val="NoSpacing"/>
        <w:numPr>
          <w:ilvl w:val="0"/>
          <w:numId w:val="10"/>
        </w:numPr>
        <w:spacing w:line="360" w:lineRule="auto"/>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Make an assumption about correlation between long and short positions.</w:t>
      </w:r>
    </w:p>
    <w:p w14:paraId="79B7C344" w14:textId="77777777" w:rsidR="00312E9D" w:rsidRPr="00A61F18" w:rsidRDefault="00312E9D" w:rsidP="00A61F18">
      <w:pPr>
        <w:pStyle w:val="NoSpacing"/>
        <w:numPr>
          <w:ilvl w:val="0"/>
          <w:numId w:val="10"/>
        </w:numPr>
        <w:spacing w:line="360" w:lineRule="auto"/>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Simulate results.</w:t>
      </w:r>
    </w:p>
    <w:p w14:paraId="19CAFF24" w14:textId="77777777" w:rsidR="00312E9D" w:rsidRPr="00A61F18" w:rsidRDefault="00312E9D" w:rsidP="00A61F18">
      <w:pPr>
        <w:pStyle w:val="NoSpacing"/>
        <w:numPr>
          <w:ilvl w:val="0"/>
          <w:numId w:val="10"/>
        </w:numPr>
        <w:spacing w:line="360" w:lineRule="auto"/>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 xml:space="preserve">Calculate </w:t>
      </w:r>
      <w:proofErr w:type="spellStart"/>
      <w:r w:rsidRPr="00A61F18">
        <w:rPr>
          <w:rFonts w:asciiTheme="minorHAnsi" w:hAnsiTheme="minorHAnsi"/>
          <w:b/>
          <w:color w:val="1D1B11" w:themeColor="background2" w:themeShade="1A"/>
          <w:sz w:val="24"/>
          <w:szCs w:val="24"/>
        </w:rPr>
        <w:t>VaR.</w:t>
      </w:r>
      <w:proofErr w:type="spellEnd"/>
    </w:p>
    <w:p w14:paraId="1BAAD03D" w14:textId="77777777" w:rsidR="00312E9D" w:rsidRPr="00312E9D" w:rsidRDefault="00312E9D" w:rsidP="00312E9D">
      <w:pPr>
        <w:pStyle w:val="NoSpacing"/>
        <w:rPr>
          <w:rFonts w:asciiTheme="minorHAnsi" w:hAnsiTheme="minorHAnsi"/>
          <w:sz w:val="24"/>
          <w:szCs w:val="24"/>
        </w:rPr>
      </w:pPr>
    </w:p>
    <w:p w14:paraId="03036491" w14:textId="77777777" w:rsidR="00312E9D" w:rsidRPr="00896380" w:rsidRDefault="00312E9D" w:rsidP="00896380">
      <w:pPr>
        <w:pStyle w:val="NoSpacing"/>
        <w:spacing w:line="360" w:lineRule="auto"/>
        <w:rPr>
          <w:rFonts w:asciiTheme="majorHAnsi" w:hAnsiTheme="majorHAnsi"/>
          <w:b/>
          <w:i/>
          <w:sz w:val="28"/>
          <w:szCs w:val="28"/>
        </w:rPr>
      </w:pPr>
      <w:r w:rsidRPr="00896380">
        <w:rPr>
          <w:rFonts w:asciiTheme="majorHAnsi" w:hAnsiTheme="majorHAnsi"/>
          <w:b/>
          <w:i/>
          <w:sz w:val="28"/>
          <w:szCs w:val="28"/>
        </w:rPr>
        <w:t>Collect Long/Short Exposure</w:t>
      </w:r>
    </w:p>
    <w:p w14:paraId="3435CF31" w14:textId="77777777" w:rsidR="00312E9D" w:rsidRDefault="00312E9D" w:rsidP="001B65C1">
      <w:pPr>
        <w:pStyle w:val="NoSpacing"/>
        <w:rPr>
          <w:rFonts w:asciiTheme="minorHAnsi" w:hAnsiTheme="minorHAnsi"/>
          <w:sz w:val="24"/>
          <w:szCs w:val="24"/>
        </w:rPr>
      </w:pPr>
      <w:r w:rsidRPr="00312E9D">
        <w:rPr>
          <w:rFonts w:asciiTheme="minorHAnsi" w:hAnsiTheme="minorHAnsi"/>
          <w:sz w:val="24"/>
          <w:szCs w:val="24"/>
        </w:rPr>
        <w:t xml:space="preserve">Investor can </w:t>
      </w:r>
      <w:r w:rsidR="00BB41B3">
        <w:rPr>
          <w:rFonts w:asciiTheme="minorHAnsi" w:hAnsiTheme="minorHAnsi"/>
          <w:sz w:val="24"/>
          <w:szCs w:val="24"/>
        </w:rPr>
        <w:t xml:space="preserve">use Industry Exposure building blocks </w:t>
      </w:r>
      <w:r w:rsidRPr="00312E9D">
        <w:rPr>
          <w:rFonts w:asciiTheme="minorHAnsi" w:hAnsiTheme="minorHAnsi"/>
          <w:sz w:val="24"/>
          <w:szCs w:val="24"/>
        </w:rPr>
        <w:t>from each hedge fund</w:t>
      </w:r>
      <w:r w:rsidR="00BB41B3">
        <w:rPr>
          <w:rFonts w:asciiTheme="minorHAnsi" w:hAnsiTheme="minorHAnsi"/>
          <w:sz w:val="24"/>
          <w:szCs w:val="24"/>
        </w:rPr>
        <w:t>. Since the building blocks are ba</w:t>
      </w:r>
      <w:r w:rsidR="001B65C1">
        <w:rPr>
          <w:rFonts w:asciiTheme="minorHAnsi" w:hAnsiTheme="minorHAnsi"/>
          <w:sz w:val="24"/>
          <w:szCs w:val="24"/>
        </w:rPr>
        <w:t>sed on standard GIC scheme, they</w:t>
      </w:r>
      <w:r w:rsidR="00BB41B3">
        <w:rPr>
          <w:rFonts w:asciiTheme="minorHAnsi" w:hAnsiTheme="minorHAnsi"/>
          <w:sz w:val="24"/>
          <w:szCs w:val="24"/>
        </w:rPr>
        <w:t xml:space="preserve"> can easily </w:t>
      </w:r>
      <w:r w:rsidR="001B65C1">
        <w:rPr>
          <w:rFonts w:asciiTheme="minorHAnsi" w:hAnsiTheme="minorHAnsi"/>
          <w:sz w:val="24"/>
          <w:szCs w:val="24"/>
        </w:rPr>
        <w:t xml:space="preserve">be assigned </w:t>
      </w:r>
      <w:r w:rsidR="00BB41B3">
        <w:rPr>
          <w:rFonts w:asciiTheme="minorHAnsi" w:hAnsiTheme="minorHAnsi"/>
          <w:sz w:val="24"/>
          <w:szCs w:val="24"/>
        </w:rPr>
        <w:t xml:space="preserve">traded benchmarks to represent each industry exposure. Traded industry indexes or ETFs can be used. </w:t>
      </w:r>
      <w:r w:rsidRPr="00312E9D">
        <w:rPr>
          <w:rFonts w:asciiTheme="minorHAnsi" w:hAnsiTheme="minorHAnsi"/>
          <w:sz w:val="24"/>
          <w:szCs w:val="24"/>
        </w:rPr>
        <w:t xml:space="preserve"> In addition to </w:t>
      </w:r>
      <w:r w:rsidR="005C0BD7">
        <w:rPr>
          <w:rFonts w:asciiTheme="minorHAnsi" w:hAnsiTheme="minorHAnsi"/>
          <w:sz w:val="24"/>
          <w:szCs w:val="24"/>
        </w:rPr>
        <w:t>Industry</w:t>
      </w:r>
      <w:r w:rsidRPr="00312E9D">
        <w:rPr>
          <w:rFonts w:asciiTheme="minorHAnsi" w:hAnsiTheme="minorHAnsi"/>
          <w:sz w:val="24"/>
          <w:szCs w:val="24"/>
        </w:rPr>
        <w:t xml:space="preserve"> exposure, an investor needs to collect information about hedging used by the fund.</w:t>
      </w:r>
      <w:r w:rsidR="001B65C1">
        <w:rPr>
          <w:rFonts w:asciiTheme="minorHAnsi" w:hAnsiTheme="minorHAnsi"/>
          <w:sz w:val="24"/>
          <w:szCs w:val="24"/>
        </w:rPr>
        <w:t xml:space="preserve"> For example: Investor can use Equity Index options building blocks to get information about out of the money S&amp;P put options used by hedge fund.</w:t>
      </w:r>
    </w:p>
    <w:p w14:paraId="0F5A4D58" w14:textId="77777777" w:rsidR="00BB41B3" w:rsidRDefault="00BB41B3" w:rsidP="00312E9D">
      <w:pPr>
        <w:pStyle w:val="NoSpacing"/>
        <w:rPr>
          <w:rFonts w:asciiTheme="minorHAnsi" w:hAnsiTheme="minorHAnsi"/>
          <w:sz w:val="24"/>
          <w:szCs w:val="24"/>
        </w:rPr>
      </w:pPr>
    </w:p>
    <w:p w14:paraId="1655D87A" w14:textId="77777777" w:rsidR="00BB41B3" w:rsidRPr="00312E9D" w:rsidRDefault="00BB41B3" w:rsidP="00312E9D">
      <w:pPr>
        <w:pStyle w:val="NoSpacing"/>
        <w:rPr>
          <w:rFonts w:asciiTheme="minorHAnsi" w:hAnsiTheme="minorHAnsi"/>
          <w:sz w:val="24"/>
          <w:szCs w:val="24"/>
        </w:rPr>
      </w:pPr>
    </w:p>
    <w:p w14:paraId="765E79F0" w14:textId="77777777" w:rsidR="00312E9D" w:rsidRPr="00896380" w:rsidRDefault="00312E9D" w:rsidP="00896380">
      <w:pPr>
        <w:pStyle w:val="NoSpacing"/>
        <w:spacing w:line="360" w:lineRule="auto"/>
        <w:rPr>
          <w:rFonts w:asciiTheme="majorHAnsi" w:hAnsiTheme="majorHAnsi"/>
          <w:b/>
          <w:i/>
          <w:sz w:val="28"/>
          <w:szCs w:val="28"/>
        </w:rPr>
      </w:pPr>
      <w:r w:rsidRPr="00896380">
        <w:rPr>
          <w:rFonts w:asciiTheme="majorHAnsi" w:hAnsiTheme="majorHAnsi"/>
          <w:b/>
          <w:i/>
          <w:sz w:val="28"/>
          <w:szCs w:val="28"/>
        </w:rPr>
        <w:t>Make an Assumption About Correlation Between Long and Short Positions.</w:t>
      </w:r>
    </w:p>
    <w:p w14:paraId="2178E02E" w14:textId="77777777" w:rsidR="00312E9D" w:rsidRPr="001B65C1" w:rsidRDefault="00312E9D" w:rsidP="00312E9D">
      <w:pPr>
        <w:pStyle w:val="NoSpacing"/>
        <w:rPr>
          <w:rFonts w:asciiTheme="minorHAnsi" w:hAnsiTheme="minorHAnsi"/>
          <w:sz w:val="24"/>
          <w:szCs w:val="24"/>
        </w:rPr>
      </w:pPr>
      <w:r w:rsidRPr="00312E9D">
        <w:rPr>
          <w:rFonts w:asciiTheme="minorHAnsi" w:hAnsiTheme="minorHAnsi"/>
          <w:sz w:val="24"/>
          <w:szCs w:val="24"/>
        </w:rPr>
        <w:t xml:space="preserve">An investor must decide whether to use Net or Gross exposure when performing simulation. The decision depends on the relationship between the long and short positions. </w:t>
      </w:r>
      <w:r w:rsidR="001B65C1">
        <w:rPr>
          <w:rFonts w:asciiTheme="minorHAnsi" w:hAnsiTheme="minorHAnsi"/>
          <w:sz w:val="24"/>
          <w:szCs w:val="24"/>
        </w:rPr>
        <w:t xml:space="preserve">Investor can use </w:t>
      </w:r>
      <w:r w:rsidR="001B65C1">
        <w:rPr>
          <w:rFonts w:asciiTheme="minorHAnsi" w:hAnsiTheme="minorHAnsi"/>
          <w:i/>
          <w:sz w:val="24"/>
          <w:szCs w:val="24"/>
        </w:rPr>
        <w:t>Short Book Purpose</w:t>
      </w:r>
      <w:r w:rsidR="001B65C1">
        <w:rPr>
          <w:rFonts w:asciiTheme="minorHAnsi" w:hAnsiTheme="minorHAnsi"/>
          <w:sz w:val="24"/>
          <w:szCs w:val="24"/>
        </w:rPr>
        <w:t xml:space="preserve"> building block to get that information. </w:t>
      </w:r>
    </w:p>
    <w:p w14:paraId="353CFF15" w14:textId="77777777" w:rsidR="00BF1E0C" w:rsidRPr="00312E9D" w:rsidRDefault="00BF1E0C" w:rsidP="00312E9D">
      <w:pPr>
        <w:pStyle w:val="NoSpacing"/>
        <w:rPr>
          <w:rFonts w:asciiTheme="minorHAnsi" w:hAnsiTheme="minorHAnsi"/>
          <w:sz w:val="24"/>
          <w:szCs w:val="24"/>
        </w:rPr>
      </w:pPr>
    </w:p>
    <w:p w14:paraId="00128F37"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 xml:space="preserve">For the funds that use short positions as hedges for their long portfolios, net exposure may be an appropriate metric to use as the correlation between long and short </w:t>
      </w:r>
      <w:r w:rsidR="00BF1E0C">
        <w:rPr>
          <w:rFonts w:asciiTheme="minorHAnsi" w:hAnsiTheme="minorHAnsi"/>
          <w:sz w:val="24"/>
          <w:szCs w:val="24"/>
        </w:rPr>
        <w:t xml:space="preserve">position is assumed to be high. </w:t>
      </w:r>
      <w:r w:rsidRPr="00312E9D">
        <w:rPr>
          <w:rFonts w:asciiTheme="minorHAnsi" w:hAnsiTheme="minorHAnsi"/>
          <w:sz w:val="24"/>
          <w:szCs w:val="24"/>
        </w:rPr>
        <w:t xml:space="preserve">For the funds that take directional bet on either long or short side, the gross exposure may be the more appropriate measure. </w:t>
      </w:r>
    </w:p>
    <w:p w14:paraId="630CE880" w14:textId="77777777" w:rsidR="00BF1E0C" w:rsidRDefault="00BF1E0C" w:rsidP="00312E9D">
      <w:pPr>
        <w:pStyle w:val="NoSpacing"/>
        <w:rPr>
          <w:rFonts w:asciiTheme="minorHAnsi" w:hAnsiTheme="minorHAnsi"/>
          <w:sz w:val="24"/>
          <w:szCs w:val="24"/>
        </w:rPr>
      </w:pPr>
    </w:p>
    <w:p w14:paraId="01406733" w14:textId="77777777" w:rsidR="00312E9D" w:rsidRPr="001B65C1" w:rsidRDefault="00312E9D" w:rsidP="00312E9D">
      <w:pPr>
        <w:pStyle w:val="NoSpacing"/>
        <w:rPr>
          <w:rFonts w:asciiTheme="minorHAnsi" w:hAnsiTheme="minorHAnsi"/>
          <w:sz w:val="24"/>
          <w:szCs w:val="24"/>
        </w:rPr>
      </w:pPr>
      <w:r w:rsidRPr="00312E9D">
        <w:rPr>
          <w:rFonts w:asciiTheme="minorHAnsi" w:hAnsiTheme="minorHAnsi"/>
          <w:sz w:val="24"/>
          <w:szCs w:val="24"/>
        </w:rPr>
        <w:t>A more sophisticated model may make an assumption on the actual correlation between long and short positions. In this case, the investor</w:t>
      </w:r>
      <w:r w:rsidR="001B65C1">
        <w:rPr>
          <w:rFonts w:asciiTheme="minorHAnsi" w:hAnsiTheme="minorHAnsi"/>
          <w:sz w:val="24"/>
          <w:szCs w:val="24"/>
        </w:rPr>
        <w:t xml:space="preserve"> may use</w:t>
      </w:r>
      <w:r w:rsidRPr="00312E9D">
        <w:rPr>
          <w:rFonts w:asciiTheme="minorHAnsi" w:hAnsiTheme="minorHAnsi"/>
          <w:sz w:val="24"/>
          <w:szCs w:val="24"/>
        </w:rPr>
        <w:t xml:space="preserve"> </w:t>
      </w:r>
      <w:r w:rsidR="001B65C1">
        <w:rPr>
          <w:rFonts w:asciiTheme="minorHAnsi" w:hAnsiTheme="minorHAnsi"/>
          <w:i/>
          <w:sz w:val="24"/>
          <w:szCs w:val="24"/>
        </w:rPr>
        <w:t xml:space="preserve">Correlation Long/Short </w:t>
      </w:r>
      <w:r w:rsidR="001B65C1">
        <w:rPr>
          <w:rFonts w:asciiTheme="minorHAnsi" w:hAnsiTheme="minorHAnsi"/>
          <w:sz w:val="24"/>
          <w:szCs w:val="24"/>
        </w:rPr>
        <w:t>building block to construct a better correlation/covariance matrix.</w:t>
      </w:r>
    </w:p>
    <w:p w14:paraId="1EC3B179" w14:textId="77777777" w:rsidR="00312E9D" w:rsidRPr="00312E9D" w:rsidRDefault="00312E9D" w:rsidP="00312E9D">
      <w:pPr>
        <w:pStyle w:val="NoSpacing"/>
        <w:rPr>
          <w:rFonts w:asciiTheme="minorHAnsi" w:hAnsiTheme="minorHAnsi"/>
          <w:sz w:val="24"/>
          <w:szCs w:val="24"/>
        </w:rPr>
      </w:pPr>
    </w:p>
    <w:p w14:paraId="547C2D4C" w14:textId="77777777" w:rsidR="00312E9D" w:rsidRPr="00312E9D" w:rsidRDefault="00312E9D" w:rsidP="00896380">
      <w:pPr>
        <w:pStyle w:val="NoSpacing"/>
        <w:spacing w:line="360" w:lineRule="auto"/>
        <w:rPr>
          <w:rFonts w:asciiTheme="minorHAnsi" w:hAnsiTheme="minorHAnsi"/>
          <w:sz w:val="24"/>
          <w:szCs w:val="24"/>
          <w:u w:val="single"/>
        </w:rPr>
      </w:pPr>
      <w:r w:rsidRPr="00896380">
        <w:rPr>
          <w:rFonts w:asciiTheme="majorHAnsi" w:hAnsiTheme="majorHAnsi"/>
          <w:b/>
          <w:i/>
          <w:sz w:val="28"/>
          <w:szCs w:val="28"/>
        </w:rPr>
        <w:t>Simulate Results</w:t>
      </w:r>
    </w:p>
    <w:p w14:paraId="3AE2A6BF"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Historical track records of the proxy ETF, or indexes assigned in Step 1 may be used to estimate covariance matrix and expected returns. The information then can be used to simulate performance on either a daily, weekly or monthly basis. Different models can be used to perform simulation. In the simplest form, the multi-variate normal distribution may be used to generate return data. Since normal distribution may not be appropriate for capturing tail behavior, different distributions (</w:t>
      </w:r>
      <w:proofErr w:type="gramStart"/>
      <w:r w:rsidRPr="00312E9D">
        <w:rPr>
          <w:rFonts w:asciiTheme="minorHAnsi" w:hAnsiTheme="minorHAnsi"/>
          <w:sz w:val="24"/>
          <w:szCs w:val="24"/>
        </w:rPr>
        <w:t>e.g.</w:t>
      </w:r>
      <w:proofErr w:type="gramEnd"/>
      <w:r w:rsidRPr="00312E9D">
        <w:rPr>
          <w:rFonts w:asciiTheme="minorHAnsi" w:hAnsiTheme="minorHAnsi"/>
          <w:sz w:val="24"/>
          <w:szCs w:val="24"/>
        </w:rPr>
        <w:t xml:space="preserve"> student-T, extreme value) may be used to simulate the return data. Copulas may be used to preserve the desired correlation structure. </w:t>
      </w:r>
    </w:p>
    <w:p w14:paraId="2423BF5C" w14:textId="77777777" w:rsidR="00896380" w:rsidRDefault="00896380" w:rsidP="00312E9D">
      <w:pPr>
        <w:pStyle w:val="NoSpacing"/>
        <w:rPr>
          <w:rFonts w:asciiTheme="minorHAnsi" w:hAnsiTheme="minorHAnsi"/>
          <w:sz w:val="24"/>
          <w:szCs w:val="24"/>
        </w:rPr>
      </w:pPr>
    </w:p>
    <w:p w14:paraId="0A70FB53"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Once the returns are simulated, Value at Risk as well as other risk statistics can be easily calculated by examining the properties of distribution of the generated returns.</w:t>
      </w:r>
    </w:p>
    <w:p w14:paraId="2B665CE5" w14:textId="77777777" w:rsidR="00312E9D" w:rsidRPr="00312E9D" w:rsidRDefault="00312E9D" w:rsidP="00312E9D">
      <w:pPr>
        <w:pStyle w:val="NoSpacing"/>
        <w:rPr>
          <w:rFonts w:asciiTheme="minorHAnsi" w:hAnsiTheme="minorHAnsi"/>
          <w:sz w:val="24"/>
          <w:szCs w:val="24"/>
        </w:rPr>
      </w:pPr>
    </w:p>
    <w:p w14:paraId="11068A72" w14:textId="77777777" w:rsidR="00312E9D" w:rsidRPr="00896380" w:rsidRDefault="00312E9D" w:rsidP="00896380">
      <w:pPr>
        <w:pStyle w:val="NoSpacing"/>
        <w:spacing w:line="360" w:lineRule="auto"/>
        <w:rPr>
          <w:rFonts w:asciiTheme="majorHAnsi" w:hAnsiTheme="majorHAnsi"/>
          <w:b/>
          <w:i/>
          <w:sz w:val="28"/>
          <w:szCs w:val="28"/>
        </w:rPr>
      </w:pPr>
      <w:r w:rsidRPr="00896380">
        <w:rPr>
          <w:rFonts w:asciiTheme="majorHAnsi" w:hAnsiTheme="majorHAnsi"/>
          <w:b/>
          <w:i/>
          <w:sz w:val="28"/>
          <w:szCs w:val="28"/>
        </w:rPr>
        <w:t>Conclusion</w:t>
      </w:r>
    </w:p>
    <w:p w14:paraId="42F9F54E" w14:textId="77777777" w:rsidR="00312E9D" w:rsidRDefault="00312E9D" w:rsidP="00312E9D">
      <w:pPr>
        <w:pStyle w:val="NoSpacing"/>
        <w:rPr>
          <w:rFonts w:asciiTheme="minorHAnsi" w:hAnsiTheme="minorHAnsi"/>
          <w:sz w:val="24"/>
          <w:szCs w:val="24"/>
        </w:rPr>
      </w:pPr>
      <w:r w:rsidRPr="00312E9D">
        <w:rPr>
          <w:rFonts w:asciiTheme="minorHAnsi" w:hAnsiTheme="minorHAnsi"/>
          <w:sz w:val="24"/>
          <w:szCs w:val="24"/>
        </w:rPr>
        <w:t>We have presented our views on the appropriate use of hedge fund transparency as well as what level of it should be required from hedge fund managers. While we believe that full transparency should not be required and may actually be detrimental to investors, we support the effort to improve reporting standards across the hedge fund industry.</w:t>
      </w:r>
    </w:p>
    <w:p w14:paraId="0A448C87" w14:textId="77777777" w:rsidR="00987CB5" w:rsidRPr="00155BE7" w:rsidRDefault="00987CB5" w:rsidP="00987CB5">
      <w:pPr>
        <w:rPr>
          <w:b/>
        </w:rPr>
      </w:pPr>
    </w:p>
    <w:p w14:paraId="02CFCCB2" w14:textId="77777777" w:rsidR="00987CB5" w:rsidRPr="00155BE7" w:rsidRDefault="00987CB5" w:rsidP="00987CB5">
      <w:pPr>
        <w:rPr>
          <w:b/>
        </w:rPr>
      </w:pPr>
      <w:r w:rsidRPr="00155BE7">
        <w:rPr>
          <w:b/>
        </w:rPr>
        <w:t>NEXT STEPS</w:t>
      </w:r>
    </w:p>
    <w:p w14:paraId="78EC7E3C" w14:textId="77777777" w:rsidR="00987CB5" w:rsidRDefault="00987CB5" w:rsidP="00987CB5">
      <w:pPr>
        <w:spacing w:after="0" w:line="240" w:lineRule="auto"/>
      </w:pPr>
      <w:r>
        <w:t xml:space="preserve">Risk-AI, along with our partners (New Legacy, et al) is launching the initiative to establish Transparency Reporting standards (using our Building Blocks methodology) and standard reporting mechanism via REXML.  We encourage both institutional investors and asset managers to contact us at </w:t>
      </w:r>
      <w:hyperlink r:id="rId8" w:history="1">
        <w:r w:rsidRPr="007A486C">
          <w:rPr>
            <w:rStyle w:val="Hyperlink"/>
          </w:rPr>
          <w:t>transparency@risk-ai.com</w:t>
        </w:r>
      </w:hyperlink>
      <w:r>
        <w:t xml:space="preserve">. </w:t>
      </w:r>
    </w:p>
    <w:p w14:paraId="23B3BF22" w14:textId="77777777" w:rsidR="00987CB5" w:rsidRPr="00312E9D" w:rsidRDefault="00987CB5" w:rsidP="00312E9D">
      <w:pPr>
        <w:pStyle w:val="NoSpacing"/>
        <w:rPr>
          <w:rFonts w:asciiTheme="minorHAnsi" w:hAnsiTheme="minorHAnsi"/>
          <w:sz w:val="24"/>
          <w:szCs w:val="24"/>
        </w:rPr>
      </w:pPr>
    </w:p>
    <w:p w14:paraId="41B84528"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 xml:space="preserve">We look forward to working to discussing these issues and working with other industry professionals. Please visit our website at </w:t>
      </w:r>
      <w:hyperlink r:id="rId9" w:history="1">
        <w:r w:rsidRPr="00312E9D">
          <w:rPr>
            <w:rStyle w:val="Hyperlink"/>
            <w:rFonts w:asciiTheme="minorHAnsi" w:hAnsiTheme="minorHAnsi"/>
            <w:sz w:val="24"/>
            <w:szCs w:val="24"/>
          </w:rPr>
          <w:t>http://www.HedgeFundRiskMonitor.com</w:t>
        </w:r>
      </w:hyperlink>
      <w:r w:rsidRPr="00312E9D">
        <w:rPr>
          <w:rFonts w:asciiTheme="minorHAnsi" w:hAnsiTheme="minorHAnsi"/>
          <w:sz w:val="24"/>
          <w:szCs w:val="24"/>
        </w:rPr>
        <w:t xml:space="preserve"> to read our other published articles and feel free to contact us at </w:t>
      </w:r>
      <w:hyperlink r:id="rId10" w:history="1">
        <w:r w:rsidRPr="00312E9D">
          <w:rPr>
            <w:rStyle w:val="Hyperlink"/>
            <w:rFonts w:asciiTheme="minorHAnsi" w:hAnsiTheme="minorHAnsi"/>
            <w:sz w:val="24"/>
            <w:szCs w:val="24"/>
          </w:rPr>
          <w:t>themonitor@risk-ai.com</w:t>
        </w:r>
      </w:hyperlink>
      <w:r w:rsidRPr="00312E9D">
        <w:rPr>
          <w:rFonts w:asciiTheme="minorHAnsi" w:hAnsiTheme="minorHAnsi"/>
          <w:sz w:val="24"/>
          <w:szCs w:val="24"/>
        </w:rPr>
        <w:t xml:space="preserve"> . </w:t>
      </w:r>
    </w:p>
    <w:p w14:paraId="5541E626" w14:textId="77777777" w:rsidR="00896380" w:rsidRDefault="00896380" w:rsidP="00896380">
      <w:pPr>
        <w:rPr>
          <w:rStyle w:val="Strong"/>
          <w:rFonts w:asciiTheme="minorHAnsi" w:hAnsiTheme="minorHAnsi" w:cs="Arial"/>
          <w:sz w:val="24"/>
          <w:szCs w:val="24"/>
        </w:rPr>
      </w:pPr>
    </w:p>
    <w:p w14:paraId="5C2718BE" w14:textId="77777777" w:rsidR="00054632" w:rsidRPr="00312E9D" w:rsidRDefault="00312E9D" w:rsidP="00896380">
      <w:pPr>
        <w:rPr>
          <w:rFonts w:asciiTheme="minorHAnsi" w:hAnsiTheme="minorHAnsi"/>
          <w:sz w:val="24"/>
          <w:szCs w:val="24"/>
        </w:rPr>
      </w:pPr>
      <w:r w:rsidRPr="00896380">
        <w:rPr>
          <w:rStyle w:val="Strong"/>
          <w:rFonts w:asciiTheme="minorHAnsi" w:hAnsiTheme="minorHAnsi" w:cs="Arial"/>
          <w:sz w:val="28"/>
          <w:szCs w:val="28"/>
        </w:rPr>
        <w:t>Aleksey Matiychenko, CFA, FRM, CAIA</w:t>
      </w:r>
      <w:r w:rsidRPr="00896380">
        <w:rPr>
          <w:rFonts w:asciiTheme="minorHAnsi" w:hAnsiTheme="minorHAnsi" w:cs="Arial"/>
          <w:i/>
          <w:sz w:val="28"/>
          <w:szCs w:val="28"/>
        </w:rPr>
        <w:br/>
      </w:r>
      <w:r w:rsidRPr="00312E9D">
        <w:rPr>
          <w:rStyle w:val="Emphasis"/>
          <w:rFonts w:asciiTheme="minorHAnsi" w:hAnsiTheme="minorHAnsi" w:cs="Arial"/>
          <w:sz w:val="24"/>
          <w:szCs w:val="24"/>
        </w:rPr>
        <w:t>Senior Partner</w:t>
      </w:r>
      <w:r w:rsidR="00896380">
        <w:rPr>
          <w:rStyle w:val="Emphasis"/>
          <w:rFonts w:asciiTheme="minorHAnsi" w:hAnsiTheme="minorHAnsi" w:cs="Arial"/>
          <w:sz w:val="24"/>
          <w:szCs w:val="24"/>
        </w:rPr>
        <w:t>&amp;</w:t>
      </w:r>
      <w:r w:rsidRPr="00312E9D">
        <w:rPr>
          <w:rStyle w:val="Emphasis"/>
          <w:rFonts w:asciiTheme="minorHAnsi" w:hAnsiTheme="minorHAnsi" w:cs="Arial"/>
          <w:sz w:val="24"/>
          <w:szCs w:val="24"/>
        </w:rPr>
        <w:t xml:space="preserve"> CEO</w:t>
      </w:r>
      <w:r w:rsidR="00896380">
        <w:rPr>
          <w:rStyle w:val="Emphasis"/>
          <w:rFonts w:asciiTheme="minorHAnsi" w:hAnsiTheme="minorHAnsi" w:cs="Arial"/>
          <w:sz w:val="24"/>
          <w:szCs w:val="24"/>
        </w:rPr>
        <w:t xml:space="preserve"> </w:t>
      </w:r>
      <w:r w:rsidR="00896380" w:rsidRPr="00896380">
        <w:rPr>
          <w:rStyle w:val="Emphasis"/>
          <w:rFonts w:asciiTheme="minorHAnsi" w:hAnsiTheme="minorHAnsi" w:cs="Arial"/>
          <w:i w:val="0"/>
          <w:sz w:val="24"/>
          <w:szCs w:val="24"/>
        </w:rPr>
        <w:t>|</w:t>
      </w:r>
      <w:r w:rsidR="00896380">
        <w:rPr>
          <w:rStyle w:val="Emphasis"/>
          <w:rFonts w:asciiTheme="minorHAnsi" w:hAnsiTheme="minorHAnsi" w:cs="Arial"/>
          <w:i w:val="0"/>
          <w:sz w:val="24"/>
          <w:szCs w:val="24"/>
        </w:rPr>
        <w:t xml:space="preserve"> </w:t>
      </w:r>
      <w:r w:rsidR="00896380" w:rsidRPr="00896380">
        <w:rPr>
          <w:rFonts w:asciiTheme="minorHAnsi" w:hAnsiTheme="minorHAnsi" w:cs="Arial"/>
          <w:sz w:val="24"/>
          <w:szCs w:val="24"/>
        </w:rPr>
        <w:t>Risk-AI, LLC</w:t>
      </w:r>
      <w:r w:rsidRPr="00896380">
        <w:rPr>
          <w:rFonts w:asciiTheme="minorHAnsi" w:hAnsiTheme="minorHAnsi" w:cs="Arial"/>
          <w:b/>
          <w:sz w:val="24"/>
          <w:szCs w:val="24"/>
        </w:rPr>
        <w:br/>
      </w:r>
    </w:p>
    <w:sectPr w:rsidR="00054632" w:rsidRPr="00312E9D" w:rsidSect="00DA74D3">
      <w:headerReference w:type="default" r:id="rId11"/>
      <w:footerReference w:type="default" r:id="rId12"/>
      <w:pgSz w:w="12240" w:h="15840"/>
      <w:pgMar w:top="1080" w:right="1080" w:bottom="1080" w:left="108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79035" w14:textId="77777777" w:rsidR="00F26074" w:rsidRPr="00A14A93" w:rsidRDefault="00F26074" w:rsidP="00A14A93">
      <w:pPr>
        <w:pStyle w:val="Amount"/>
        <w:rPr>
          <w:szCs w:val="24"/>
        </w:rPr>
      </w:pPr>
      <w:r>
        <w:separator/>
      </w:r>
    </w:p>
  </w:endnote>
  <w:endnote w:type="continuationSeparator" w:id="0">
    <w:p w14:paraId="10E12C00" w14:textId="77777777" w:rsidR="00F26074" w:rsidRPr="00A14A93" w:rsidRDefault="00F26074" w:rsidP="00A14A93">
      <w:pPr>
        <w:pStyle w:val="Amount"/>
        <w:rPr>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05139"/>
      <w:docPartObj>
        <w:docPartGallery w:val="Page Numbers (Bottom of Page)"/>
        <w:docPartUnique/>
      </w:docPartObj>
    </w:sdtPr>
    <w:sdtEndPr/>
    <w:sdtContent>
      <w:sdt>
        <w:sdtPr>
          <w:id w:val="-1549510311"/>
          <w:docPartObj>
            <w:docPartGallery w:val="Page Numbers (Bottom of Page)"/>
            <w:docPartUnique/>
          </w:docPartObj>
        </w:sdtPr>
        <w:sdtEndPr>
          <w:rPr>
            <w:rFonts w:asciiTheme="minorHAnsi" w:hAnsiTheme="minorHAnsi"/>
            <w:sz w:val="18"/>
            <w:szCs w:val="18"/>
          </w:rPr>
        </w:sdtEndPr>
        <w:sdtContent>
          <w:p w14:paraId="7EC5A763" w14:textId="77777777" w:rsidR="00B0728F" w:rsidRDefault="0063482B" w:rsidP="00180685">
            <w:pPr>
              <w:pStyle w:val="Footer"/>
            </w:pPr>
            <w:r>
              <w:rPr>
                <w:rFonts w:asciiTheme="minorHAnsi" w:hAnsiTheme="minorHAnsi"/>
                <w:noProof/>
                <w:sz w:val="18"/>
                <w:szCs w:val="18"/>
                <w:lang w:eastAsia="zh-TW"/>
              </w:rPr>
              <mc:AlternateContent>
                <mc:Choice Requires="wpg">
                  <w:drawing>
                    <wp:anchor distT="0" distB="0" distL="114300" distR="114300" simplePos="0" relativeHeight="251658240" behindDoc="0" locked="0" layoutInCell="1" allowOverlap="1" wp14:anchorId="386C4913" wp14:editId="2D3C28C2">
                      <wp:simplePos x="0" y="0"/>
                      <wp:positionH relativeFrom="page">
                        <wp:align>center</wp:align>
                      </wp:positionH>
                      <wp:positionV relativeFrom="bottomMargin">
                        <wp:align>center</wp:align>
                      </wp:positionV>
                      <wp:extent cx="7761605" cy="19050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1605" cy="190500"/>
                                <a:chOff x="0" y="14970"/>
                                <a:chExt cx="12255" cy="300"/>
                              </a:xfrm>
                            </wpg:grpSpPr>
                            <wps:wsp>
                              <wps:cNvPr id="11" name="Text Box 11"/>
                              <wps:cNvSpPr txBox="1">
                                <a:spLocks/>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DC4F5" w14:textId="77777777" w:rsidR="00B0728F" w:rsidRDefault="00F26074" w:rsidP="00180685">
                                    <w:pPr>
                                      <w:jc w:val="center"/>
                                    </w:pPr>
                                    <w:r>
                                      <w:fldChar w:fldCharType="begin"/>
                                    </w:r>
                                    <w:r>
                                      <w:instrText xml:space="preserve"> PAGE    \* MERGEFORMAT </w:instrText>
                                    </w:r>
                                    <w:r>
                                      <w:fldChar w:fldCharType="separate"/>
                                    </w:r>
                                    <w:r w:rsidR="00987CB5" w:rsidRPr="00987CB5">
                                      <w:rPr>
                                        <w:noProof/>
                                        <w:color w:val="8C8C8C" w:themeColor="background1" w:themeShade="8C"/>
                                      </w:rPr>
                                      <w:t>20</w:t>
                                    </w:r>
                                    <w:r>
                                      <w:rPr>
                                        <w:noProof/>
                                        <w:color w:val="8C8C8C" w:themeColor="background1" w:themeShade="8C"/>
                                      </w:rPr>
                                      <w:fldChar w:fldCharType="end"/>
                                    </w:r>
                                  </w:p>
                                </w:txbxContent>
                              </wps:txbx>
                              <wps:bodyPr rot="0" vert="horz" wrap="square" lIns="0" tIns="0" rIns="0" bIns="0" anchor="t" anchorCtr="0" upright="1">
                                <a:noAutofit/>
                              </wps:bodyPr>
                            </wps:wsp>
                            <wpg:grpSp>
                              <wpg:cNvPr id="12" name="Group 12"/>
                              <wpg:cNvGrpSpPr>
                                <a:grpSpLocks/>
                              </wpg:cNvGrpSpPr>
                              <wpg:grpSpPr bwMode="auto">
                                <a:xfrm flipH="1">
                                  <a:off x="0" y="14970"/>
                                  <a:ext cx="12255" cy="230"/>
                                  <a:chOff x="-8" y="14978"/>
                                  <a:chExt cx="12255" cy="230"/>
                                </a:xfrm>
                              </wpg:grpSpPr>
                              <wps:wsp>
                                <wps:cNvPr id="13" name="AutoShape 13"/>
                                <wps:cNvCnPr>
                                  <a:cxnSpLocks/>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14" name="AutoShape 14"/>
                                <wps:cNvCnPr>
                                  <a:cxnSpLocks/>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86C4913" id="Group 10" o:spid="_x0000_s1026" style="position:absolute;margin-left:0;margin-top:0;width:611.1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">
                      <v:shapetype id="_x0000_t202" coordsize="21600,21600" o:spt="202" path="m,l,21600r21600,l21600,xe">
                        <v:stroke joinstyle="miter"/>
                        <v:path gradientshapeok="t" o:connecttype="rect"/>
                      </v:shapetype>
                      <v:shape id="Text Box 11" o:spid="_x0000_s1027" type="#_x0000_t202" style="position:absolute;left:10803;top:14982;width:659;height: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" filled="f" stroked="f">
                        <v:path arrowok="t"/>
                        <v:textbox inset="0,0,0,0">
                          <w:txbxContent>
                            <w:p w14:paraId="7D4DC4F5" w14:textId="77777777" w:rsidR="00B0728F" w:rsidRDefault="00F26074" w:rsidP="00180685">
                              <w:pPr>
                                <w:jc w:val="center"/>
                              </w:pPr>
                              <w:r>
                                <w:fldChar w:fldCharType="begin"/>
                              </w:r>
                              <w:r>
                                <w:instrText xml:space="preserve"> PAGE    \* MERGEFORMAT </w:instrText>
                              </w:r>
                              <w:r>
                                <w:fldChar w:fldCharType="separate"/>
                              </w:r>
                              <w:r w:rsidR="00987CB5" w:rsidRPr="00987CB5">
                                <w:rPr>
                                  <w:noProof/>
                                  <w:color w:val="8C8C8C" w:themeColor="background1" w:themeShade="8C"/>
                                </w:rPr>
                                <w:t>20</w:t>
                              </w:r>
                              <w:r>
                                <w:rPr>
                                  <w:noProof/>
                                  <w:color w:val="8C8C8C" w:themeColor="background1" w:themeShade="8C"/>
                                </w:rPr>
                                <w:fldChar w:fldCharType="end"/>
                              </w:r>
                            </w:p>
                          </w:txbxContent>
                        </v:textbox>
                      </v:shape>
                      <v:group id="Group 12" o:spid="_x0000_s1028" style="position:absolute;top:14970;width:12255;height:230;flip:x" coordorigin="-8,14978" coordsize="12255,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29" type="#_x0000_t34" style="position:absolute;left:-8;top:14978;width:1260;height:23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" strokecolor="#a5a5a5 [2092]">
                          <o:lock v:ext="edit" shapetype="f"/>
                        </v:shape>
                        <v:shape id="AutoShape 14" o:spid="_x0000_s1030" type="#_x0000_t34" style="position:absolute;left:1252;top:14978;width:10995;height:2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" adj="20904" strokecolor="#a5a5a5 [2092]">
                          <o:lock v:ext="edit" shapetype="f"/>
                        </v:shape>
                      </v:group>
                      <w10:wrap anchorx="page" anchory="margin"/>
                    </v:group>
                  </w:pict>
                </mc:Fallback>
              </mc:AlternateContent>
            </w:r>
          </w:p>
        </w:sdtContent>
      </w:sdt>
    </w:sdtContent>
  </w:sdt>
  <w:sdt>
    <w:sdtPr>
      <w:id w:val="31759649"/>
      <w:docPartObj>
        <w:docPartGallery w:val="Page Numbers (Bottom of Page)"/>
        <w:docPartUnique/>
      </w:docPartObj>
    </w:sdtPr>
    <w:sdtEndPr>
      <w:rPr>
        <w:rFonts w:asciiTheme="minorHAnsi" w:hAnsiTheme="minorHAnsi"/>
        <w:sz w:val="17"/>
        <w:szCs w:val="17"/>
      </w:rPr>
    </w:sdtEndPr>
    <w:sdtContent>
      <w:sdt>
        <w:sdtPr>
          <w:rPr>
            <w:sz w:val="17"/>
            <w:szCs w:val="17"/>
          </w:rPr>
          <w:id w:val="31759650"/>
          <w:docPartObj>
            <w:docPartGallery w:val="Page Numbers (Bottom of Page)"/>
            <w:docPartUnique/>
          </w:docPartObj>
        </w:sdtPr>
        <w:sdtEndPr>
          <w:rPr>
            <w:rFonts w:asciiTheme="minorHAnsi" w:hAnsiTheme="minorHAnsi"/>
          </w:rPr>
        </w:sdtEndPr>
        <w:sdtContent>
          <w:p w14:paraId="7FB385F6" w14:textId="77777777" w:rsidR="00B0728F" w:rsidRPr="006A1306" w:rsidRDefault="0063482B" w:rsidP="006A1306">
            <w:pPr>
              <w:pStyle w:val="Footer"/>
              <w:contextualSpacing/>
              <w:rPr>
                <w:rFonts w:asciiTheme="minorHAnsi" w:hAnsiTheme="minorHAnsi"/>
                <w:sz w:val="17"/>
                <w:szCs w:val="17"/>
              </w:rPr>
            </w:pPr>
            <w:r>
              <w:rPr>
                <w:rFonts w:asciiTheme="minorHAnsi" w:hAnsiTheme="minorHAnsi"/>
                <w:noProof/>
                <w:sz w:val="17"/>
                <w:szCs w:val="17"/>
                <w:lang w:eastAsia="zh-TW"/>
              </w:rPr>
              <mc:AlternateContent>
                <mc:Choice Requires="wpg">
                  <w:drawing>
                    <wp:anchor distT="0" distB="0" distL="114300" distR="114300" simplePos="0" relativeHeight="251663360" behindDoc="0" locked="0" layoutInCell="1" allowOverlap="1" wp14:anchorId="77F45F8F" wp14:editId="7502DCEB">
                      <wp:simplePos x="0" y="0"/>
                      <wp:positionH relativeFrom="page">
                        <wp:align>center</wp:align>
                      </wp:positionH>
                      <wp:positionV relativeFrom="bottomMargin">
                        <wp:align>center</wp:align>
                      </wp:positionV>
                      <wp:extent cx="7761605" cy="190500"/>
                      <wp:effectExtent l="0" t="0" r="0" b="0"/>
                      <wp:wrapNone/>
                      <wp:docPr id="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1605" cy="190500"/>
                                <a:chOff x="0" y="14970"/>
                                <a:chExt cx="12255" cy="300"/>
                              </a:xfrm>
                            </wpg:grpSpPr>
                            <wps:wsp>
                              <wps:cNvPr id="6" name="Text Box 27"/>
                              <wps:cNvSpPr txBox="1">
                                <a:spLocks/>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401CB" w14:textId="77777777" w:rsidR="00B0728F" w:rsidRDefault="00F26074" w:rsidP="006A1306">
                                    <w:pPr>
                                      <w:jc w:val="center"/>
                                    </w:pPr>
                                    <w:r>
                                      <w:fldChar w:fldCharType="begin"/>
                                    </w:r>
                                    <w:r>
                                      <w:instrText xml:space="preserve"> PAGE    \* MERGEFORMAT </w:instrText>
                                    </w:r>
                                    <w:r>
                                      <w:fldChar w:fldCharType="separate"/>
                                    </w:r>
                                    <w:r w:rsidR="00987CB5" w:rsidRPr="00987CB5">
                                      <w:rPr>
                                        <w:noProof/>
                                        <w:color w:val="8C8C8C" w:themeColor="background1" w:themeShade="8C"/>
                                      </w:rPr>
                                      <w:t>20</w:t>
                                    </w:r>
                                    <w:r>
                                      <w:rPr>
                                        <w:noProof/>
                                        <w:color w:val="8C8C8C" w:themeColor="background1" w:themeShade="8C"/>
                                      </w:rPr>
                                      <w:fldChar w:fldCharType="end"/>
                                    </w:r>
                                  </w:p>
                                </w:txbxContent>
                              </wps:txbx>
                              <wps:bodyPr rot="0" vert="horz" wrap="square" lIns="0" tIns="0" rIns="0" bIns="0" anchor="t" anchorCtr="0" upright="1">
                                <a:noAutofit/>
                              </wps:bodyPr>
                            </wps:wsp>
                            <wpg:grpSp>
                              <wpg:cNvPr id="7" name="Group 28"/>
                              <wpg:cNvGrpSpPr>
                                <a:grpSpLocks/>
                              </wpg:cNvGrpSpPr>
                              <wpg:grpSpPr bwMode="auto">
                                <a:xfrm flipH="1">
                                  <a:off x="0" y="14970"/>
                                  <a:ext cx="12255" cy="230"/>
                                  <a:chOff x="-8" y="14978"/>
                                  <a:chExt cx="12255" cy="230"/>
                                </a:xfrm>
                              </wpg:grpSpPr>
                              <wps:wsp>
                                <wps:cNvPr id="8" name="AutoShape 29"/>
                                <wps:cNvCnPr>
                                  <a:cxnSpLocks/>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9" name="AutoShape 30"/>
                                <wps:cNvCnPr>
                                  <a:cxnSpLocks/>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7F45F8F" id="Group 26" o:spid="_x0000_s1031" style="position:absolute;margin-left:0;margin-top:0;width:611.1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">
                      <v:shape id="Text Box 27" o:spid="_x0000_s1032" type="#_x0000_t202" style="position:absolute;left:10803;top:14982;width:659;height: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" filled="f" stroked="f">
                        <v:path arrowok="t"/>
                        <v:textbox inset="0,0,0,0">
                          <w:txbxContent>
                            <w:p w14:paraId="651401CB" w14:textId="77777777" w:rsidR="00B0728F" w:rsidRDefault="00F26074" w:rsidP="006A1306">
                              <w:pPr>
                                <w:jc w:val="center"/>
                              </w:pPr>
                              <w:r>
                                <w:fldChar w:fldCharType="begin"/>
                              </w:r>
                              <w:r>
                                <w:instrText xml:space="preserve"> PAGE    \* MERGEFORMAT </w:instrText>
                              </w:r>
                              <w:r>
                                <w:fldChar w:fldCharType="separate"/>
                              </w:r>
                              <w:r w:rsidR="00987CB5" w:rsidRPr="00987CB5">
                                <w:rPr>
                                  <w:noProof/>
                                  <w:color w:val="8C8C8C" w:themeColor="background1" w:themeShade="8C"/>
                                </w:rPr>
                                <w:t>20</w:t>
                              </w:r>
                              <w:r>
                                <w:rPr>
                                  <w:noProof/>
                                  <w:color w:val="8C8C8C" w:themeColor="background1" w:themeShade="8C"/>
                                </w:rPr>
                                <w:fldChar w:fldCharType="end"/>
                              </w:r>
                            </w:p>
                          </w:txbxContent>
                        </v:textbox>
                      </v:shape>
                      <v:group id="Group 28" o:spid="_x0000_s1033" style="position:absolute;top:14970;width:12255;height:230;flip:x" coordorigin="-8,14978" coordsize="12255,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">
                        <v:shape id="AutoShape 29" o:spid="_x0000_s1034" type="#_x0000_t34" style="position:absolute;left:-8;top:14978;width:1260;height:23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" strokecolor="#a5a5a5 [2092]">
                          <o:lock v:ext="edit" shapetype="f"/>
                        </v:shape>
                        <v:shape id="AutoShape 30" o:spid="_x0000_s1035" type="#_x0000_t34" style="position:absolute;left:1252;top:14978;width:10995;height:2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" adj="20904" strokecolor="#a5a5a5 [2092]">
                          <o:lock v:ext="edit" shapetype="f"/>
                        </v:shape>
                      </v:group>
                      <w10:wrap anchorx="page" anchory="margin"/>
                    </v:group>
                  </w:pict>
                </mc:Fallback>
              </mc:AlternateContent>
            </w:r>
            <w:r w:rsidR="00B0728F" w:rsidRPr="006A1306">
              <w:rPr>
                <w:rFonts w:asciiTheme="minorHAnsi" w:hAnsiTheme="minorHAnsi"/>
                <w:sz w:val="17"/>
                <w:szCs w:val="17"/>
              </w:rPr>
              <w:t xml:space="preserve">COPYRIGHT © RISK-AI, LLC </w:t>
            </w:r>
            <w:r w:rsidR="00B0728F" w:rsidRPr="006A1306">
              <w:rPr>
                <w:rFonts w:asciiTheme="minorHAnsi" w:hAnsiTheme="minorHAnsi"/>
                <w:noProof/>
                <w:sz w:val="17"/>
                <w:szCs w:val="17"/>
              </w:rPr>
              <w:drawing>
                <wp:inline distT="0" distB="0" distL="0" distR="0" wp14:anchorId="09E219D6" wp14:editId="4205E0F6">
                  <wp:extent cx="95250" cy="95250"/>
                  <wp:effectExtent l="19050" t="0" r="0" b="0"/>
                  <wp:docPr id="1" name="Picture 2" descr="small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_bullet.gif"/>
                          <pic:cNvPicPr/>
                        </pic:nvPicPr>
                        <pic:blipFill>
                          <a:blip r:embed="rId1"/>
                          <a:stretch>
                            <a:fillRect/>
                          </a:stretch>
                        </pic:blipFill>
                        <pic:spPr>
                          <a:xfrm>
                            <a:off x="0" y="0"/>
                            <a:ext cx="95250" cy="95250"/>
                          </a:xfrm>
                          <a:prstGeom prst="rect">
                            <a:avLst/>
                          </a:prstGeom>
                        </pic:spPr>
                      </pic:pic>
                    </a:graphicData>
                  </a:graphic>
                </wp:inline>
              </w:drawing>
            </w:r>
            <w:r w:rsidR="00B0728F" w:rsidRPr="006A1306">
              <w:rPr>
                <w:rFonts w:asciiTheme="minorHAnsi" w:hAnsiTheme="minorHAnsi"/>
                <w:sz w:val="17"/>
                <w:szCs w:val="17"/>
              </w:rPr>
              <w:t xml:space="preserve"> 40 WALL STREET 28</w:t>
            </w:r>
            <w:r w:rsidR="00B0728F" w:rsidRPr="006A1306">
              <w:rPr>
                <w:rFonts w:asciiTheme="minorHAnsi" w:hAnsiTheme="minorHAnsi"/>
                <w:sz w:val="17"/>
                <w:szCs w:val="17"/>
                <w:vertAlign w:val="superscript"/>
              </w:rPr>
              <w:t>th</w:t>
            </w:r>
            <w:r w:rsidR="00B0728F" w:rsidRPr="006A1306">
              <w:rPr>
                <w:rFonts w:asciiTheme="minorHAnsi" w:hAnsiTheme="minorHAnsi"/>
                <w:sz w:val="17"/>
                <w:szCs w:val="17"/>
              </w:rPr>
              <w:t xml:space="preserve"> FLOOR NEW YORK NY 10005</w:t>
            </w:r>
            <w:r w:rsidR="00B0728F" w:rsidRPr="006A1306">
              <w:rPr>
                <w:rFonts w:asciiTheme="minorHAnsi" w:hAnsiTheme="minorHAnsi"/>
                <w:noProof/>
                <w:sz w:val="17"/>
                <w:szCs w:val="17"/>
              </w:rPr>
              <w:drawing>
                <wp:inline distT="0" distB="0" distL="0" distR="0" wp14:anchorId="76941C60" wp14:editId="2B117501">
                  <wp:extent cx="95250" cy="95250"/>
                  <wp:effectExtent l="19050" t="0" r="0" b="0"/>
                  <wp:docPr id="3" name="Picture 2" descr="small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_bullet.gif"/>
                          <pic:cNvPicPr/>
                        </pic:nvPicPr>
                        <pic:blipFill>
                          <a:blip r:embed="rId1"/>
                          <a:stretch>
                            <a:fillRect/>
                          </a:stretch>
                        </pic:blipFill>
                        <pic:spPr>
                          <a:xfrm>
                            <a:off x="0" y="0"/>
                            <a:ext cx="95250" cy="95250"/>
                          </a:xfrm>
                          <a:prstGeom prst="rect">
                            <a:avLst/>
                          </a:prstGeom>
                        </pic:spPr>
                      </pic:pic>
                    </a:graphicData>
                  </a:graphic>
                </wp:inline>
              </w:drawing>
            </w:r>
            <w:r w:rsidR="00B0728F" w:rsidRPr="006A1306">
              <w:rPr>
                <w:rFonts w:asciiTheme="minorHAnsi" w:hAnsiTheme="minorHAnsi"/>
                <w:sz w:val="17"/>
                <w:szCs w:val="17"/>
              </w:rPr>
              <w:t xml:space="preserve"> (212) 400-7176 </w:t>
            </w:r>
            <w:r w:rsidR="00B0728F" w:rsidRPr="006A1306">
              <w:rPr>
                <w:rFonts w:asciiTheme="minorHAnsi" w:hAnsiTheme="minorHAnsi"/>
                <w:noProof/>
                <w:sz w:val="17"/>
                <w:szCs w:val="17"/>
              </w:rPr>
              <w:drawing>
                <wp:inline distT="0" distB="0" distL="0" distR="0" wp14:anchorId="57C27104" wp14:editId="5976957F">
                  <wp:extent cx="95250" cy="95250"/>
                  <wp:effectExtent l="19050" t="0" r="0" b="0"/>
                  <wp:docPr id="4" name="Picture 2" descr="small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_bullet.gif"/>
                          <pic:cNvPicPr/>
                        </pic:nvPicPr>
                        <pic:blipFill>
                          <a:blip r:embed="rId1"/>
                          <a:stretch>
                            <a:fillRect/>
                          </a:stretch>
                        </pic:blipFill>
                        <pic:spPr>
                          <a:xfrm>
                            <a:off x="0" y="0"/>
                            <a:ext cx="95250" cy="95250"/>
                          </a:xfrm>
                          <a:prstGeom prst="rect">
                            <a:avLst/>
                          </a:prstGeom>
                        </pic:spPr>
                      </pic:pic>
                    </a:graphicData>
                  </a:graphic>
                </wp:inline>
              </w:drawing>
            </w:r>
            <w:r w:rsidR="00B0728F" w:rsidRPr="006A1306">
              <w:rPr>
                <w:rFonts w:asciiTheme="minorHAnsi" w:hAnsiTheme="minorHAnsi"/>
                <w:sz w:val="17"/>
                <w:szCs w:val="17"/>
              </w:rPr>
              <w:t xml:space="preserve"> HTTP://WWW.RISK-AI.COM</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EE392" w14:textId="77777777" w:rsidR="00F26074" w:rsidRPr="00A14A93" w:rsidRDefault="00F26074" w:rsidP="00A14A93">
      <w:pPr>
        <w:pStyle w:val="Amount"/>
        <w:rPr>
          <w:szCs w:val="24"/>
        </w:rPr>
      </w:pPr>
      <w:r>
        <w:separator/>
      </w:r>
    </w:p>
  </w:footnote>
  <w:footnote w:type="continuationSeparator" w:id="0">
    <w:p w14:paraId="5E868AE0" w14:textId="77777777" w:rsidR="00F26074" w:rsidRPr="00A14A93" w:rsidRDefault="00F26074" w:rsidP="00A14A93">
      <w:pPr>
        <w:pStyle w:val="Amount"/>
        <w:rPr>
          <w:szCs w:val="24"/>
        </w:rPr>
      </w:pPr>
      <w:r>
        <w:continuationSeparator/>
      </w:r>
    </w:p>
  </w:footnote>
  <w:footnote w:id="1">
    <w:p w14:paraId="35520A52" w14:textId="77777777" w:rsidR="00B0728F" w:rsidRDefault="00B0728F">
      <w:pPr>
        <w:pStyle w:val="FootnoteText"/>
      </w:pPr>
      <w:r>
        <w:rPr>
          <w:rStyle w:val="FootnoteReference"/>
        </w:rPr>
        <w:footnoteRef/>
      </w:r>
      <w:r>
        <w:t xml:space="preserve"> CDV01 is defined as P/L impact on portfolio (in basis points) due to 1 basis point increase in relevant credit spreads.</w:t>
      </w:r>
    </w:p>
  </w:footnote>
  <w:footnote w:id="2">
    <w:p w14:paraId="2762B5D2" w14:textId="77777777" w:rsidR="002A36BB" w:rsidRDefault="002A36BB">
      <w:pPr>
        <w:pStyle w:val="FootnoteText"/>
      </w:pPr>
      <w:r>
        <w:rPr>
          <w:rStyle w:val="FootnoteReference"/>
        </w:rPr>
        <w:footnoteRef/>
      </w:r>
      <w:r>
        <w:t xml:space="preserve"> DV01 Is defined as of change in portfolio P/L (in basis points) due to 1 basis point rise in relevant interest rate.</w:t>
      </w:r>
    </w:p>
  </w:footnote>
  <w:footnote w:id="3">
    <w:p w14:paraId="10E5FE73" w14:textId="77777777" w:rsidR="008C6434" w:rsidRDefault="008C6434">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93C89" w14:textId="77777777" w:rsidR="00B0728F" w:rsidRDefault="0063482B" w:rsidP="006A1306">
    <w:pPr>
      <w:pStyle w:val="Header"/>
      <w:jc w:val="center"/>
    </w:pPr>
    <w:r>
      <w:rPr>
        <w:noProof/>
      </w:rPr>
      <mc:AlternateContent>
        <mc:Choice Requires="wps">
          <w:drawing>
            <wp:anchor distT="0" distB="0" distL="114300" distR="114300" simplePos="0" relativeHeight="251661312" behindDoc="1" locked="0" layoutInCell="1" allowOverlap="1" wp14:anchorId="4D66B02E" wp14:editId="7781A182">
              <wp:simplePos x="0" y="0"/>
              <wp:positionH relativeFrom="page">
                <wp:posOffset>0</wp:posOffset>
              </wp:positionH>
              <wp:positionV relativeFrom="page">
                <wp:posOffset>-2540</wp:posOffset>
              </wp:positionV>
              <wp:extent cx="7762875" cy="76454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2875" cy="764540"/>
                      </a:xfrm>
                      <a:prstGeom prst="rect">
                        <a:avLst/>
                      </a:prstGeom>
                      <a:gradFill rotWithShape="1">
                        <a:gsLst>
                          <a:gs pos="0">
                            <a:srgbClr val="EEECE1"/>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91D3C9" id="Rectangle 4" o:spid="_x0000_s1026" style="position:absolute;margin-left:0;margin-top:-.2pt;width:611.25pt;height:60.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" fillcolor="#eeece1" stroked="f">
              <v:fill rotate="t" focus="100%" type="gradient"/>
              <v:path arrowok="t"/>
              <w10:wrap anchorx="page" anchory="page"/>
            </v:rect>
          </w:pict>
        </mc:Fallback>
      </mc:AlternateContent>
    </w:r>
    <w:r w:rsidR="00B0728F" w:rsidRPr="00180685">
      <w:rPr>
        <w:noProof/>
      </w:rPr>
      <w:drawing>
        <wp:inline distT="0" distB="0" distL="0" distR="0" wp14:anchorId="431DFF66" wp14:editId="70DBB99A">
          <wp:extent cx="4238625" cy="647700"/>
          <wp:effectExtent l="19050" t="0" r="9525" b="0"/>
          <wp:docPr id="2" name="Picture 62" descr="C:\Users\Sasha\Desktop\risk-a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asha\Desktop\risk-ai_logo.jpg"/>
                  <pic:cNvPicPr>
                    <a:picLocks noChangeAspect="1" noChangeArrowheads="1"/>
                  </pic:cNvPicPr>
                </pic:nvPicPr>
                <pic:blipFill>
                  <a:blip r:embed="rId1"/>
                  <a:srcRect/>
                  <a:stretch>
                    <a:fillRect/>
                  </a:stretch>
                </pic:blipFill>
                <pic:spPr bwMode="auto">
                  <a:xfrm>
                    <a:off x="0" y="0"/>
                    <a:ext cx="4238625" cy="647700"/>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3pt;height:9.3pt" o:bullet="t">
        <v:imagedata r:id="rId1" o:title="BD21435_"/>
      </v:shape>
    </w:pict>
  </w:numPicBullet>
  <w:abstractNum w:abstractNumId="0" w15:restartNumberingAfterBreak="0">
    <w:nsid w:val="FFFFFF89"/>
    <w:multiLevelType w:val="singleLevel"/>
    <w:tmpl w:val="78FCF9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EA2831"/>
    <w:multiLevelType w:val="hybridMultilevel"/>
    <w:tmpl w:val="FDA2C4DE"/>
    <w:lvl w:ilvl="0" w:tplc="29A27C40">
      <w:start w:val="1"/>
      <w:numFmt w:val="decimal"/>
      <w:lvlText w:val="%1."/>
      <w:lvlJc w:val="left"/>
      <w:pPr>
        <w:tabs>
          <w:tab w:val="num" w:pos="360"/>
        </w:tabs>
        <w:ind w:left="360" w:hanging="360"/>
      </w:pPr>
      <w:rPr>
        <w:rFonts w:hint="default"/>
      </w:rPr>
    </w:lvl>
    <w:lvl w:ilvl="1" w:tplc="0A98DD0C">
      <w:start w:val="1"/>
      <w:numFmt w:val="lowerLetter"/>
      <w:lvlText w:val="%2)"/>
      <w:lvlJc w:val="left"/>
      <w:pPr>
        <w:tabs>
          <w:tab w:val="num" w:pos="960"/>
        </w:tabs>
        <w:ind w:left="960" w:hanging="9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5A45BE7"/>
    <w:multiLevelType w:val="hybridMultilevel"/>
    <w:tmpl w:val="DBC0F0E2"/>
    <w:lvl w:ilvl="0" w:tplc="DCD43986">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0F6144"/>
    <w:multiLevelType w:val="hybridMultilevel"/>
    <w:tmpl w:val="8C7A86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966BD3"/>
    <w:multiLevelType w:val="hybridMultilevel"/>
    <w:tmpl w:val="8DCA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56F24"/>
    <w:multiLevelType w:val="hybridMultilevel"/>
    <w:tmpl w:val="23B087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50169"/>
    <w:multiLevelType w:val="hybridMultilevel"/>
    <w:tmpl w:val="6E9E1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FA32F3"/>
    <w:multiLevelType w:val="hybridMultilevel"/>
    <w:tmpl w:val="BF46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9297B"/>
    <w:multiLevelType w:val="hybridMultilevel"/>
    <w:tmpl w:val="7F544C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C3248C"/>
    <w:multiLevelType w:val="hybridMultilevel"/>
    <w:tmpl w:val="6038A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1204B"/>
    <w:multiLevelType w:val="hybridMultilevel"/>
    <w:tmpl w:val="0B948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6DD00E2"/>
    <w:multiLevelType w:val="hybridMultilevel"/>
    <w:tmpl w:val="1B6E9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1B256C"/>
    <w:multiLevelType w:val="hybridMultilevel"/>
    <w:tmpl w:val="BB08C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6B834D20"/>
    <w:multiLevelType w:val="hybridMultilevel"/>
    <w:tmpl w:val="11928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3C93B6A"/>
    <w:multiLevelType w:val="hybridMultilevel"/>
    <w:tmpl w:val="376ED5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1"/>
  </w:num>
  <w:num w:numId="5">
    <w:abstractNumId w:val="8"/>
  </w:num>
  <w:num w:numId="6">
    <w:abstractNumId w:val="10"/>
  </w:num>
  <w:num w:numId="7">
    <w:abstractNumId w:val="7"/>
  </w:num>
  <w:num w:numId="8">
    <w:abstractNumId w:val="14"/>
  </w:num>
  <w:num w:numId="9">
    <w:abstractNumId w:val="3"/>
  </w:num>
  <w:num w:numId="10">
    <w:abstractNumId w:val="5"/>
  </w:num>
  <w:num w:numId="11">
    <w:abstractNumId w:val="2"/>
  </w:num>
  <w:num w:numId="12">
    <w:abstractNumId w:val="6"/>
  </w:num>
  <w:num w:numId="13">
    <w:abstractNumId w:val="13"/>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2E"/>
    <w:rsid w:val="00024F5F"/>
    <w:rsid w:val="00054632"/>
    <w:rsid w:val="000663A1"/>
    <w:rsid w:val="000C2CE9"/>
    <w:rsid w:val="000E0C30"/>
    <w:rsid w:val="000E1108"/>
    <w:rsid w:val="000F45E8"/>
    <w:rsid w:val="001357A1"/>
    <w:rsid w:val="00150834"/>
    <w:rsid w:val="00155BE7"/>
    <w:rsid w:val="0017081E"/>
    <w:rsid w:val="00180685"/>
    <w:rsid w:val="0018667B"/>
    <w:rsid w:val="001942F8"/>
    <w:rsid w:val="001A5A81"/>
    <w:rsid w:val="001B1B96"/>
    <w:rsid w:val="001B65C1"/>
    <w:rsid w:val="001B7856"/>
    <w:rsid w:val="001D4125"/>
    <w:rsid w:val="001E7A17"/>
    <w:rsid w:val="002578D2"/>
    <w:rsid w:val="002734F2"/>
    <w:rsid w:val="002A36BB"/>
    <w:rsid w:val="002C101F"/>
    <w:rsid w:val="002D2A53"/>
    <w:rsid w:val="00312E9D"/>
    <w:rsid w:val="0032102E"/>
    <w:rsid w:val="00327011"/>
    <w:rsid w:val="00337A6D"/>
    <w:rsid w:val="0036189C"/>
    <w:rsid w:val="00376006"/>
    <w:rsid w:val="003B0848"/>
    <w:rsid w:val="003C049D"/>
    <w:rsid w:val="003F6260"/>
    <w:rsid w:val="00401880"/>
    <w:rsid w:val="004060C2"/>
    <w:rsid w:val="004179FC"/>
    <w:rsid w:val="0045558E"/>
    <w:rsid w:val="00457272"/>
    <w:rsid w:val="00464BBF"/>
    <w:rsid w:val="00467B91"/>
    <w:rsid w:val="004711A0"/>
    <w:rsid w:val="00496C11"/>
    <w:rsid w:val="004A3F1F"/>
    <w:rsid w:val="004B19F6"/>
    <w:rsid w:val="004F1B62"/>
    <w:rsid w:val="00514696"/>
    <w:rsid w:val="005434A8"/>
    <w:rsid w:val="00551616"/>
    <w:rsid w:val="005516D8"/>
    <w:rsid w:val="00551C35"/>
    <w:rsid w:val="0057779E"/>
    <w:rsid w:val="0058091B"/>
    <w:rsid w:val="005B3B6E"/>
    <w:rsid w:val="005C0BD7"/>
    <w:rsid w:val="005D197A"/>
    <w:rsid w:val="005F2776"/>
    <w:rsid w:val="00614365"/>
    <w:rsid w:val="0063482B"/>
    <w:rsid w:val="00656FA3"/>
    <w:rsid w:val="00692F2E"/>
    <w:rsid w:val="006A1003"/>
    <w:rsid w:val="006A1306"/>
    <w:rsid w:val="006A5233"/>
    <w:rsid w:val="006B2AA3"/>
    <w:rsid w:val="006F0E2E"/>
    <w:rsid w:val="006F5BC4"/>
    <w:rsid w:val="00705FA8"/>
    <w:rsid w:val="00726210"/>
    <w:rsid w:val="00753256"/>
    <w:rsid w:val="007931E4"/>
    <w:rsid w:val="007A7EB5"/>
    <w:rsid w:val="007E1C20"/>
    <w:rsid w:val="00805046"/>
    <w:rsid w:val="00812CC9"/>
    <w:rsid w:val="00815C30"/>
    <w:rsid w:val="00822298"/>
    <w:rsid w:val="00826F1C"/>
    <w:rsid w:val="00840ACC"/>
    <w:rsid w:val="00845A3E"/>
    <w:rsid w:val="008549A4"/>
    <w:rsid w:val="00863584"/>
    <w:rsid w:val="008778C6"/>
    <w:rsid w:val="0089308E"/>
    <w:rsid w:val="00896380"/>
    <w:rsid w:val="008C6434"/>
    <w:rsid w:val="008D3233"/>
    <w:rsid w:val="008D6F23"/>
    <w:rsid w:val="008E0C4B"/>
    <w:rsid w:val="008F3A45"/>
    <w:rsid w:val="00906BB5"/>
    <w:rsid w:val="00912973"/>
    <w:rsid w:val="00943A23"/>
    <w:rsid w:val="009758DC"/>
    <w:rsid w:val="00987CB5"/>
    <w:rsid w:val="009A7999"/>
    <w:rsid w:val="009A7F30"/>
    <w:rsid w:val="009C395E"/>
    <w:rsid w:val="009C7066"/>
    <w:rsid w:val="009F7E01"/>
    <w:rsid w:val="00A14A93"/>
    <w:rsid w:val="00A61F18"/>
    <w:rsid w:val="00A938D2"/>
    <w:rsid w:val="00AA69A2"/>
    <w:rsid w:val="00B0728F"/>
    <w:rsid w:val="00B8061D"/>
    <w:rsid w:val="00B92414"/>
    <w:rsid w:val="00B969A7"/>
    <w:rsid w:val="00BA6C86"/>
    <w:rsid w:val="00BB41B3"/>
    <w:rsid w:val="00BC01EF"/>
    <w:rsid w:val="00BF1E0C"/>
    <w:rsid w:val="00C20F3A"/>
    <w:rsid w:val="00C353FE"/>
    <w:rsid w:val="00CC08C3"/>
    <w:rsid w:val="00CE00FE"/>
    <w:rsid w:val="00D04246"/>
    <w:rsid w:val="00D54E2B"/>
    <w:rsid w:val="00D61C1F"/>
    <w:rsid w:val="00D65607"/>
    <w:rsid w:val="00DA74D3"/>
    <w:rsid w:val="00DB5E11"/>
    <w:rsid w:val="00DC09EE"/>
    <w:rsid w:val="00DC17B1"/>
    <w:rsid w:val="00DE0895"/>
    <w:rsid w:val="00E02588"/>
    <w:rsid w:val="00E02FA9"/>
    <w:rsid w:val="00E053C5"/>
    <w:rsid w:val="00E22C4E"/>
    <w:rsid w:val="00E40C7E"/>
    <w:rsid w:val="00E517AD"/>
    <w:rsid w:val="00E625A2"/>
    <w:rsid w:val="00E80C72"/>
    <w:rsid w:val="00E908F3"/>
    <w:rsid w:val="00E97318"/>
    <w:rsid w:val="00ED5221"/>
    <w:rsid w:val="00F01960"/>
    <w:rsid w:val="00F06853"/>
    <w:rsid w:val="00F06A2C"/>
    <w:rsid w:val="00F11AE6"/>
    <w:rsid w:val="00F1662D"/>
    <w:rsid w:val="00F26074"/>
    <w:rsid w:val="00F55BC6"/>
    <w:rsid w:val="00F8303F"/>
    <w:rsid w:val="00FA69AB"/>
    <w:rsid w:val="00FC5D13"/>
    <w:rsid w:val="00FE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31E3FB"/>
  <w15:docId w15:val="{9187E9F9-95C2-254C-83A4-5656B5E3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5221"/>
    <w:pPr>
      <w:spacing w:after="200" w:line="276" w:lineRule="auto"/>
    </w:pPr>
    <w:rPr>
      <w:rFonts w:ascii="Calibri" w:eastAsia="Calibri" w:hAnsi="Calibri"/>
      <w:sz w:val="22"/>
      <w:szCs w:val="22"/>
    </w:rPr>
  </w:style>
  <w:style w:type="paragraph" w:styleId="Heading1">
    <w:name w:val="heading 1"/>
    <w:basedOn w:val="Normal"/>
    <w:next w:val="Normal"/>
    <w:qFormat/>
    <w:rsid w:val="0045558E"/>
    <w:pPr>
      <w:spacing w:before="200"/>
      <w:jc w:val="center"/>
      <w:outlineLvl w:val="0"/>
    </w:pPr>
    <w:rPr>
      <w:b/>
      <w:caps/>
      <w:color w:val="333333"/>
      <w:sz w:val="44"/>
      <w:szCs w:val="32"/>
    </w:rPr>
  </w:style>
  <w:style w:type="paragraph" w:styleId="Heading2">
    <w:name w:val="heading 2"/>
    <w:basedOn w:val="Heading1"/>
    <w:next w:val="Normal"/>
    <w:qFormat/>
    <w:rsid w:val="0045558E"/>
    <w:pPr>
      <w:spacing w:before="0"/>
      <w:outlineLvl w:val="1"/>
    </w:pPr>
    <w:rPr>
      <w:b w:val="0"/>
      <w:sz w:val="24"/>
    </w:rPr>
  </w:style>
  <w:style w:type="paragraph" w:styleId="Heading3">
    <w:name w:val="heading 3"/>
    <w:basedOn w:val="Normal"/>
    <w:next w:val="Normal"/>
    <w:link w:val="Heading3Char"/>
    <w:qFormat/>
    <w:rsid w:val="002C101F"/>
    <w:pPr>
      <w:tabs>
        <w:tab w:val="left" w:pos="900"/>
      </w:tabs>
      <w:outlineLvl w:val="2"/>
    </w:pPr>
    <w:rPr>
      <w:bCs/>
      <w:caps/>
      <w:color w:val="333333"/>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C101F"/>
    <w:rPr>
      <w:rFonts w:ascii="Tahoma" w:hAnsi="Tahoma"/>
      <w:bCs/>
      <w:caps/>
      <w:color w:val="333333"/>
      <w:sz w:val="14"/>
      <w:szCs w:val="24"/>
      <w:lang w:val="en-US" w:eastAsia="en-US" w:bidi="ar-SA"/>
    </w:rPr>
  </w:style>
  <w:style w:type="paragraph" w:styleId="BalloonText">
    <w:name w:val="Balloon Text"/>
    <w:basedOn w:val="Normal"/>
    <w:semiHidden/>
    <w:rsid w:val="004179FC"/>
    <w:rPr>
      <w:rFonts w:cs="Tahoma"/>
      <w:szCs w:val="16"/>
    </w:rPr>
  </w:style>
  <w:style w:type="paragraph" w:customStyle="1" w:styleId="Addressheading">
    <w:name w:val="Address heading"/>
    <w:basedOn w:val="Heading3"/>
    <w:rsid w:val="002C101F"/>
    <w:pPr>
      <w:spacing w:before="20"/>
    </w:pPr>
  </w:style>
  <w:style w:type="paragraph" w:customStyle="1" w:styleId="Amount">
    <w:name w:val="Amount"/>
    <w:basedOn w:val="Normal"/>
    <w:rsid w:val="00CC08C3"/>
    <w:pPr>
      <w:jc w:val="right"/>
    </w:pPr>
    <w:rPr>
      <w:szCs w:val="20"/>
    </w:rPr>
  </w:style>
  <w:style w:type="paragraph" w:customStyle="1" w:styleId="Remittance">
    <w:name w:val="Remittance"/>
    <w:basedOn w:val="Heading2"/>
    <w:rsid w:val="00D65607"/>
    <w:pPr>
      <w:framePr w:hSpace="187" w:vSpace="144" w:wrap="around" w:vAnchor="text" w:hAnchor="margin" w:x="433" w:y="1"/>
      <w:spacing w:after="0"/>
      <w:suppressOverlap/>
    </w:pPr>
    <w:rPr>
      <w:sz w:val="20"/>
      <w:szCs w:val="20"/>
    </w:rPr>
  </w:style>
  <w:style w:type="paragraph" w:styleId="Title">
    <w:name w:val="Title"/>
    <w:basedOn w:val="Normal"/>
    <w:next w:val="Normal"/>
    <w:link w:val="TitleChar"/>
    <w:qFormat/>
    <w:rsid w:val="006F0E2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6F0E2E"/>
    <w:rPr>
      <w:rFonts w:asciiTheme="majorHAnsi" w:eastAsiaTheme="majorEastAsia" w:hAnsiTheme="majorHAnsi" w:cstheme="majorBidi"/>
      <w:b/>
      <w:bCs/>
      <w:kern w:val="28"/>
      <w:sz w:val="32"/>
      <w:szCs w:val="32"/>
    </w:rPr>
  </w:style>
  <w:style w:type="character" w:styleId="Strong">
    <w:name w:val="Strong"/>
    <w:basedOn w:val="DefaultParagraphFont"/>
    <w:uiPriority w:val="22"/>
    <w:qFormat/>
    <w:rsid w:val="00A14A93"/>
    <w:rPr>
      <w:b/>
      <w:bCs/>
    </w:rPr>
  </w:style>
  <w:style w:type="paragraph" w:styleId="Header">
    <w:name w:val="header"/>
    <w:basedOn w:val="Normal"/>
    <w:link w:val="HeaderChar"/>
    <w:rsid w:val="00A14A93"/>
    <w:pPr>
      <w:tabs>
        <w:tab w:val="center" w:pos="4680"/>
        <w:tab w:val="right" w:pos="9360"/>
      </w:tabs>
    </w:pPr>
  </w:style>
  <w:style w:type="character" w:customStyle="1" w:styleId="HeaderChar">
    <w:name w:val="Header Char"/>
    <w:basedOn w:val="DefaultParagraphFont"/>
    <w:link w:val="Header"/>
    <w:rsid w:val="00A14A93"/>
    <w:rPr>
      <w:rFonts w:ascii="Tahoma" w:hAnsi="Tahoma"/>
      <w:sz w:val="16"/>
      <w:szCs w:val="24"/>
    </w:rPr>
  </w:style>
  <w:style w:type="paragraph" w:styleId="Footer">
    <w:name w:val="footer"/>
    <w:basedOn w:val="Normal"/>
    <w:link w:val="FooterChar"/>
    <w:uiPriority w:val="99"/>
    <w:rsid w:val="00A14A93"/>
    <w:pPr>
      <w:tabs>
        <w:tab w:val="center" w:pos="4680"/>
        <w:tab w:val="right" w:pos="9360"/>
      </w:tabs>
    </w:pPr>
  </w:style>
  <w:style w:type="character" w:customStyle="1" w:styleId="FooterChar">
    <w:name w:val="Footer Char"/>
    <w:basedOn w:val="DefaultParagraphFont"/>
    <w:link w:val="Footer"/>
    <w:uiPriority w:val="99"/>
    <w:rsid w:val="00A14A93"/>
    <w:rPr>
      <w:rFonts w:ascii="Tahoma" w:hAnsi="Tahoma"/>
      <w:sz w:val="16"/>
      <w:szCs w:val="24"/>
    </w:rPr>
  </w:style>
  <w:style w:type="paragraph" w:styleId="BlockText">
    <w:name w:val="Block Text"/>
    <w:basedOn w:val="Normal"/>
    <w:unhideWhenUsed/>
    <w:rsid w:val="00180685"/>
    <w:pPr>
      <w:tabs>
        <w:tab w:val="center" w:pos="4680"/>
      </w:tabs>
      <w:spacing w:before="120" w:after="240"/>
      <w:ind w:left="360"/>
    </w:pPr>
    <w:rPr>
      <w:rFonts w:ascii="Verdana" w:hAnsi="Verdana"/>
      <w:noProof/>
      <w:sz w:val="20"/>
      <w:szCs w:val="20"/>
    </w:rPr>
  </w:style>
  <w:style w:type="paragraph" w:customStyle="1" w:styleId="Header2">
    <w:name w:val="Header 2"/>
    <w:basedOn w:val="Heading1"/>
    <w:autoRedefine/>
    <w:rsid w:val="00180685"/>
    <w:pPr>
      <w:keepNext/>
      <w:pBdr>
        <w:top w:val="single" w:sz="18" w:space="1" w:color="333333"/>
      </w:pBdr>
      <w:tabs>
        <w:tab w:val="center" w:pos="4680"/>
      </w:tabs>
      <w:spacing w:before="120" w:after="120"/>
      <w:ind w:left="360" w:right="360"/>
      <w:jc w:val="left"/>
    </w:pPr>
    <w:rPr>
      <w:rFonts w:asciiTheme="majorHAnsi" w:hAnsiTheme="majorHAnsi"/>
      <w:i/>
      <w:caps w:val="0"/>
      <w:noProof/>
      <w:color w:val="auto"/>
      <w:sz w:val="28"/>
      <w:szCs w:val="20"/>
    </w:rPr>
  </w:style>
  <w:style w:type="paragraph" w:customStyle="1" w:styleId="Header3">
    <w:name w:val="Header 3"/>
    <w:basedOn w:val="Heading2"/>
    <w:autoRedefine/>
    <w:rsid w:val="00180685"/>
    <w:pPr>
      <w:keepNext/>
      <w:tabs>
        <w:tab w:val="center" w:pos="4680"/>
      </w:tabs>
      <w:spacing w:before="120" w:after="120"/>
      <w:ind w:left="360"/>
      <w:jc w:val="left"/>
    </w:pPr>
    <w:rPr>
      <w:rFonts w:ascii="Verdana" w:hAnsi="Verdana"/>
      <w:b/>
      <w:bCs/>
      <w:caps w:val="0"/>
      <w:noProof/>
      <w:color w:val="auto"/>
      <w:sz w:val="22"/>
      <w:szCs w:val="20"/>
    </w:rPr>
  </w:style>
  <w:style w:type="paragraph" w:customStyle="1" w:styleId="TblHeader">
    <w:name w:val="Tbl Header"/>
    <w:basedOn w:val="Normal"/>
    <w:rsid w:val="00180685"/>
    <w:pPr>
      <w:tabs>
        <w:tab w:val="center" w:pos="4680"/>
      </w:tabs>
      <w:spacing w:before="120" w:after="120"/>
      <w:ind w:left="-18"/>
      <w:jc w:val="center"/>
    </w:pPr>
    <w:rPr>
      <w:rFonts w:ascii="Verdana" w:hAnsi="Verdana"/>
      <w:b/>
      <w:i/>
      <w:noProof/>
      <w:color w:val="FFFFFF"/>
      <w:sz w:val="20"/>
      <w:szCs w:val="20"/>
    </w:rPr>
  </w:style>
  <w:style w:type="paragraph" w:customStyle="1" w:styleId="TextEntry">
    <w:name w:val="Text Entry"/>
    <w:basedOn w:val="Normal"/>
    <w:autoRedefine/>
    <w:rsid w:val="00180685"/>
    <w:pPr>
      <w:tabs>
        <w:tab w:val="center" w:pos="4680"/>
      </w:tabs>
      <w:ind w:left="720"/>
    </w:pPr>
    <w:rPr>
      <w:rFonts w:ascii="Verdana" w:hAnsi="Verdana" w:cs="Arial"/>
      <w:noProof/>
      <w:sz w:val="20"/>
      <w:szCs w:val="20"/>
    </w:rPr>
  </w:style>
  <w:style w:type="paragraph" w:customStyle="1" w:styleId="SectionIntro">
    <w:name w:val="Section Intro"/>
    <w:basedOn w:val="Normal"/>
    <w:autoRedefine/>
    <w:rsid w:val="00180685"/>
    <w:pPr>
      <w:tabs>
        <w:tab w:val="center" w:pos="4680"/>
      </w:tabs>
      <w:spacing w:after="120"/>
      <w:ind w:left="360"/>
    </w:pPr>
    <w:rPr>
      <w:rFonts w:ascii="Verdana" w:hAnsi="Verdana"/>
      <w:noProof/>
      <w:sz w:val="20"/>
      <w:szCs w:val="20"/>
    </w:rPr>
  </w:style>
  <w:style w:type="paragraph" w:customStyle="1" w:styleId="rightalign">
    <w:name w:val="right align"/>
    <w:basedOn w:val="Normal"/>
    <w:rsid w:val="00180685"/>
    <w:pPr>
      <w:tabs>
        <w:tab w:val="center" w:pos="4680"/>
      </w:tabs>
      <w:ind w:left="-18"/>
      <w:jc w:val="right"/>
    </w:pPr>
    <w:rPr>
      <w:rFonts w:ascii="Verdana" w:hAnsi="Verdana"/>
      <w:noProof/>
      <w:sz w:val="20"/>
      <w:szCs w:val="20"/>
    </w:rPr>
  </w:style>
  <w:style w:type="table" w:styleId="TableGrid">
    <w:name w:val="Table Grid"/>
    <w:basedOn w:val="TableNormal"/>
    <w:rsid w:val="00180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ED5221"/>
    <w:rPr>
      <w:b/>
      <w:bCs/>
      <w:smallCaps/>
      <w:color w:val="C0504D" w:themeColor="accent2"/>
      <w:spacing w:val="5"/>
      <w:u w:val="single"/>
    </w:rPr>
  </w:style>
  <w:style w:type="character" w:styleId="BookTitle">
    <w:name w:val="Book Title"/>
    <w:basedOn w:val="DefaultParagraphFont"/>
    <w:uiPriority w:val="33"/>
    <w:qFormat/>
    <w:rsid w:val="00ED5221"/>
    <w:rPr>
      <w:b/>
      <w:bCs/>
      <w:smallCaps/>
      <w:spacing w:val="5"/>
    </w:rPr>
  </w:style>
  <w:style w:type="paragraph" w:styleId="NoSpacing">
    <w:name w:val="No Spacing"/>
    <w:uiPriority w:val="1"/>
    <w:qFormat/>
    <w:rsid w:val="00ED5221"/>
    <w:rPr>
      <w:rFonts w:ascii="Calibri" w:eastAsia="Calibri" w:hAnsi="Calibri"/>
      <w:sz w:val="22"/>
      <w:szCs w:val="22"/>
    </w:rPr>
  </w:style>
  <w:style w:type="paragraph" w:styleId="ListParagraph">
    <w:name w:val="List Paragraph"/>
    <w:basedOn w:val="Normal"/>
    <w:uiPriority w:val="34"/>
    <w:qFormat/>
    <w:rsid w:val="00312E9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312E9D"/>
    <w:rPr>
      <w:color w:val="0000FF" w:themeColor="hyperlink"/>
      <w:u w:val="single"/>
    </w:rPr>
  </w:style>
  <w:style w:type="character" w:styleId="Emphasis">
    <w:name w:val="Emphasis"/>
    <w:basedOn w:val="DefaultParagraphFont"/>
    <w:uiPriority w:val="20"/>
    <w:qFormat/>
    <w:rsid w:val="00312E9D"/>
    <w:rPr>
      <w:i/>
      <w:iCs/>
    </w:rPr>
  </w:style>
  <w:style w:type="paragraph" w:styleId="FootnoteText">
    <w:name w:val="footnote text"/>
    <w:basedOn w:val="Normal"/>
    <w:link w:val="FootnoteTextChar"/>
    <w:rsid w:val="006B2AA3"/>
    <w:pPr>
      <w:spacing w:after="0" w:line="240" w:lineRule="auto"/>
    </w:pPr>
    <w:rPr>
      <w:sz w:val="20"/>
      <w:szCs w:val="20"/>
    </w:rPr>
  </w:style>
  <w:style w:type="character" w:customStyle="1" w:styleId="FootnoteTextChar">
    <w:name w:val="Footnote Text Char"/>
    <w:basedOn w:val="DefaultParagraphFont"/>
    <w:link w:val="FootnoteText"/>
    <w:rsid w:val="006B2AA3"/>
    <w:rPr>
      <w:rFonts w:ascii="Calibri" w:eastAsia="Calibri" w:hAnsi="Calibri"/>
    </w:rPr>
  </w:style>
  <w:style w:type="character" w:styleId="FootnoteReference">
    <w:name w:val="footnote reference"/>
    <w:basedOn w:val="DefaultParagraphFont"/>
    <w:rsid w:val="006B2AA3"/>
    <w:rPr>
      <w:vertAlign w:val="superscript"/>
    </w:rPr>
  </w:style>
  <w:style w:type="paragraph" w:styleId="ListBullet">
    <w:name w:val="List Bullet"/>
    <w:basedOn w:val="Normal"/>
    <w:rsid w:val="00464BBF"/>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349083">
      <w:bodyDiv w:val="1"/>
      <w:marLeft w:val="0"/>
      <w:marRight w:val="0"/>
      <w:marTop w:val="0"/>
      <w:marBottom w:val="0"/>
      <w:divBdr>
        <w:top w:val="none" w:sz="0" w:space="0" w:color="auto"/>
        <w:left w:val="none" w:sz="0" w:space="0" w:color="auto"/>
        <w:bottom w:val="none" w:sz="0" w:space="0" w:color="auto"/>
        <w:right w:val="none" w:sz="0" w:space="0" w:color="auto"/>
      </w:divBdr>
    </w:div>
    <w:div w:id="18252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ansparency@risk-ai.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hemonitor@risk-ai.com" TargetMode="External"/><Relationship Id="rId4" Type="http://schemas.openxmlformats.org/officeDocument/2006/relationships/settings" Target="settings.xml"/><Relationship Id="rId9" Type="http://schemas.openxmlformats.org/officeDocument/2006/relationships/hyperlink" Target="http://www.HedgeFundRiskMonitor.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ha\AppData\Roaming\Microsoft\Templates\Sales%20invoi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D261A-26AE-4F7B-AB40-F28F4A06A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C:\Users\Sasha\AppData\Roaming\Microsoft\Templates\Sales invoice.dot</Template>
  <TotalTime>1</TotalTime>
  <Pages>20</Pages>
  <Words>3785</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Sasha</dc:creator>
  <cp:lastModifiedBy>Aleksey Matiychenko</cp:lastModifiedBy>
  <cp:revision>2</cp:revision>
  <cp:lastPrinted>2009-01-28T04:28:00Z</cp:lastPrinted>
  <dcterms:created xsi:type="dcterms:W3CDTF">2021-07-07T01:55:00Z</dcterms:created>
  <dcterms:modified xsi:type="dcterms:W3CDTF">2021-07-07T01:55:00Z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TC062070821033</vt:lpwstr>
  </property>
</Properties>
</file>