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86167A" w14:textId="77777777" w:rsidR="003262A7" w:rsidRDefault="00000000">
      <w:pPr>
        <w:spacing w:after="80"/>
      </w:pPr>
      <w:r>
        <w:rPr>
          <w:b/>
          <w:color w:val="1B365D"/>
          <w:sz w:val="40"/>
        </w:rPr>
        <w:t>UX Research Session Transcript</w:t>
      </w:r>
    </w:p>
    <w:p w14:paraId="62194313" w14:textId="77777777" w:rsidR="003262A7" w:rsidRDefault="00000000">
      <w:pPr>
        <w:spacing w:after="360"/>
      </w:pPr>
      <w:r>
        <w:rPr>
          <w:i/>
          <w:color w:val="555555"/>
          <w:sz w:val="24"/>
        </w:rPr>
        <w:t>Project LexAI (Discovery Phase) — Uses, Needs, and Acceptability of AI</w:t>
      </w:r>
    </w:p>
    <w:tbl>
      <w:tblPr>
        <w:tblW w:w="0" w:type="auto"/>
        <w:tblLayout w:type="fixed"/>
        <w:tblLook w:val="04A0" w:firstRow="1" w:lastRow="0" w:firstColumn="1" w:lastColumn="0" w:noHBand="0" w:noVBand="1"/>
      </w:tblPr>
      <w:tblGrid>
        <w:gridCol w:w="4680"/>
        <w:gridCol w:w="4680"/>
      </w:tblGrid>
      <w:tr w:rsidR="003262A7" w14:paraId="3EC64CC8" w14:textId="77777777">
        <w:tc>
          <w:tcPr>
            <w:tcW w:w="4680" w:type="dxa"/>
          </w:tcPr>
          <w:p w14:paraId="7E2F1A5F" w14:textId="77777777" w:rsidR="003262A7" w:rsidRDefault="00000000">
            <w:pPr>
              <w:spacing w:after="40"/>
            </w:pPr>
            <w:r>
              <w:rPr>
                <w:b/>
                <w:color w:val="1B365D"/>
                <w:sz w:val="19"/>
              </w:rPr>
              <w:t>Topic:</w:t>
            </w:r>
          </w:p>
        </w:tc>
        <w:tc>
          <w:tcPr>
            <w:tcW w:w="4680" w:type="dxa"/>
          </w:tcPr>
          <w:p w14:paraId="7013B2FB" w14:textId="77777777" w:rsidR="003262A7" w:rsidRDefault="00000000">
            <w:pPr>
              <w:spacing w:after="40"/>
            </w:pPr>
            <w:r>
              <w:rPr>
                <w:sz w:val="19"/>
              </w:rPr>
              <w:t>Uses, needs and acceptability of AI in legal advisory services</w:t>
            </w:r>
          </w:p>
        </w:tc>
      </w:tr>
      <w:tr w:rsidR="003262A7" w14:paraId="4E27F106" w14:textId="77777777">
        <w:tc>
          <w:tcPr>
            <w:tcW w:w="4680" w:type="dxa"/>
          </w:tcPr>
          <w:p w14:paraId="587C6966" w14:textId="77777777" w:rsidR="003262A7" w:rsidRDefault="00000000">
            <w:pPr>
              <w:spacing w:after="40"/>
            </w:pPr>
            <w:r>
              <w:rPr>
                <w:b/>
                <w:color w:val="1B365D"/>
                <w:sz w:val="19"/>
              </w:rPr>
              <w:t>Date / Format:</w:t>
            </w:r>
          </w:p>
        </w:tc>
        <w:tc>
          <w:tcPr>
            <w:tcW w:w="4680" w:type="dxa"/>
          </w:tcPr>
          <w:p w14:paraId="37E4589B" w14:textId="77777777" w:rsidR="003262A7" w:rsidRDefault="00000000">
            <w:pPr>
              <w:spacing w:after="40"/>
            </w:pPr>
            <w:r>
              <w:rPr>
                <w:sz w:val="19"/>
              </w:rPr>
              <w:t>June 22, 2026 / Remote via Zoom (Screen share enabled)</w:t>
            </w:r>
          </w:p>
        </w:tc>
      </w:tr>
      <w:tr w:rsidR="003262A7" w14:paraId="47DBBF04" w14:textId="77777777">
        <w:tc>
          <w:tcPr>
            <w:tcW w:w="4680" w:type="dxa"/>
          </w:tcPr>
          <w:p w14:paraId="6D564E4A" w14:textId="77777777" w:rsidR="003262A7" w:rsidRDefault="00000000">
            <w:pPr>
              <w:spacing w:after="40"/>
            </w:pPr>
            <w:r>
              <w:rPr>
                <w:b/>
                <w:color w:val="1B365D"/>
                <w:sz w:val="19"/>
              </w:rPr>
              <w:t>Interviewer:</w:t>
            </w:r>
          </w:p>
        </w:tc>
        <w:tc>
          <w:tcPr>
            <w:tcW w:w="4680" w:type="dxa"/>
          </w:tcPr>
          <w:p w14:paraId="2306684B" w14:textId="77777777" w:rsidR="003262A7" w:rsidRDefault="00000000">
            <w:pPr>
              <w:spacing w:after="40"/>
            </w:pPr>
            <w:r>
              <w:rPr>
                <w:sz w:val="19"/>
              </w:rPr>
              <w:t>Maya Lin (Senior UX Researcher)</w:t>
            </w:r>
          </w:p>
        </w:tc>
      </w:tr>
      <w:tr w:rsidR="003262A7" w14:paraId="674DB03E" w14:textId="77777777">
        <w:tc>
          <w:tcPr>
            <w:tcW w:w="4680" w:type="dxa"/>
          </w:tcPr>
          <w:p w14:paraId="543BD804" w14:textId="77777777" w:rsidR="003262A7" w:rsidRDefault="00000000">
            <w:pPr>
              <w:spacing w:after="40"/>
            </w:pPr>
            <w:r>
              <w:rPr>
                <w:b/>
                <w:color w:val="1B365D"/>
                <w:sz w:val="19"/>
              </w:rPr>
              <w:t>Participant:</w:t>
            </w:r>
          </w:p>
        </w:tc>
        <w:tc>
          <w:tcPr>
            <w:tcW w:w="4680" w:type="dxa"/>
          </w:tcPr>
          <w:p w14:paraId="16DAE9F2" w14:textId="77777777" w:rsidR="003262A7" w:rsidRDefault="00000000">
            <w:pPr>
              <w:spacing w:after="40"/>
            </w:pPr>
            <w:r>
              <w:rPr>
                <w:sz w:val="19"/>
              </w:rPr>
              <w:t>Jonathan Vance (Senior Corporate Counsel, Tech Logistics Firm; 11 yrs exp.)</w:t>
            </w:r>
          </w:p>
        </w:tc>
      </w:tr>
    </w:tbl>
    <w:p w14:paraId="2A6F37BB" w14:textId="77777777" w:rsidR="003262A7" w:rsidRDefault="003262A7">
      <w:pPr>
        <w:spacing w:after="240"/>
      </w:pPr>
    </w:p>
    <w:p w14:paraId="07B9C86B" w14:textId="77777777" w:rsidR="003262A7" w:rsidRDefault="00000000">
      <w:pPr>
        <w:pStyle w:val="Titre1"/>
        <w:spacing w:before="320" w:after="120"/>
      </w:pPr>
      <w:r>
        <w:rPr>
          <w:rFonts w:ascii="Arial" w:hAnsi="Arial"/>
          <w:color w:val="1B365D"/>
          <w:sz w:val="26"/>
        </w:rPr>
        <w:t>Part 1: Warm-up and Current Workflow (00:00 - 12:00)</w:t>
      </w:r>
    </w:p>
    <w:p w14:paraId="7D4A6F48" w14:textId="77777777" w:rsidR="003262A7" w:rsidRDefault="00000000">
      <w:pPr>
        <w:ind w:left="360"/>
      </w:pPr>
      <w:r>
        <w:rPr>
          <w:b/>
          <w:color w:val="2E6F40"/>
        </w:rPr>
        <w:t xml:space="preserve">Maya: </w:t>
      </w:r>
      <w:r>
        <w:t>Hi Jonathan, thanks so much for joining me today. As I mentioned in the email, we are exploring how legal professionals interact with, think about, and adopt AI tools in their daily advisory work. There are no right or wrong answers today. We are looking for your honest, unfiltered experiences, pain points, and thoughts. Before we jump in, do I have your permission to record this session for internal analysis?</w:t>
      </w:r>
    </w:p>
    <w:p w14:paraId="2B9C2920" w14:textId="77777777" w:rsidR="003262A7" w:rsidRDefault="00000000">
      <w:pPr>
        <w:ind w:left="360"/>
      </w:pPr>
      <w:r>
        <w:rPr>
          <w:b/>
          <w:color w:val="4A5568"/>
        </w:rPr>
        <w:t xml:space="preserve">Jonathan: </w:t>
      </w:r>
      <w:r>
        <w:t>Hi Maya. Yes, absolutely. Happy to help. It’s a timely topic—our inbox is basically buried in pitches for new legal tech every single week now.</w:t>
      </w:r>
    </w:p>
    <w:p w14:paraId="20E26FCB" w14:textId="77777777" w:rsidR="003262A7" w:rsidRDefault="00000000">
      <w:pPr>
        <w:ind w:left="360"/>
      </w:pPr>
      <w:r>
        <w:rPr>
          <w:b/>
          <w:color w:val="2E6F40"/>
        </w:rPr>
        <w:t xml:space="preserve">Maya: </w:t>
      </w:r>
      <w:r>
        <w:t>I can only imagine! Let's start with a high-level view. Can you walk me through your primary responsibilities as Senior Corporate Counsel, and what a typical day looks like for you when managing internal legal inquiries?</w:t>
      </w:r>
    </w:p>
    <w:p w14:paraId="29E776F2" w14:textId="77777777" w:rsidR="003262A7" w:rsidRDefault="00000000">
      <w:pPr>
        <w:ind w:left="360"/>
      </w:pPr>
      <w:r>
        <w:rPr>
          <w:b/>
          <w:color w:val="4A5568"/>
        </w:rPr>
        <w:t xml:space="preserve">Jonathan: </w:t>
      </w:r>
      <w:r>
        <w:t>Sure. I oversee the commercial contract team, and I’m also the main point of contact for our executive team when they need rapid legal assessments on new market entries, vendor compliance, or regulatory risks—specifically under new international trade laws. A typical day is a mix of high-intensity firefighting and deep, focused desk work. I might start the morning dealing with an urgent contract bottleneck where a sales rep wants to strike out an indemnification clause, and spend the afternoon cross-referencing five different compliance frameworks to draft an advisory memo for our COO.</w:t>
      </w:r>
    </w:p>
    <w:p w14:paraId="2FCADE3C" w14:textId="77777777" w:rsidR="003262A7" w:rsidRDefault="00000000">
      <w:pPr>
        <w:ind w:left="360"/>
      </w:pPr>
      <w:r>
        <w:rPr>
          <w:b/>
          <w:color w:val="2E6F40"/>
        </w:rPr>
        <w:t xml:space="preserve">Maya: </w:t>
      </w:r>
      <w:r>
        <w:t>When you are tasked with creating one of these advisory memos or conducting a risk assessment, what is your step-by-step process?</w:t>
      </w:r>
    </w:p>
    <w:p w14:paraId="14BC5FBE" w14:textId="77777777" w:rsidR="003262A7" w:rsidRDefault="00000000">
      <w:pPr>
        <w:ind w:left="360"/>
      </w:pPr>
      <w:r>
        <w:rPr>
          <w:b/>
          <w:color w:val="4A5568"/>
        </w:rPr>
        <w:t xml:space="preserve">Jonathan: </w:t>
      </w:r>
      <w:r>
        <w:t>Well, traditionally, it's very manual. I start by pulling up our internal document repository to see if we’ve dealt with a similar issue before. "Did we look at German supply chain acts last year?" If yes, I review that old memo. Then, I go to traditional databases like Westlaw or LexisNexis to look up the actual statutes and any recent case law. I read through the raw text, highlight the relevant bits, synthesize how it applies to our specific business model, and then compile it into a Word document written in plain business English.</w:t>
      </w:r>
    </w:p>
    <w:p w14:paraId="19B1BB7E" w14:textId="77777777" w:rsidR="003262A7" w:rsidRDefault="00000000">
      <w:pPr>
        <w:ind w:left="360"/>
      </w:pPr>
      <w:r>
        <w:rPr>
          <w:b/>
          <w:color w:val="2E6F40"/>
        </w:rPr>
        <w:t xml:space="preserve">Maya: </w:t>
      </w:r>
      <w:r>
        <w:t>How much time does that manual synthesis usually take?</w:t>
      </w:r>
    </w:p>
    <w:p w14:paraId="52727E7B" w14:textId="77777777" w:rsidR="003262A7" w:rsidRDefault="00000000">
      <w:pPr>
        <w:ind w:left="360"/>
      </w:pPr>
      <w:r>
        <w:rPr>
          <w:b/>
          <w:color w:val="4A5568"/>
        </w:rPr>
        <w:t xml:space="preserve">Jonathan: </w:t>
      </w:r>
      <w:r>
        <w:t xml:space="preserve">If it’s a novel or complex issue, it can easily take 6 to 8 hours of pure research and drafting. The friction isn’t the thinking part—it's the information-gathering and formatting part. </w:t>
      </w:r>
      <w:r>
        <w:lastRenderedPageBreak/>
        <w:t>Digging through PDFs, managing twenty open tabs, making sure my cross-references are pristine... it's a massive cognitive load before I even get to apply my actual legal judgment.</w:t>
      </w:r>
    </w:p>
    <w:p w14:paraId="0D6B06E2" w14:textId="77777777" w:rsidR="003262A7" w:rsidRDefault="00000000">
      <w:pPr>
        <w:pStyle w:val="Titre1"/>
        <w:spacing w:before="320" w:after="120"/>
      </w:pPr>
      <w:r>
        <w:rPr>
          <w:rFonts w:ascii="Arial" w:hAnsi="Arial"/>
          <w:color w:val="1B365D"/>
          <w:sz w:val="26"/>
        </w:rPr>
        <w:t>Part 2: Current Uses of AI &amp; Mental Models (12:00 - 28:00)</w:t>
      </w:r>
    </w:p>
    <w:p w14:paraId="5DF3C98B" w14:textId="77777777" w:rsidR="003262A7" w:rsidRDefault="00000000">
      <w:pPr>
        <w:ind w:left="360"/>
      </w:pPr>
      <w:r>
        <w:rPr>
          <w:b/>
          <w:color w:val="2E6F40"/>
        </w:rPr>
        <w:t xml:space="preserve">Maya: </w:t>
      </w:r>
      <w:r>
        <w:t>That makes total sense. Now, let’s pivot slightly to the tech side. Are you currently using any AI tools in this workflow? This could be enterprise-wide legal tech, generalized LLMs, or built-in features in software you already use.</w:t>
      </w:r>
    </w:p>
    <w:p w14:paraId="6C87B13C" w14:textId="77777777" w:rsidR="003262A7" w:rsidRDefault="00000000">
      <w:pPr>
        <w:ind w:left="360"/>
      </w:pPr>
      <w:r>
        <w:rPr>
          <w:b/>
          <w:color w:val="4A5568"/>
        </w:rPr>
        <w:t xml:space="preserve">Jonathan: </w:t>
      </w:r>
      <w:r>
        <w:t>We actually onboarded a dedicated legal AI platform at the end of last year—it uses specialized LLMs trained specifically on legal corpora. Right now, I use it primarily for three things: first-pass contract review, information extraction, and what I call "smart search" through our historical document database.</w:t>
      </w:r>
    </w:p>
    <w:p w14:paraId="2CA73F89" w14:textId="77777777" w:rsidR="003262A7" w:rsidRDefault="00000000">
      <w:pPr>
        <w:ind w:left="360"/>
      </w:pPr>
      <w:r>
        <w:rPr>
          <w:b/>
          <w:color w:val="2E6F40"/>
        </w:rPr>
        <w:t xml:space="preserve">Maya: </w:t>
      </w:r>
      <w:r>
        <w:t>Let’s break those down. Can you walk me through how you use it for that first piece—first-pass contract review?</w:t>
      </w:r>
    </w:p>
    <w:p w14:paraId="273D4476" w14:textId="77777777" w:rsidR="003262A7" w:rsidRDefault="00000000">
      <w:pPr>
        <w:ind w:left="360"/>
      </w:pPr>
      <w:r>
        <w:rPr>
          <w:b/>
          <w:color w:val="4A5568"/>
        </w:rPr>
        <w:t xml:space="preserve">Jonathan: </w:t>
      </w:r>
      <w:r>
        <w:t>If a vendor sends over an aggressive Master Services Agreement on their paper, instead of reading all 45 pages line-by-line right away, I drop it into the AI tool. I have pre-configured playbooks loaded in. I’ll click a button that says, "Analyze against our Standard Liability Policy." Within about 90 seconds, it flags sections that deviate from our internal thresholds—like if their limitation of liability is too low, or if the governing law is set to Delaware instead of New York.</w:t>
      </w:r>
    </w:p>
    <w:p w14:paraId="74782699" w14:textId="77777777" w:rsidR="003262A7" w:rsidRDefault="00000000">
      <w:pPr>
        <w:ind w:left="360"/>
      </w:pPr>
      <w:r>
        <w:rPr>
          <w:b/>
          <w:color w:val="2E6F40"/>
        </w:rPr>
        <w:t xml:space="preserve">Maya: </w:t>
      </w:r>
      <w:r>
        <w:t>How does that feel compared to your old way of doing it?</w:t>
      </w:r>
    </w:p>
    <w:p w14:paraId="406DC394" w14:textId="77777777" w:rsidR="003262A7" w:rsidRDefault="00000000">
      <w:pPr>
        <w:ind w:left="360"/>
      </w:pPr>
      <w:r>
        <w:rPr>
          <w:b/>
          <w:color w:val="4A5568"/>
        </w:rPr>
        <w:t xml:space="preserve">Jonathan: </w:t>
      </w:r>
      <w:r>
        <w:t>Oh, it’s a night and day difference in terms of raw speed. It saves me at least an hour or two per contract. It acts like a very fast, very eager junior associate. But—and this is a big "but"—I don't just blindly accept what it says. I use its output as a map. I look at the clauses it flagged, and then I go look at the actual text myself to verify.</w:t>
      </w:r>
    </w:p>
    <w:p w14:paraId="4DF4D251" w14:textId="77777777" w:rsidR="003262A7" w:rsidRDefault="00000000">
      <w:pPr>
        <w:ind w:left="360"/>
      </w:pPr>
      <w:r>
        <w:rPr>
          <w:b/>
          <w:color w:val="2E6F40"/>
        </w:rPr>
        <w:t xml:space="preserve">Maya: </w:t>
      </w:r>
      <w:r>
        <w:t>You mentioned it feels like a "junior associate." Can you expand on that mental model? How do you perceive its capability?</w:t>
      </w:r>
    </w:p>
    <w:p w14:paraId="44354731" w14:textId="77777777" w:rsidR="003262A7" w:rsidRDefault="00000000">
      <w:pPr>
        <w:ind w:left="360"/>
      </w:pPr>
      <w:r>
        <w:rPr>
          <w:b/>
          <w:color w:val="4A5568"/>
        </w:rPr>
        <w:t xml:space="preserve">Jonathan: </w:t>
      </w:r>
      <w:r>
        <w:t>Right, so I treat it like a brilliant intern who has read every document in the world but has absolutely zero real-world business context or common sense. If I tell the intern exactly what to look for, they will find it instantly. But if I ask them to make a nuanced strategic decision based on the CEO's risk tolerance, they can't do it. They might give me an answer that sounds incredibly authoritative, but could be fundamentally missing the business context, or worse, misinterpreting a subtle linguistic nuance in a clause.</w:t>
      </w:r>
    </w:p>
    <w:p w14:paraId="4AF8ED81" w14:textId="77777777" w:rsidR="003262A7" w:rsidRDefault="00000000">
      <w:pPr>
        <w:ind w:left="360"/>
      </w:pPr>
      <w:r>
        <w:rPr>
          <w:b/>
          <w:color w:val="2E6F40"/>
        </w:rPr>
        <w:t xml:space="preserve">Maya: </w:t>
      </w:r>
      <w:r>
        <w:t>Have you ever caught it misinterpreting something or giving a flat-out wrong answer?</w:t>
      </w:r>
    </w:p>
    <w:p w14:paraId="4ABC4B60" w14:textId="77777777" w:rsidR="003262A7" w:rsidRDefault="00000000">
      <w:pPr>
        <w:ind w:left="360"/>
      </w:pPr>
      <w:r>
        <w:rPr>
          <w:b/>
          <w:color w:val="4A5568"/>
        </w:rPr>
        <w:t xml:space="preserve">Jonathan: </w:t>
      </w:r>
      <w:r>
        <w:t>Absolutely. Just last month, we were reviewing an updated cross-border data privacy addendum. The AI assured me that the indemnification cap was reciprocal. When I actually read the clause, the grammar was structured with a double negative that effectively capped *their* liability while leaving *our* liability completely uncapped. The AI missed the syntactic inversion. If I hadn’t checked the raw text, we would have signed a catastrophic piece of paper. That’s why the UX of these tools can be dangerous; they present information so beautifully and confidently that it coaxes you into letting your guard down.</w:t>
      </w:r>
    </w:p>
    <w:p w14:paraId="34A46FBA" w14:textId="77777777" w:rsidR="003262A7" w:rsidRDefault="00000000">
      <w:pPr>
        <w:pStyle w:val="Titre1"/>
        <w:spacing w:before="320" w:after="120"/>
      </w:pPr>
      <w:r>
        <w:rPr>
          <w:rFonts w:ascii="Arial" w:hAnsi="Arial"/>
          <w:color w:val="1B365D"/>
          <w:sz w:val="26"/>
        </w:rPr>
        <w:lastRenderedPageBreak/>
        <w:t>Part 3: Needs, Desires, and Interaction Design (28:00 - 45:00)</w:t>
      </w:r>
    </w:p>
    <w:p w14:paraId="235F01D9" w14:textId="77777777" w:rsidR="003262A7" w:rsidRDefault="00000000">
      <w:pPr>
        <w:ind w:left="360"/>
      </w:pPr>
      <w:r>
        <w:rPr>
          <w:b/>
          <w:color w:val="2E6F40"/>
        </w:rPr>
        <w:t xml:space="preserve">Maya: </w:t>
      </w:r>
      <w:r>
        <w:t>That is an incredibly crucial point. It leads perfectly into my next area of focus: your needs and the interface itself. When you are using these tools, what do you need from the user interface to feel safe and effective in your work?</w:t>
      </w:r>
    </w:p>
    <w:p w14:paraId="0ED69C0E" w14:textId="77777777" w:rsidR="003262A7" w:rsidRDefault="00000000">
      <w:pPr>
        <w:ind w:left="360"/>
      </w:pPr>
      <w:r>
        <w:rPr>
          <w:b/>
          <w:color w:val="4A5568"/>
        </w:rPr>
        <w:t xml:space="preserve">Jonathan: </w:t>
      </w:r>
      <w:r>
        <w:t>The number one thing I need is **verifiability at the point of consumption**. I absolutely despise tools that give me a clean, synthesized answer in a text box without inline citations. If an AI legal assistant writes, "Under French law, you have 30 days to cure this specific breach," that text is completely useless to me unless there is a hyperlinked footnote right next to it that hooks into the exact section of the French Civil Code. And when I click that link, I don't want to be taken to a general homepage; I want a split-screen layout showing the exact paragraph of source text with the relevant words highlighted.</w:t>
      </w:r>
    </w:p>
    <w:p w14:paraId="5A2D7DBB" w14:textId="77777777" w:rsidR="003262A7" w:rsidRDefault="00000000">
      <w:pPr>
        <w:ind w:left="360"/>
      </w:pPr>
      <w:r>
        <w:rPr>
          <w:b/>
          <w:color w:val="2E6F40"/>
        </w:rPr>
        <w:t xml:space="preserve">Maya: </w:t>
      </w:r>
      <w:r>
        <w:t>Why is that split-screen layout so important to your workflow?</w:t>
      </w:r>
    </w:p>
    <w:p w14:paraId="1E3D5510" w14:textId="77777777" w:rsidR="003262A7" w:rsidRDefault="00000000">
      <w:pPr>
        <w:ind w:left="360"/>
      </w:pPr>
      <w:r>
        <w:rPr>
          <w:b/>
          <w:color w:val="4A5568"/>
        </w:rPr>
        <w:t xml:space="preserve">Jonathan: </w:t>
      </w:r>
      <w:r>
        <w:t>Because as a lawyer, my reputation is my currency. If I advise the board based on an AI's hallucination, "the AI told me so" is not a valid defense malpractice-wise. I need to be able to audit the AI’s homework in under five seconds. If the tool forces me to copy the citation, open a new tab, log into a separate database, and search for the statute myself just to see if the AI was lying, the tool has failed. It hasn't saved me time; it has just shifted my labor.</w:t>
      </w:r>
    </w:p>
    <w:p w14:paraId="31F51065" w14:textId="77777777" w:rsidR="003262A7" w:rsidRDefault="00000000">
      <w:pPr>
        <w:ind w:left="360"/>
      </w:pPr>
      <w:r>
        <w:rPr>
          <w:b/>
          <w:color w:val="2E6F40"/>
        </w:rPr>
        <w:t xml:space="preserve">Maya: </w:t>
      </w:r>
      <w:r>
        <w:t>Let’s imagine a feature where the AI proactively flags its own uncertainty. How would you want that to behave?</w:t>
      </w:r>
    </w:p>
    <w:p w14:paraId="2182B468" w14:textId="77777777" w:rsidR="003262A7" w:rsidRDefault="00000000">
      <w:pPr>
        <w:ind w:left="360"/>
      </w:pPr>
      <w:r>
        <w:rPr>
          <w:b/>
          <w:color w:val="4A5568"/>
        </w:rPr>
        <w:t xml:space="preserve">Jonathan: </w:t>
      </w:r>
      <w:r>
        <w:t>I want a literal confidence spectrum or clear visual indicators. If the tool is pulling from an ambiguous statute or conflicting case law, it shouldn't try to smooth it over with slick prose. It should highlight that section in amber or red and say, "Warning: Case law on this specific point is split in the 9th Circuit. Click here to see the two competing precedents." I want it to surface the messiness of the law, not hide it.</w:t>
      </w:r>
    </w:p>
    <w:p w14:paraId="2E4FB8B9" w14:textId="77777777" w:rsidR="003262A7" w:rsidRDefault="00000000">
      <w:pPr>
        <w:ind w:left="360"/>
      </w:pPr>
      <w:r>
        <w:rPr>
          <w:b/>
          <w:color w:val="2E6F40"/>
        </w:rPr>
        <w:t xml:space="preserve">Maya: </w:t>
      </w:r>
      <w:r>
        <w:t>Interesting. What about the onboarding or setup process? You mentioned "playbooks" earlier. How easy or difficult was it to configure the AI to understand your company's specific legal needs?</w:t>
      </w:r>
    </w:p>
    <w:p w14:paraId="436E5ADD" w14:textId="77777777" w:rsidR="003262A7" w:rsidRDefault="00000000">
      <w:pPr>
        <w:ind w:left="360"/>
      </w:pPr>
      <w:r>
        <w:rPr>
          <w:b/>
          <w:color w:val="4A5568"/>
        </w:rPr>
        <w:t xml:space="preserve">Jonathan: </w:t>
      </w:r>
      <w:r>
        <w:t>That was a massive headache, frankly. The software came completely blank. We had to spend weeks manually feeding it our past contracts, our standard templates, and typing out long-form prompt guidelines like, "We never accept mutual indemnification in software procurement unless X, Y, and Z are met." The current UX assumes that lawyers are prompt engineers. I don't want to type out a 500-word prompt every time I want the AI to look at a document. I need intuitive, structural building blocks—toggles, radio buttons, drop-down policies—where I can visually construct our legal posture without writing code or formatting perfect paragraphs.</w:t>
      </w:r>
    </w:p>
    <w:p w14:paraId="7BA098F6" w14:textId="77777777" w:rsidR="003262A7" w:rsidRDefault="00000000">
      <w:pPr>
        <w:pStyle w:val="Titre1"/>
        <w:spacing w:before="320" w:after="120"/>
      </w:pPr>
      <w:r>
        <w:rPr>
          <w:rFonts w:ascii="Arial" w:hAnsi="Arial"/>
          <w:color w:val="1B365D"/>
          <w:sz w:val="26"/>
        </w:rPr>
        <w:t>Part 4: Acceptability, Ethics, and Governance (45:00 - 55:00)</w:t>
      </w:r>
    </w:p>
    <w:p w14:paraId="5B191CE9" w14:textId="77777777" w:rsidR="003262A7" w:rsidRDefault="00000000">
      <w:pPr>
        <w:ind w:left="360"/>
      </w:pPr>
      <w:r>
        <w:rPr>
          <w:b/>
          <w:color w:val="2E6F40"/>
        </w:rPr>
        <w:t xml:space="preserve">Maya: </w:t>
      </w:r>
      <w:r>
        <w:t>Let's talk about the broader concept of "acceptability." Beyond your own usage, how do your clients—meaning the internal business units like Sales, Product, or HR—view the integration of AI into your legal advice?</w:t>
      </w:r>
    </w:p>
    <w:p w14:paraId="6D77071C" w14:textId="77777777" w:rsidR="003262A7" w:rsidRDefault="00000000">
      <w:pPr>
        <w:ind w:left="360"/>
      </w:pPr>
      <w:r>
        <w:rPr>
          <w:b/>
          <w:color w:val="4A5568"/>
        </w:rPr>
        <w:lastRenderedPageBreak/>
        <w:t xml:space="preserve">Jonathan: </w:t>
      </w:r>
      <w:r>
        <w:t>There’s a fascinating tension there. On one hand, Sales loves it because they want their contracts approved yesterday. They constantly pressure us, saying, "Can’t you just run this through the AI and sign it?" They see AI as a magic "Go Fast" button. On the other hand, the C-suite is terrified of data leakage. When we first floated the idea of using GenAI, our Chief Information Security Officer (CISO) almost had a heart attack.</w:t>
      </w:r>
    </w:p>
    <w:p w14:paraId="0A58AFAA" w14:textId="77777777" w:rsidR="003262A7" w:rsidRDefault="00000000">
      <w:pPr>
        <w:ind w:left="360"/>
      </w:pPr>
      <w:r>
        <w:rPr>
          <w:b/>
          <w:color w:val="2E6F40"/>
        </w:rPr>
        <w:t xml:space="preserve">Maya: </w:t>
      </w:r>
      <w:r>
        <w:t>How did you address those security concerns? What are the hard boundaries for you regarding data privacy?</w:t>
      </w:r>
    </w:p>
    <w:p w14:paraId="0757D538" w14:textId="77777777" w:rsidR="003262A7" w:rsidRDefault="00000000">
      <w:pPr>
        <w:ind w:left="360"/>
      </w:pPr>
      <w:r>
        <w:rPr>
          <w:b/>
          <w:color w:val="4A5568"/>
        </w:rPr>
        <w:t xml:space="preserve">Jonathan: </w:t>
      </w:r>
      <w:r>
        <w:t>It’s a non-negotiable threshold: our data cannot be used to train any public or third-party models. Period. Everything must live in a completely isolated, single-tenant cloud environment. If a legal tech vendor cannot prove strict data segregation, they are disqualified in the first five minutes of the procurement call. We handle highly confidential trade secrets, impending mergers, and employee data. If that leaks into a shared model pool, it's game over.</w:t>
      </w:r>
    </w:p>
    <w:p w14:paraId="4F9B6B42" w14:textId="77777777" w:rsidR="003262A7" w:rsidRDefault="00000000">
      <w:pPr>
        <w:ind w:left="360"/>
      </w:pPr>
      <w:r>
        <w:rPr>
          <w:b/>
          <w:color w:val="2E6F40"/>
        </w:rPr>
        <w:t xml:space="preserve">Maya: </w:t>
      </w:r>
      <w:r>
        <w:t>Looking ahead, say over the next two to three years, how do you feel about the evolving role of AI in legal advisory? Is there a level of autonomy that you would find unacceptable?</w:t>
      </w:r>
    </w:p>
    <w:p w14:paraId="186E995F" w14:textId="77777777" w:rsidR="003262A7" w:rsidRDefault="00000000">
      <w:pPr>
        <w:ind w:left="360"/>
      </w:pPr>
      <w:r>
        <w:rPr>
          <w:b/>
          <w:color w:val="4A5568"/>
        </w:rPr>
        <w:t xml:space="preserve">Jonathan: </w:t>
      </w:r>
      <w:r>
        <w:t>Yes. I draw a hard line at autonomous execution or advice given directly to business units without a human lawyer in the loop. For instance, I've seen startups pitching "AI Legal Bots" for Slack where a sales rep can type, "Can we give this client a 45-day payment term?" and the bot looks at our financials and says, "Yes, go ahead." That is highly problematic. It constitutes the unauthorized practice of law by a machine, and it bypasses the holistic risk management that only a human can provide. AI should be an advisory engine for *lawyers*, not a replacement for the legal department.</w:t>
      </w:r>
    </w:p>
    <w:p w14:paraId="65FE958B" w14:textId="77777777" w:rsidR="003262A7" w:rsidRDefault="00000000">
      <w:pPr>
        <w:ind w:left="360"/>
      </w:pPr>
      <w:r>
        <w:rPr>
          <w:b/>
          <w:color w:val="2E6F40"/>
        </w:rPr>
        <w:t xml:space="preserve">Maya: </w:t>
      </w:r>
      <w:r>
        <w:t>What is the specific risk of bypassing that human layer?</w:t>
      </w:r>
    </w:p>
    <w:p w14:paraId="72BBF300" w14:textId="77777777" w:rsidR="003262A7" w:rsidRDefault="00000000">
      <w:pPr>
        <w:ind w:left="360"/>
      </w:pPr>
      <w:r>
        <w:rPr>
          <w:b/>
          <w:color w:val="4A5568"/>
        </w:rPr>
        <w:t xml:space="preserve">Jonathan: </w:t>
      </w:r>
      <w:r>
        <w:t>Contextual awareness and empathy. A machine can look at a contract and say it violates Clause 4.B. But a human lawyer knows that this specific vendor is critical to a multi-million dollar launch happening next week, and that our risk appetite for this specific violation is actually quite high given the macro situation. Law isn't just binary logic; it’s a negotiation of human relationships and calculated gambles. AI doesn't know how to gamble safely.</w:t>
      </w:r>
    </w:p>
    <w:p w14:paraId="2F662A5B" w14:textId="77777777" w:rsidR="003262A7" w:rsidRDefault="00000000">
      <w:pPr>
        <w:pStyle w:val="Titre1"/>
        <w:spacing w:before="320" w:after="120"/>
      </w:pPr>
      <w:r>
        <w:rPr>
          <w:rFonts w:ascii="Arial" w:hAnsi="Arial"/>
          <w:color w:val="1B365D"/>
          <w:sz w:val="26"/>
        </w:rPr>
        <w:t>Part 5: Wrap-up &amp; Reflections (55:00 - 60:00)</w:t>
      </w:r>
    </w:p>
    <w:p w14:paraId="7D73B959" w14:textId="77777777" w:rsidR="003262A7" w:rsidRDefault="00000000">
      <w:pPr>
        <w:ind w:left="360"/>
      </w:pPr>
      <w:r>
        <w:rPr>
          <w:b/>
          <w:color w:val="2E6F40"/>
        </w:rPr>
        <w:t xml:space="preserve">Maya: </w:t>
      </w:r>
      <w:r>
        <w:t>That is a powerful distinction. We are coming up on the hour, Jonathan. If you could wave a magic wand and change just one thing about how AI platforms interface with legal professionals today, what would it be?</w:t>
      </w:r>
    </w:p>
    <w:p w14:paraId="5B9A98CC" w14:textId="77777777" w:rsidR="003262A7" w:rsidRDefault="00000000">
      <w:pPr>
        <w:ind w:left="360"/>
      </w:pPr>
      <w:r>
        <w:rPr>
          <w:b/>
          <w:color w:val="4A5568"/>
        </w:rPr>
        <w:t xml:space="preserve">Jonathan: </w:t>
      </w:r>
      <w:r>
        <w:t>I would make them humble. The current UX paradigm of chat-based AI is built on the illusion of omniscience. It answers every question like an absolute authority, even when it's completely guessing. I want a legal AI interface designed around **epistemic humility**—a tool that readily admits what it doesn't know, cleanly maps out its sources, and actively invites human criticism.</w:t>
      </w:r>
    </w:p>
    <w:p w14:paraId="54E4A18D" w14:textId="77777777" w:rsidR="003262A7" w:rsidRDefault="00000000">
      <w:pPr>
        <w:ind w:left="360"/>
      </w:pPr>
      <w:r>
        <w:rPr>
          <w:b/>
          <w:color w:val="2E6F40"/>
        </w:rPr>
        <w:t xml:space="preserve">Maya: </w:t>
      </w:r>
      <w:r>
        <w:t>"Epistemic humility"—I love that phrasing. Well, Jonathan, this has been an incredibly rich session. Your insights into split-screen verifiability, the junior associate mental model, and the boundaries of autonomy are going to directly shape our product roadmap. Is there anything else about this topic that we didn’t cover today that you think is important for a design and research team to understand?</w:t>
      </w:r>
    </w:p>
    <w:p w14:paraId="62167716" w14:textId="77777777" w:rsidR="003262A7" w:rsidRDefault="00000000">
      <w:pPr>
        <w:ind w:left="360"/>
      </w:pPr>
      <w:r>
        <w:rPr>
          <w:b/>
          <w:color w:val="4A5568"/>
        </w:rPr>
        <w:lastRenderedPageBreak/>
        <w:t xml:space="preserve">Jonathan: </w:t>
      </w:r>
      <w:r>
        <w:t>Just remember that lawyers are inherently skeptical and risk-averse by training. If your tool feels like a "black box," we won't use it, no matter how fast it is. Give us control, give us transparency, and show us the receipts for every single claim the AI makes.</w:t>
      </w:r>
    </w:p>
    <w:p w14:paraId="12E3712B" w14:textId="77777777" w:rsidR="003262A7" w:rsidRDefault="00000000">
      <w:pPr>
        <w:ind w:left="360"/>
      </w:pPr>
      <w:r>
        <w:rPr>
          <w:b/>
          <w:color w:val="2E6F40"/>
        </w:rPr>
        <w:t xml:space="preserve">Maya: </w:t>
      </w:r>
      <w:r>
        <w:t>Beautifully put. Thank you so much for your time today, Jonathan. Have a great rest of your day!</w:t>
      </w:r>
    </w:p>
    <w:p w14:paraId="43558F23" w14:textId="5829F86C" w:rsidR="00AD5C9A" w:rsidRDefault="00000000" w:rsidP="001C758A">
      <w:pPr>
        <w:ind w:left="360"/>
      </w:pPr>
      <w:r>
        <w:rPr>
          <w:b/>
          <w:color w:val="4A5568"/>
        </w:rPr>
        <w:t xml:space="preserve">Jonathan: </w:t>
      </w:r>
      <w:r>
        <w:t>You too, Maya. Take care.</w:t>
      </w:r>
      <w:r w:rsidR="001C758A">
        <w:t xml:space="preserve"> </w:t>
      </w:r>
    </w:p>
    <w:sectPr w:rsidR="00AD5C9A" w:rsidSect="00034616">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85424B" w14:textId="77777777" w:rsidR="00AD5C9A" w:rsidRDefault="00AD5C9A" w:rsidP="001C758A">
      <w:pPr>
        <w:spacing w:after="0" w:line="240" w:lineRule="auto"/>
      </w:pPr>
      <w:r>
        <w:separator/>
      </w:r>
    </w:p>
  </w:endnote>
  <w:endnote w:type="continuationSeparator" w:id="0">
    <w:p w14:paraId="18C1C4CF" w14:textId="77777777" w:rsidR="00AD5C9A" w:rsidRDefault="00AD5C9A" w:rsidP="001C7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393E3" w14:textId="0AB13F98" w:rsidR="001C758A" w:rsidRDefault="001C758A">
    <w:pPr>
      <w:pStyle w:val="Pieddepage"/>
    </w:pPr>
    <w:r>
      <w:rPr>
        <w:noProof/>
      </w:rPr>
      <mc:AlternateContent>
        <mc:Choice Requires="wps">
          <w:drawing>
            <wp:anchor distT="0" distB="0" distL="0" distR="0" simplePos="0" relativeHeight="251659264" behindDoc="0" locked="0" layoutInCell="1" allowOverlap="1" wp14:anchorId="4CE15EE5" wp14:editId="6EF7EBDD">
              <wp:simplePos x="635" y="635"/>
              <wp:positionH relativeFrom="page">
                <wp:align>center</wp:align>
              </wp:positionH>
              <wp:positionV relativeFrom="page">
                <wp:align>bottom</wp:align>
              </wp:positionV>
              <wp:extent cx="845185" cy="341630"/>
              <wp:effectExtent l="0" t="0" r="5715" b="0"/>
              <wp:wrapNone/>
              <wp:docPr id="1759668334" name="Zone de texte 2"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1630"/>
                      </a:xfrm>
                      <a:prstGeom prst="rect">
                        <a:avLst/>
                      </a:prstGeom>
                      <a:noFill/>
                      <a:ln>
                        <a:noFill/>
                      </a:ln>
                    </wps:spPr>
                    <wps:txbx>
                      <w:txbxContent>
                        <w:p w14:paraId="2E422366" w14:textId="3A54C0CB" w:rsidR="001C758A" w:rsidRPr="001C758A" w:rsidRDefault="001C758A" w:rsidP="001C758A">
                          <w:pPr>
                            <w:spacing w:after="0"/>
                            <w:rPr>
                              <w:rFonts w:eastAsia="Arial" w:cs="Arial"/>
                              <w:noProof/>
                              <w:color w:val="008000"/>
                              <w:sz w:val="18"/>
                              <w:szCs w:val="18"/>
                            </w:rPr>
                          </w:pPr>
                          <w:r w:rsidRPr="001C758A">
                            <w:rPr>
                              <w:rFonts w:eastAsia="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E15EE5" id="_x0000_t202" coordsize="21600,21600" o:spt="202" path="m,l,21600r21600,l21600,xe">
              <v:stroke joinstyle="miter"/>
              <v:path gradientshapeok="t" o:connecttype="rect"/>
            </v:shapetype>
            <v:shape id="Zone de texte 2" o:spid="_x0000_s1026" type="#_x0000_t202" alt="C1 - Internal use" style="position:absolute;margin-left:0;margin-top:0;width:66.55pt;height:26.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" filled="f" stroked="f">
              <v:fill o:detectmouseclick="t"/>
              <v:textbox style="mso-fit-shape-to-text:t" inset="0,0,0,15pt">
                <w:txbxContent>
                  <w:p w14:paraId="2E422366" w14:textId="3A54C0CB" w:rsidR="001C758A" w:rsidRPr="001C758A" w:rsidRDefault="001C758A" w:rsidP="001C758A">
                    <w:pPr>
                      <w:spacing w:after="0"/>
                      <w:rPr>
                        <w:rFonts w:eastAsia="Arial" w:cs="Arial"/>
                        <w:noProof/>
                        <w:color w:val="008000"/>
                        <w:sz w:val="18"/>
                        <w:szCs w:val="18"/>
                      </w:rPr>
                    </w:pPr>
                    <w:r w:rsidRPr="001C758A">
                      <w:rPr>
                        <w:rFonts w:eastAsia="Arial" w:cs="Arial"/>
                        <w:noProof/>
                        <w:color w:val="008000"/>
                        <w:sz w:val="18"/>
                        <w:szCs w:val="18"/>
                      </w:rPr>
                      <w:t>C1 -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6FC7E4" w14:textId="4F4D4F3F" w:rsidR="001C758A" w:rsidRDefault="001C758A">
    <w:pPr>
      <w:pStyle w:val="Pieddepage"/>
    </w:pPr>
    <w:r>
      <w:rPr>
        <w:noProof/>
      </w:rPr>
      <mc:AlternateContent>
        <mc:Choice Requires="wps">
          <w:drawing>
            <wp:anchor distT="0" distB="0" distL="0" distR="0" simplePos="0" relativeHeight="251660288" behindDoc="0" locked="0" layoutInCell="1" allowOverlap="1" wp14:anchorId="63E5FE19" wp14:editId="0640A729">
              <wp:simplePos x="0" y="0"/>
              <wp:positionH relativeFrom="page">
                <wp:align>center</wp:align>
              </wp:positionH>
              <wp:positionV relativeFrom="page">
                <wp:align>bottom</wp:align>
              </wp:positionV>
              <wp:extent cx="845185" cy="341630"/>
              <wp:effectExtent l="0" t="0" r="5715" b="0"/>
              <wp:wrapNone/>
              <wp:docPr id="1704141050" name="Zone de texte 3"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1630"/>
                      </a:xfrm>
                      <a:prstGeom prst="rect">
                        <a:avLst/>
                      </a:prstGeom>
                      <a:noFill/>
                      <a:ln>
                        <a:noFill/>
                      </a:ln>
                    </wps:spPr>
                    <wps:txbx>
                      <w:txbxContent>
                        <w:p w14:paraId="60B0113F" w14:textId="5D927E65" w:rsidR="001C758A" w:rsidRPr="001C758A" w:rsidRDefault="001C758A" w:rsidP="001C758A">
                          <w:pPr>
                            <w:spacing w:after="0"/>
                            <w:rPr>
                              <w:rFonts w:eastAsia="Arial" w:cs="Arial"/>
                              <w:noProof/>
                              <w:color w:val="008000"/>
                              <w:sz w:val="18"/>
                              <w:szCs w:val="18"/>
                            </w:rPr>
                          </w:pPr>
                          <w:r w:rsidRPr="001C758A">
                            <w:rPr>
                              <w:rFonts w:eastAsia="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E5FE19" id="_x0000_t202" coordsize="21600,21600" o:spt="202" path="m,l,21600r21600,l21600,xe">
              <v:stroke joinstyle="miter"/>
              <v:path gradientshapeok="t" o:connecttype="rect"/>
            </v:shapetype>
            <v:shape id="Zone de texte 3" o:spid="_x0000_s1027" type="#_x0000_t202" alt="C1 - Internal use" style="position:absolute;margin-left:0;margin-top:0;width:66.55pt;height:26.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" filled="f" stroked="f">
              <v:fill o:detectmouseclick="t"/>
              <v:textbox style="mso-fit-shape-to-text:t" inset="0,0,0,15pt">
                <w:txbxContent>
                  <w:p w14:paraId="60B0113F" w14:textId="5D927E65" w:rsidR="001C758A" w:rsidRPr="001C758A" w:rsidRDefault="001C758A" w:rsidP="001C758A">
                    <w:pPr>
                      <w:spacing w:after="0"/>
                      <w:rPr>
                        <w:rFonts w:eastAsia="Arial" w:cs="Arial"/>
                        <w:noProof/>
                        <w:color w:val="008000"/>
                        <w:sz w:val="18"/>
                        <w:szCs w:val="18"/>
                      </w:rPr>
                    </w:pPr>
                    <w:r w:rsidRPr="001C758A">
                      <w:rPr>
                        <w:rFonts w:eastAsia="Arial" w:cs="Arial"/>
                        <w:noProof/>
                        <w:color w:val="008000"/>
                        <w:sz w:val="18"/>
                        <w:szCs w:val="18"/>
                      </w:rPr>
                      <w:t>C1 -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C740BA" w14:textId="2C649F1D" w:rsidR="001C758A" w:rsidRDefault="001C758A">
    <w:pPr>
      <w:pStyle w:val="Pieddepage"/>
    </w:pPr>
    <w:r>
      <w:rPr>
        <w:noProof/>
      </w:rPr>
      <mc:AlternateContent>
        <mc:Choice Requires="wps">
          <w:drawing>
            <wp:anchor distT="0" distB="0" distL="0" distR="0" simplePos="0" relativeHeight="251658240" behindDoc="0" locked="0" layoutInCell="1" allowOverlap="1" wp14:anchorId="2B38E02C" wp14:editId="2326AA7A">
              <wp:simplePos x="635" y="635"/>
              <wp:positionH relativeFrom="page">
                <wp:align>center</wp:align>
              </wp:positionH>
              <wp:positionV relativeFrom="page">
                <wp:align>bottom</wp:align>
              </wp:positionV>
              <wp:extent cx="845185" cy="341630"/>
              <wp:effectExtent l="0" t="0" r="5715" b="0"/>
              <wp:wrapNone/>
              <wp:docPr id="1329263234" name="Zone de texte 1"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1630"/>
                      </a:xfrm>
                      <a:prstGeom prst="rect">
                        <a:avLst/>
                      </a:prstGeom>
                      <a:noFill/>
                      <a:ln>
                        <a:noFill/>
                      </a:ln>
                    </wps:spPr>
                    <wps:txbx>
                      <w:txbxContent>
                        <w:p w14:paraId="46C05D18" w14:textId="5CC02CA5" w:rsidR="001C758A" w:rsidRPr="001C758A" w:rsidRDefault="001C758A" w:rsidP="001C758A">
                          <w:pPr>
                            <w:spacing w:after="0"/>
                            <w:rPr>
                              <w:rFonts w:eastAsia="Arial" w:cs="Arial"/>
                              <w:noProof/>
                              <w:color w:val="008000"/>
                              <w:sz w:val="18"/>
                              <w:szCs w:val="18"/>
                            </w:rPr>
                          </w:pPr>
                          <w:r w:rsidRPr="001C758A">
                            <w:rPr>
                              <w:rFonts w:eastAsia="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38E02C" id="_x0000_t202" coordsize="21600,21600" o:spt="202" path="m,l,21600r21600,l21600,xe">
              <v:stroke joinstyle="miter"/>
              <v:path gradientshapeok="t" o:connecttype="rect"/>
            </v:shapetype>
            <v:shape id="Zone de texte 1" o:spid="_x0000_s1028" type="#_x0000_t202" alt="C1 - Internal use" style="position:absolute;margin-left:0;margin-top:0;width:66.55pt;height:26.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" filled="f" stroked="f">
              <v:fill o:detectmouseclick="t"/>
              <v:textbox style="mso-fit-shape-to-text:t" inset="0,0,0,15pt">
                <w:txbxContent>
                  <w:p w14:paraId="46C05D18" w14:textId="5CC02CA5" w:rsidR="001C758A" w:rsidRPr="001C758A" w:rsidRDefault="001C758A" w:rsidP="001C758A">
                    <w:pPr>
                      <w:spacing w:after="0"/>
                      <w:rPr>
                        <w:rFonts w:eastAsia="Arial" w:cs="Arial"/>
                        <w:noProof/>
                        <w:color w:val="008000"/>
                        <w:sz w:val="18"/>
                        <w:szCs w:val="18"/>
                      </w:rPr>
                    </w:pPr>
                    <w:r w:rsidRPr="001C758A">
                      <w:rPr>
                        <w:rFonts w:eastAsia="Arial" w:cs="Arial"/>
                        <w:noProof/>
                        <w:color w:val="008000"/>
                        <w:sz w:val="18"/>
                        <w:szCs w:val="18"/>
                      </w:rPr>
                      <w:t>C1 -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3666E7" w14:textId="77777777" w:rsidR="00AD5C9A" w:rsidRDefault="00AD5C9A" w:rsidP="001C758A">
      <w:pPr>
        <w:spacing w:after="0" w:line="240" w:lineRule="auto"/>
      </w:pPr>
      <w:r>
        <w:separator/>
      </w:r>
    </w:p>
  </w:footnote>
  <w:footnote w:type="continuationSeparator" w:id="0">
    <w:p w14:paraId="7DDCE33E" w14:textId="77777777" w:rsidR="00AD5C9A" w:rsidRDefault="00AD5C9A" w:rsidP="001C7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79454689">
    <w:abstractNumId w:val="8"/>
  </w:num>
  <w:num w:numId="2" w16cid:durableId="1042436655">
    <w:abstractNumId w:val="6"/>
  </w:num>
  <w:num w:numId="3" w16cid:durableId="1414816901">
    <w:abstractNumId w:val="5"/>
  </w:num>
  <w:num w:numId="4" w16cid:durableId="751396679">
    <w:abstractNumId w:val="4"/>
  </w:num>
  <w:num w:numId="5" w16cid:durableId="166605052">
    <w:abstractNumId w:val="7"/>
  </w:num>
  <w:num w:numId="6" w16cid:durableId="1889875441">
    <w:abstractNumId w:val="3"/>
  </w:num>
  <w:num w:numId="7" w16cid:durableId="34013909">
    <w:abstractNumId w:val="2"/>
  </w:num>
  <w:num w:numId="8" w16cid:durableId="1852646687">
    <w:abstractNumId w:val="1"/>
  </w:num>
  <w:num w:numId="9" w16cid:durableId="12454583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5E5"/>
    <w:rsid w:val="0015074B"/>
    <w:rsid w:val="001C758A"/>
    <w:rsid w:val="0029639D"/>
    <w:rsid w:val="003262A7"/>
    <w:rsid w:val="00326F90"/>
    <w:rsid w:val="00AA1D8D"/>
    <w:rsid w:val="00AD5C9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D33F5"/>
  <w14:defaultImageDpi w14:val="300"/>
  <w15:docId w15:val="{DEFC51DB-7E69-6C48-961B-6953BA8A9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B2B2B"/>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2000</Words>
  <Characters>11000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AMAT Paul - MICROPOLE</cp:lastModifiedBy>
  <cp:revision>2</cp:revision>
  <dcterms:created xsi:type="dcterms:W3CDTF">2013-12-23T23:15:00Z</dcterms:created>
  <dcterms:modified xsi:type="dcterms:W3CDTF">2026-06-21T17:32:00Z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4f3af282,68e2686e,659320fa</vt:lpwstr>
  </property>
  <property fmtid="{D5CDD505-2E9C-101B-9397-08002B2CF9AE}" pid="3" name="ClassificationContentMarkingFooterFontProps">
    <vt:lpwstr>#008000,9,arial</vt:lpwstr>
  </property>
  <property fmtid="{D5CDD505-2E9C-101B-9397-08002B2CF9AE}" pid="4" name="ClassificationContentMarkingFooterText">
    <vt:lpwstr>C1 - Internal use</vt:lpwstr>
  </property>
  <property fmtid="{D5CDD505-2E9C-101B-9397-08002B2CF9AE}" pid="5" name="MSIP_Label_f43b7177-c66c-4b22-a350-7ee86f9a1e74_Enabled">
    <vt:lpwstr>true</vt:lpwstr>
  </property>
  <property fmtid="{D5CDD505-2E9C-101B-9397-08002B2CF9AE}" pid="6" name="MSIP_Label_f43b7177-c66c-4b22-a350-7ee86f9a1e74_SetDate">
    <vt:lpwstr>2026-06-21T17:32:46Z</vt:lpwstr>
  </property>
  <property fmtid="{D5CDD505-2E9C-101B-9397-08002B2CF9AE}" pid="7" name="MSIP_Label_f43b7177-c66c-4b22-a350-7ee86f9a1e74_Method">
    <vt:lpwstr>Standard</vt:lpwstr>
  </property>
  <property fmtid="{D5CDD505-2E9C-101B-9397-08002B2CF9AE}" pid="8" name="MSIP_Label_f43b7177-c66c-4b22-a350-7ee86f9a1e74_Name">
    <vt:lpwstr>C1_Internal use</vt:lpwstr>
  </property>
  <property fmtid="{D5CDD505-2E9C-101B-9397-08002B2CF9AE}" pid="9" name="MSIP_Label_f43b7177-c66c-4b22-a350-7ee86f9a1e74_SiteId">
    <vt:lpwstr>e4e1abd9-eac7-4a71-ab52-da5c998aa7ba</vt:lpwstr>
  </property>
  <property fmtid="{D5CDD505-2E9C-101B-9397-08002B2CF9AE}" pid="10" name="MSIP_Label_f43b7177-c66c-4b22-a350-7ee86f9a1e74_ActionId">
    <vt:lpwstr>4a777b49-cf42-4560-96eb-54768c56aa95</vt:lpwstr>
  </property>
  <property fmtid="{D5CDD505-2E9C-101B-9397-08002B2CF9AE}" pid="11" name="MSIP_Label_f43b7177-c66c-4b22-a350-7ee86f9a1e74_ContentBits">
    <vt:lpwstr>2</vt:lpwstr>
  </property>
  <property fmtid="{D5CDD505-2E9C-101B-9397-08002B2CF9AE}" pid="12" name="MSIP_Label_f43b7177-c66c-4b22-a350-7ee86f9a1e74_Tag">
    <vt:lpwstr>50, 3, 0, 1</vt:lpwstr>
  </property>
</Properties>
</file>