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Formazione e Compliance</w:t>
      </w:r>
    </w:p>
    <w:p/>
    <w:p>
      <w:pPr>
        <w:spacing w:after="120"/>
        <w:jc w:val="left"/>
      </w:pPr>
      <w:r>
        <w:rPr>
          <w:rFonts w:ascii="Calibri" w:hAnsi="Calibri"/>
          <w:b/>
          <w:color w:val="1F497D"/>
          <w:sz w:val="48"/>
        </w:rPr>
        <w:t>L'AI Literacy non è un corso.</w:t>
        <w:br/>
        <w:t>Scade ad agosto.</w:t>
      </w:r>
    </w:p>
    <w:p>
      <w:pPr>
        <w:spacing w:after="200"/>
        <w:jc w:val="left"/>
      </w:pPr>
      <w:r>
        <w:rPr>
          <w:rFonts w:ascii="Calibri" w:hAnsi="Calibri"/>
          <w:i/>
          <w:color w:val="2E74B5"/>
          <w:sz w:val="26"/>
        </w:rPr>
        <w:t>L'articolo 4 dell'AI Act impone a qualsiasi impresa che usa strumenti AI di garantire competenze adeguate al proprio personale. Il termine è il 2 agosto 2026. La maggior parte delle imprese non ha ancora fatto nulla.</w:t>
      </w:r>
    </w:p>
    <w:p>
      <w:pPr>
        <w:spacing w:after="40" w:before="40"/>
        <w:pBdr>
          <w:bottom w:val="single" w:sz="6" w:space="1" w:color="1F497D"/>
        </w:pBdr>
      </w:pPr>
    </w:p>
    <w:p>
      <w:pPr>
        <w:spacing w:after="320"/>
        <w:jc w:val="left"/>
      </w:pPr>
      <w:r>
        <w:rPr>
          <w:rFonts w:ascii="Calibri" w:hAnsi="Calibri"/>
          <w:color w:val="808080"/>
          <w:sz w:val="18"/>
        </w:rPr>
        <w:t>A cura della Redazione Ratio  •  29 maggio 2026</w:t>
      </w:r>
    </w:p>
    <w:p>
      <w:pPr>
        <w:spacing w:after="160" w:line="320" w:lineRule="exact"/>
        <w:jc w:val="both"/>
      </w:pPr>
      <w:r>
        <w:rPr>
          <w:rFonts w:ascii="Calibri" w:hAnsi="Calibri"/>
          <w:sz w:val="22"/>
        </w:rPr>
        <w:t>Proviamo a partire da una situazione concreta. Un'impresa di quindici persone usa ChatGPT per redigere offerte commerciali, rispondere alle email dei clienti e riassumere i verbali delle riunioni. Lo usano quattro collaboratori, senza una formazione specifica, senza una policy interna, senza che nessuno abbia verificato se quello che producono sia corretto prima di inviarlo. Il titolare sa che "usano l'AI" e ritiene di aver fatto la cosa giusta portando lo strumento in azienda. Dal 2 agosto 2026, quella situazione configura una violazione dell'articolo 4 dell'AI Act, il quale prevede che chiunque dispieghi sistemi AI nel proprio contesto lavorativo assicuri che il personale abbia un livello adeguato di AI Literacy.</w:t>
      </w:r>
    </w:p>
    <w:p>
      <w:pPr>
        <w:spacing w:after="160" w:line="320" w:lineRule="exact"/>
        <w:jc w:val="both"/>
      </w:pPr>
      <w:r>
        <w:rPr>
          <w:rFonts w:ascii="Calibri" w:hAnsi="Calibri"/>
          <w:sz w:val="22"/>
        </w:rPr>
        <w:t>La data non è negoziabile e non è stata toccata dal Digital Omnibus. Il rinvio che l'accordo del 7 maggio ha introdotto riguarda i sistemi ad alto rischio: documentazione tecnica, supervisione obbligatoria, registrazione europea. L'obbligo di alfabetizzazione minima era in una parte diversa del regolamento e non è stato modificato. La Legge 132/2025 ha poi introdotto obblighi aggiuntivi a livello nazionale, collegando la formazione sull'AI anche alle normative sulla sicurezza sul lavoro e sui diritti dei lavoratori nell'uso degli strumenti algoritmici.</w:t>
      </w:r>
    </w:p>
    <w:p>
      <w:pPr>
        <w:spacing w:before="280" w:after="120"/>
      </w:pPr>
      <w:r>
        <w:rPr>
          <w:rFonts w:ascii="Calibri" w:hAnsi="Calibri"/>
          <w:b/>
          <w:color w:val="1F497D"/>
          <w:sz w:val="24"/>
        </w:rPr>
        <w:t>Cosa significa AI Literacy nella pratica</w:t>
      </w:r>
    </w:p>
    <w:p>
      <w:pPr>
        <w:spacing w:after="160" w:line="320" w:lineRule="exact"/>
        <w:jc w:val="both"/>
      </w:pPr>
      <w:r>
        <w:rPr>
          <w:rFonts w:ascii="Calibri" w:hAnsi="Calibri"/>
          <w:sz w:val="22"/>
        </w:rPr>
        <w:t>Uno degli equivoci più diffusi sull'obbligo di AI Literacy è che si tratti di formare tutti i dipendenti come esperti di machine learning. La norma non dice questo. Dice che chi usa strumenti AI nel proprio lavoro deve avere consapevolezza sufficiente a usarli in modo responsabile. Il livello richiesto dipende dal ruolo: chi usa un chatbot per rispondere ai clienti deve capire che il sistema può sbagliare, che non va usato per comunicazioni che richiedono una verifica critica, che i dati dei clienti non vanno inseriti in strumenti non valutati dal punto di vista della privacy. Chi firma documenti prodotti con il supporto dell'AI deve sapere cosa sta firmando e perché ne è responsabile.</w:t>
      </w:r>
    </w:p>
    <w:p>
      <w:pPr>
        <w:spacing w:after="160" w:line="320" w:lineRule="exact"/>
        <w:jc w:val="both"/>
      </w:pPr>
      <w:r>
        <w:rPr>
          <w:rFonts w:ascii="Calibri" w:hAnsi="Calibri"/>
          <w:sz w:val="22"/>
        </w:rPr>
        <w:t>Per un'impresa con cinque o dieci dipendenti, questo può tradursi in una sessione di due ore con qualcuno che conosce gli strumenti usati dall'azienda, seguita da un documento sintetico con le regole d'uso. Per uno studio professionale con personale che usa strumenti AI per la gestione dei clienti, il livello atteso è più alto: capire la differenza tra un output da usare come bozza e uno da firmare direttamente, riconoscere i segnali di una risposta plausibile ma sbagliata, sapere quando è obbligatorio verificare la fonte. Non è un corso universitario. È la stessa responsabilità che si chiede a chi usa un software gestionale: sapere cosa fa e sapere dove può sbagliare.</w:t>
      </w:r>
    </w:p>
    <w:p>
      <w:pPr>
        <w:spacing w:before="280" w:after="120"/>
      </w:pPr>
      <w:r>
        <w:rPr>
          <w:rFonts w:ascii="Calibri" w:hAnsi="Calibri"/>
          <w:b/>
          <w:color w:val="1F497D"/>
          <w:sz w:val="24"/>
        </w:rPr>
        <w:t>La documentazione che serve</w:t>
      </w:r>
    </w:p>
    <w:p>
      <w:pPr>
        <w:spacing w:after="160" w:line="320" w:lineRule="exact"/>
        <w:jc w:val="both"/>
      </w:pPr>
      <w:r>
        <w:rPr>
          <w:rFonts w:ascii="Calibri" w:hAnsi="Calibri"/>
          <w:sz w:val="22"/>
        </w:rPr>
        <w:t>La Legge 132/2025 e le indicazioni attuative della Commissione europea convergono su un punto: l'obbligo di AI Literacy non si assolve con una dichiarazione interna. Serve documentazione tracciabile. Questo significa registri di formazione, datati e firmati, con indicazione degli strumenti AI oggetto della formazione e del contenuto trattato. Significa anche che la formazione non può essere generica: "corso sull'intelligenza artificiale" non basta se l'azienda usa specificamente uno strumento per la gestione delle comunicazioni commerciali. La formazione deve essere adeguata all'uso concreto.</w:t>
      </w:r>
    </w:p>
    <w:p>
      <w:pPr>
        <w:spacing w:after="160" w:line="320" w:lineRule="exact"/>
        <w:jc w:val="both"/>
      </w:pPr>
      <w:r>
        <w:rPr>
          <w:rFonts w:ascii="Calibri" w:hAnsi="Calibri"/>
          <w:sz w:val="22"/>
        </w:rPr>
        <w:t>Per le imprese con dipendenti, questo entra anche nel quadro dei diritti dei lavoratori. Il D.Lgs. 47/2026 ha rafforzato il collegamento tra AI governance e struttura organizzativa, il che significa che un dipendente che subisce conseguenze lavorative da decisioni prese con il supporto di sistemi AI ha diritto a sapere che quello strumento era in uso, con quali criteri funzionava e quali verifiche erano previste. L'obbligo di trasparenza interna non è separato dall'obbligo di formazione: sono due facce dello stesso adempimento.</w:t>
      </w:r>
    </w:p>
    <w:p>
      <w:pPr>
        <w:spacing w:before="280" w:after="120"/>
      </w:pPr>
      <w:r>
        <w:rPr>
          <w:rFonts w:ascii="Calibri" w:hAnsi="Calibri"/>
          <w:b/>
          <w:color w:val="1F497D"/>
          <w:sz w:val="24"/>
        </w:rPr>
        <w:t>Il rischio di arrivare ad agosto senza averlo fatto</w:t>
      </w:r>
    </w:p>
    <w:p>
      <w:pPr>
        <w:spacing w:after="160" w:line="320" w:lineRule="exact"/>
        <w:jc w:val="both"/>
      </w:pPr>
      <w:r>
        <w:rPr>
          <w:rFonts w:ascii="Calibri" w:hAnsi="Calibri"/>
          <w:sz w:val="22"/>
        </w:rPr>
        <w:t>L'ACN può avviare procedure di verifica su segnalazione o d'ufficio. Le sanzioni per la violazione degli obblighi di trasparenza e formazione non raggiungono le cifre previste per i sistemi ad alto rischio, ma non sono simboliche. Per una PMI con meno di cinquanta dipendenti, una sanzione anche minima ha un impatto reputazionale e operativo che non si risolve in fretta.</w:t>
      </w:r>
    </w:p>
    <w:p>
      <w:pPr>
        <w:spacing w:after="160" w:line="320" w:lineRule="exact"/>
        <w:jc w:val="both"/>
      </w:pPr>
      <w:r>
        <w:rPr>
          <w:rFonts w:ascii="Calibri" w:hAnsi="Calibri"/>
          <w:sz w:val="22"/>
        </w:rPr>
        <w:t>C'è però un rischio più immediato di quello sanzionatorio. Un collaboratore che usa ChatGPT per preparare una comunicazione commerciale e non sa che il modello può generare numeri plausibili ma sbagliati ha già creato un problema, indipendentemente da agosto. La formazione obbligatoria non è pensata per proteggere l'azienda dall'ispezione: è pensata per far sì che gli strumenti AI producano valore invece di rischi. Trattarla come un adempimento burocratico da archiviare è il modo più sicuro per sprecare sia il tempo della formazione che i vantaggi dello strumento.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Regolamento UE 2024/1689 (AI Act) — art. 4: Alfabetizzazione in materia di AI</w:t>
      </w:r>
    </w:p>
    <w:p>
      <w:pPr>
        <w:spacing w:after="40"/>
      </w:pPr>
      <w:r>
        <w:rPr>
          <w:rFonts w:ascii="Calibri" w:hAnsi="Calibri"/>
          <w:color w:val="606060"/>
          <w:sz w:val="17"/>
        </w:rPr>
        <w:t>• Legge 10 ottobre 2025, n. 132 — obblighi di formazione e trasparenza algoritmica</w:t>
      </w:r>
    </w:p>
    <w:p>
      <w:pPr>
        <w:spacing w:after="40"/>
      </w:pPr>
      <w:r>
        <w:rPr>
          <w:rFonts w:ascii="Calibri" w:hAnsi="Calibri"/>
          <w:color w:val="606060"/>
          <w:sz w:val="17"/>
        </w:rPr>
        <w:t>• D.Lgs. 47/2026 — governance digitale e diritti dei lavoratori</w:t>
      </w:r>
    </w:p>
    <w:p>
      <w:pPr>
        <w:spacing w:after="40"/>
      </w:pPr>
      <w:r>
        <w:rPr>
          <w:rFonts w:ascii="Calibri" w:hAnsi="Calibri"/>
          <w:color w:val="606060"/>
          <w:sz w:val="17"/>
        </w:rPr>
        <w:t>• Commissione europea — FAQ su AI Literacy: chiarimenti attuativi 2026</w:t>
      </w:r>
    </w:p>
    <w:p>
      <w:pPr>
        <w:spacing w:after="40"/>
      </w:pPr>
      <w:r>
        <w:rPr>
          <w:rFonts w:ascii="Calibri" w:hAnsi="Calibri"/>
          <w:color w:val="606060"/>
          <w:sz w:val="17"/>
        </w:rPr>
        <w:t>• Antonio Sinibaldi — "AI literacy e obbligo formativo: cosa fare entro agosto 2026"</w:t>
      </w:r>
    </w:p>
    <w:p>
      <w:pPr>
        <w:spacing w:after="40"/>
      </w:pPr>
      <w:r>
        <w:rPr>
          <w:rFonts w:ascii="Calibri" w:hAnsi="Calibri"/>
          <w:color w:val="606060"/>
          <w:sz w:val="17"/>
        </w:rPr>
        <w:t>• Randstad — "AI literacy e obbligo di formazione nelle aziende: come muoversi?"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