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aps/>
          <w:color w:val="1F497D"/>
          <w:sz w:val="18"/>
        </w:rPr>
        <w:t>RATIO  •  Approfondimenti per Professionisti e Imprese</w:t>
      </w:r>
    </w:p>
    <w:p>
      <w:pPr>
        <w:spacing w:after="40" w:before="40"/>
        <w:pBdr>
          <w:bottom w:val="single" w:sz="6" w:space="1" w:color="1F497D"/>
        </w:pBdr>
      </w:pPr>
    </w:p>
    <w:p>
      <w:pPr>
        <w:jc w:val="right"/>
      </w:pPr>
      <w:r>
        <w:rPr>
          <w:rFonts w:ascii="Calibri" w:hAnsi="Calibri"/>
          <w:i/>
          <w:color w:val="606060"/>
          <w:sz w:val="17"/>
        </w:rPr>
        <w:t>Maggio 2026  |  Normativa AI</w:t>
      </w:r>
    </w:p>
    <w:p/>
    <w:p>
      <w:pPr>
        <w:spacing w:after="120"/>
        <w:jc w:val="left"/>
      </w:pPr>
      <w:r>
        <w:rPr>
          <w:rFonts w:ascii="Calibri" w:hAnsi="Calibri"/>
          <w:b/>
          <w:color w:val="1F497D"/>
          <w:sz w:val="48"/>
        </w:rPr>
        <w:t>Il Digital Omnibus ha slittato</w:t>
        <w:br/>
        <w:t>le scadenze. Non tutte.</w:t>
      </w:r>
    </w:p>
    <w:p>
      <w:pPr>
        <w:spacing w:after="200"/>
        <w:jc w:val="left"/>
      </w:pPr>
      <w:r>
        <w:rPr>
          <w:rFonts w:ascii="Calibri" w:hAnsi="Calibri"/>
          <w:i/>
          <w:color w:val="2E74B5"/>
          <w:sz w:val="26"/>
        </w:rPr>
        <w:t>L'accordo del 7 maggio 2026 sposta al 2027 le regole sui sistemi ad alto rischio. Trasparenza, divieti e AI Literacy restano fermi ad agosto.</w:t>
      </w:r>
    </w:p>
    <w:p>
      <w:pPr>
        <w:spacing w:after="40" w:before="40"/>
        <w:pBdr>
          <w:bottom w:val="single" w:sz="6" w:space="1" w:color="1F497D"/>
        </w:pBdr>
      </w:pPr>
    </w:p>
    <w:p>
      <w:pPr>
        <w:spacing w:after="320"/>
        <w:jc w:val="left"/>
      </w:pPr>
      <w:r>
        <w:rPr>
          <w:rFonts w:ascii="Calibri" w:hAnsi="Calibri"/>
          <w:color w:val="808080"/>
          <w:sz w:val="18"/>
        </w:rPr>
        <w:t>A cura della Redazione Ratio  •  29 maggio 2026</w:t>
      </w:r>
    </w:p>
    <w:p>
      <w:pPr>
        <w:spacing w:after="160" w:line="320" w:lineRule="exact"/>
        <w:jc w:val="both"/>
      </w:pPr>
      <w:r>
        <w:rPr>
          <w:rFonts w:ascii="Calibri" w:hAnsi="Calibri"/>
          <w:sz w:val="22"/>
        </w:rPr>
        <w:t>Nelle ultime settimane si è diffusa nelle imprese italiane una lettura parzialmente sbagliata del pacchetto normativo che l'Unione Europea ha chiamato Digital Omnibus. La notizia vera, quella che ha circolato di più, è che il 7 maggio 2026 il Parlamento europeo e il Consiglio hanno raggiunto un accordo provvisorio per spostare in avanti le scadenze più impegnative dell'AI Act. La notizia che si è persa per strada è che non tutte le scadenze hanno slittato. Alcune restano esattamente dove erano.</w:t>
      </w:r>
    </w:p>
    <w:p>
      <w:pPr>
        <w:spacing w:after="160" w:line="320" w:lineRule="exact"/>
        <w:jc w:val="both"/>
      </w:pPr>
      <w:r>
        <w:rPr>
          <w:rFonts w:ascii="Calibri" w:hAnsi="Calibri"/>
          <w:sz w:val="22"/>
        </w:rPr>
        <w:t>Il rinvio riguarda le norme sui sistemi di intelligenza artificiale classificati ad alto rischio: quelle regole, tra cui la documentazione tecnica, la supervisione umana obbligatoria e la registrazione nei database europei, vengono spostate al 2 dicembre 2027 e al 2 agosto 2028. Per le PMI italiane che non sviluppano sistemi AI ma li utilizzano come utenti finali, questo rinvio è concreto e significativo. Ma non è l'unica data in calendario.</w:t>
      </w:r>
    </w:p>
    <w:p>
      <w:pPr>
        <w:spacing w:before="280" w:after="120"/>
      </w:pPr>
      <w:r>
        <w:rPr>
          <w:rFonts w:ascii="Calibri" w:hAnsi="Calibri"/>
          <w:b/>
          <w:color w:val="1F497D"/>
          <w:sz w:val="24"/>
        </w:rPr>
        <w:t>Cosa resta fermo al 2 agosto 2026</w:t>
      </w:r>
    </w:p>
    <w:p>
      <w:pPr>
        <w:spacing w:after="160" w:line="320" w:lineRule="exact"/>
        <w:jc w:val="both"/>
      </w:pPr>
      <w:r>
        <w:rPr>
          <w:rFonts w:ascii="Calibri" w:hAnsi="Calibri"/>
          <w:sz w:val="22"/>
        </w:rPr>
        <w:t>Il Digital Omnibus non modifica tre categorie di obblighi che erano già entrati nel quadro normativo e che rimangono applicabili dalla data originaria. Il primo è il divieto assoluto di determinati usi dell'intelligenza artificiale, quelli che l'AI Act classifica come sistemi a rischio inaccettabile: la profilazione comportamentale di massa, il riconoscimento delle emozioni nei luoghi di lavoro, la manipolazione cognitiva attraverso tecniche subliminali. Questi divieti sono in vigore dal 2 febbraio 2025.</w:t>
      </w:r>
    </w:p>
    <w:p>
      <w:pPr>
        <w:spacing w:after="160" w:line="320" w:lineRule="exact"/>
        <w:jc w:val="both"/>
      </w:pPr>
      <w:r>
        <w:rPr>
          <w:rFonts w:ascii="Calibri" w:hAnsi="Calibri"/>
          <w:sz w:val="22"/>
        </w:rPr>
        <w:t>Il secondo gruppo riguarda gli obblighi di trasparenza dell'articolo 50. Dal 2 agosto 2026, qualsiasi sistema che interagisce con le persone in forma testuale o vocale deve dichiarare in modo chiaro che si tratta di un sistema artificiale. Un chatbot sul sito di uno studio professionale, un assistente virtuale per la gestione delle prenotazioni, un sistema di risposta automatica alle email dei clienti: tutti devono comunicare in modo inequivocabile la propria natura. Parallelamente, i contenuti generati con strumenti AI e destinati a circolare come documenti o comunicazioni devono essere etichettati come tali. Non è una formalità: l'ACN, l'Agenzia per la Cybersicurezza Nazionale designata dalla Legge 132/2025 come autorità di vigilanza italiana, può applicare sanzioni significative.</w:t>
      </w:r>
    </w:p>
    <w:p>
      <w:pPr>
        <w:spacing w:after="160" w:line="320" w:lineRule="exact"/>
        <w:jc w:val="both"/>
      </w:pPr>
      <w:r>
        <w:rPr>
          <w:rFonts w:ascii="Calibri" w:hAnsi="Calibri"/>
          <w:sz w:val="22"/>
        </w:rPr>
        <w:t>Il terzo obbligo che resta intatto è quello sull'AI Literacy, cioè sull'alfabetizzazione minima di chiunque utilizzi strumenti AI nell'ambito lavorativo. Su questo punto si tornerà in dettaglio, perché merita un ragionamento separato. Qui basta notare che l'accordo Digital Omnibus non ha toccato questo requisito.</w:t>
      </w:r>
    </w:p>
    <w:p>
      <w:pPr>
        <w:spacing w:before="280" w:after="120"/>
      </w:pPr>
      <w:r>
        <w:rPr>
          <w:rFonts w:ascii="Calibri" w:hAnsi="Calibri"/>
          <w:b/>
          <w:color w:val="1F497D"/>
          <w:sz w:val="24"/>
        </w:rPr>
        <w:t>L'equivoco del rinvio</w:t>
      </w:r>
    </w:p>
    <w:p>
      <w:pPr>
        <w:spacing w:after="160" w:line="320" w:lineRule="exact"/>
        <w:jc w:val="both"/>
      </w:pPr>
      <w:r>
        <w:rPr>
          <w:rFonts w:ascii="Calibri" w:hAnsi="Calibri"/>
          <w:sz w:val="22"/>
        </w:rPr>
        <w:t>L'equivoco nasce da un dato di fatto: la parte più complessa dell'AI Act, quella che richiedeva analisi del rischio dettagliate, documentazione tecnica e adeguamenti organizzativi profondi, è quella che ha slittato. È comprensibile che molte imprese abbiano interpretato questo come un segnale di allentamento generale. Il messaggio implicito che ha circolato nei mesi scorsi, quello per cui "l'AI Act è stato rinviato", non è falso ma è incompleto e rischia di diventare un problema per chi lo prende alla lettera.</w:t>
      </w:r>
    </w:p>
    <w:p>
      <w:pPr>
        <w:spacing w:after="160" w:line="320" w:lineRule="exact"/>
        <w:jc w:val="both"/>
      </w:pPr>
      <w:r>
        <w:rPr>
          <w:rFonts w:ascii="Calibri" w:hAnsi="Calibri"/>
          <w:sz w:val="22"/>
        </w:rPr>
        <w:t>Un'azienda che ha sul sito un chatbot non etichettato, che produce comunicazioni AI-generated senza marcatura, o che non ha fatto nulla per garantire una consapevolezza minima ai propri dipendenti sull'uso degli strumenti AI, non è coperta dal rinvio Digital Omnibus. Questi tre elementi erano nella parte dell'AI Act che non è stata modificata, e la scadenza rimane il 2 agosto 2026. A questo si aggiunge la Legge 132 del 10 ottobre 2025, la normativa italiana che ha introdotto obblighi aggiuntivi per i professionisti e le imprese che operano nel Paese, a prescindere dall'evoluzione del quadro europeo.</w:t>
      </w:r>
    </w:p>
    <w:p>
      <w:pPr>
        <w:spacing w:before="280" w:after="120"/>
      </w:pPr>
      <w:r>
        <w:rPr>
          <w:rFonts w:ascii="Calibri" w:hAnsi="Calibri"/>
          <w:b/>
          <w:color w:val="1F497D"/>
          <w:sz w:val="24"/>
        </w:rPr>
        <w:t>Cosa fare da qui ad agosto</w:t>
      </w:r>
    </w:p>
    <w:p>
      <w:pPr>
        <w:spacing w:after="160" w:line="320" w:lineRule="exact"/>
        <w:jc w:val="both"/>
      </w:pPr>
      <w:r>
        <w:rPr>
          <w:rFonts w:ascii="Calibri" w:hAnsi="Calibri"/>
          <w:sz w:val="22"/>
        </w:rPr>
        <w:t>Per uno studio professionale o una PMI che vuole essere in regola entro agosto, il percorso minimo ha tre passi. Il primo è verificare se nell'attività quotidiana vengono usati strumenti AI che interagiscono con i clienti: chatbot, risponditori automatici, sistemi di analisi documentale che producono output verso l'esterno. Se sì, va valutato se sono dichiarati correttamente. Il secondo è capire se i documenti prodotti con strumenti AI, pareri, report, comunicazioni, vengono inviati ai clienti senza alcuna indicazione sulla loro origine. Il terzo è capire quale livello di consapevolezza hanno i dipendenti e i collaboratori sugli strumenti che già usano, o che potrebbero usare, nel loro lavoro.</w:t>
      </w:r>
    </w:p>
    <w:p>
      <w:pPr>
        <w:spacing w:after="160" w:line="320" w:lineRule="exact"/>
        <w:jc w:val="both"/>
      </w:pPr>
      <w:r>
        <w:rPr>
          <w:rFonts w:ascii="Calibri" w:hAnsi="Calibri"/>
          <w:sz w:val="22"/>
        </w:rPr>
        <w:t>Il Digital Omnibus ha guadagnato tempo sulla parte più strutturata degli adempimenti. Ma ha lasciato intatte quelle che, per la maggior parte delle PMI e degli studi professionali italiani, sono le prime cose da sistemare. E agosto è tra nove settimane.</w:t>
      </w:r>
    </w:p>
    <w:p>
      <w:pPr>
        <w:spacing w:after="40" w:before="40"/>
        <w:pBdr>
          <w:bottom w:val="single" w:sz="6" w:space="1" w:color="1F497D"/>
        </w:pBdr>
      </w:pPr>
    </w:p>
    <w:p>
      <w:pPr>
        <w:spacing w:before="200"/>
      </w:pPr>
      <w:r>
        <w:rPr>
          <w:rFonts w:ascii="Calibri" w:hAnsi="Calibri"/>
          <w:b/>
          <w:color w:val="606060"/>
          <w:sz w:val="18"/>
        </w:rPr>
        <w:t>Riferimenti</w:t>
      </w:r>
    </w:p>
    <w:p>
      <w:pPr>
        <w:spacing w:after="40"/>
      </w:pPr>
      <w:r>
        <w:rPr>
          <w:rFonts w:ascii="Calibri" w:hAnsi="Calibri"/>
          <w:color w:val="606060"/>
          <w:sz w:val="17"/>
        </w:rPr>
        <w:t>• Parlamento europeo e Consiglio UE — Accordo provvisorio Digital Omnibus, 7 maggio 2026</w:t>
      </w:r>
    </w:p>
    <w:p>
      <w:pPr>
        <w:spacing w:after="40"/>
      </w:pPr>
      <w:r>
        <w:rPr>
          <w:rFonts w:ascii="Calibri" w:hAnsi="Calibri"/>
          <w:color w:val="606060"/>
          <w:sz w:val="17"/>
        </w:rPr>
        <w:t>• Regolamento UE 2024/1689 (AI Act) — artt. 4, 5, 50</w:t>
      </w:r>
    </w:p>
    <w:p>
      <w:pPr>
        <w:spacing w:after="40"/>
      </w:pPr>
      <w:r>
        <w:rPr>
          <w:rFonts w:ascii="Calibri" w:hAnsi="Calibri"/>
          <w:color w:val="606060"/>
          <w:sz w:val="17"/>
        </w:rPr>
        <w:t>• Legge 10 ottobre 2025, n. 132 — Disciplina organica dell'intelligenza artificiale in Italia</w:t>
      </w:r>
    </w:p>
    <w:p>
      <w:pPr>
        <w:spacing w:after="40"/>
      </w:pPr>
      <w:r>
        <w:rPr>
          <w:rFonts w:ascii="Calibri" w:hAnsi="Calibri"/>
          <w:color w:val="606060"/>
          <w:sz w:val="17"/>
        </w:rPr>
        <w:t>• Agenda Digitale — "Digital Omnibus e AI Act: cosa può slittare e cosa va fatto prima di agosto 2026"</w:t>
      </w:r>
    </w:p>
    <w:p>
      <w:pPr>
        <w:spacing w:after="40"/>
      </w:pPr>
      <w:r>
        <w:rPr>
          <w:rFonts w:ascii="Calibri" w:hAnsi="Calibri"/>
          <w:color w:val="606060"/>
          <w:sz w:val="17"/>
        </w:rPr>
        <w:t>• ACN — Agenzia per la Cybersicurezza Nazionale, autorità nazionale di vigilanza AI</w:t>
      </w:r>
    </w:p>
    <w:p>
      <w:pPr>
        <w:spacing w:before="320"/>
        <w:jc w:val="center"/>
      </w:pPr>
      <w:r>
        <w:rPr>
          <w:rFonts w:ascii="Calibri" w:hAnsi="Calibri"/>
          <w:i/>
          <w:color w:val="A0A0A0"/>
          <w:sz w:val="16"/>
        </w:rPr>
        <w:t>© 2026 Mattavelli Amodeo — Commercialisti Associati  •  Riproduzione consentita con citazione della fonte</w:t>
      </w:r>
    </w:p>
    <w:sectPr w:rsidR="00FC693F" w:rsidRPr="0006063C" w:rsidSect="00034616">
      <w:pgSz w:w="11906" w:h="16838"/>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