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aps/>
          <w:color w:val="1F497D"/>
          <w:sz w:val="18"/>
        </w:rPr>
        <w:t>RATIO  •  Approfondimenti per Professionisti e Imprese</w:t>
      </w:r>
    </w:p>
    <w:p>
      <w:pPr>
        <w:spacing w:after="40" w:before="40"/>
        <w:pBdr>
          <w:bottom w:val="single" w:sz="6" w:space="1" w:color="1F497D"/>
        </w:pBdr>
      </w:pPr>
    </w:p>
    <w:p>
      <w:pPr>
        <w:jc w:val="right"/>
      </w:pPr>
      <w:r>
        <w:rPr>
          <w:rFonts w:ascii="Calibri" w:hAnsi="Calibri"/>
          <w:i/>
          <w:color w:val="606060"/>
          <w:sz w:val="17"/>
        </w:rPr>
        <w:t>Maggio 2026  |  Normativa e Governance</w:t>
      </w:r>
    </w:p>
    <w:p/>
    <w:p>
      <w:pPr>
        <w:spacing w:after="120"/>
        <w:jc w:val="left"/>
      </w:pPr>
      <w:r>
        <w:rPr>
          <w:rFonts w:ascii="Calibri" w:hAnsi="Calibri"/>
          <w:b/>
          <w:color w:val="1F497D"/>
          <w:sz w:val="48"/>
        </w:rPr>
        <w:t>Il D.Lgs. 47/2026 mette</w:t>
        <w:br/>
        <w:t>la cybersecurity nell'organigramma</w:t>
      </w:r>
    </w:p>
    <w:p>
      <w:pPr>
        <w:spacing w:after="200"/>
        <w:jc w:val="left"/>
      </w:pPr>
      <w:r>
        <w:rPr>
          <w:rFonts w:ascii="Calibri" w:hAnsi="Calibri"/>
          <w:i/>
          <w:color w:val="2E74B5"/>
          <w:sz w:val="26"/>
        </w:rPr>
        <w:t>Dal 29 aprile 2026 AI, privacy e sicurezza informatica sono materia degli amministratori, non dell'IT. Per chi assiste le imprese, cambia il perimetro da valutare.</w:t>
      </w:r>
    </w:p>
    <w:p>
      <w:pPr>
        <w:spacing w:after="40" w:before="40"/>
        <w:pBdr>
          <w:bottom w:val="single" w:sz="6" w:space="1" w:color="1F497D"/>
        </w:pBdr>
      </w:pPr>
    </w:p>
    <w:p>
      <w:pPr>
        <w:spacing w:after="320"/>
        <w:jc w:val="left"/>
      </w:pPr>
      <w:r>
        <w:rPr>
          <w:rFonts w:ascii="Calibri" w:hAnsi="Calibri"/>
          <w:color w:val="808080"/>
          <w:sz w:val="18"/>
        </w:rPr>
        <w:t>A cura della Redazione Ratio  •  29 maggio 2026</w:t>
      </w:r>
    </w:p>
    <w:p>
      <w:pPr>
        <w:spacing w:after="160" w:line="320" w:lineRule="exact"/>
        <w:jc w:val="both"/>
      </w:pPr>
      <w:r>
        <w:rPr>
          <w:rFonts w:ascii="Calibri" w:hAnsi="Calibri"/>
          <w:sz w:val="22"/>
        </w:rPr>
        <w:t>Dal 29 aprile 2026 è in vigore il D.Lgs. 27 marzo 2026, n. 47. Per molti studi professionali è ancora un testo sullo sfondo, uno di quei provvedimenti che si rimanda a quando arriva la circolare. Sarebbe un errore, perché questo decreto cambia in modo diretto il perimetro di responsabilità degli organi societari su tre temi che fino a ieri erano considerati materia tecnica: cybersecurity, intelligenza artificiale e protezione dei dati. E quando cambia il perimetro di responsabilità degli amministratori, cambia anche il perimetro di valutazione del commercialista o del consulente che affianca l'impresa.</w:t>
      </w:r>
    </w:p>
    <w:p>
      <w:pPr>
        <w:spacing w:after="160" w:line="320" w:lineRule="exact"/>
        <w:jc w:val="both"/>
      </w:pPr>
      <w:r>
        <w:rPr>
          <w:rFonts w:ascii="Calibri" w:hAnsi="Calibri"/>
          <w:sz w:val="22"/>
        </w:rPr>
        <w:t>Il decreto aggiorna il codice civile e il Testo Unico della Finanza per portare questi tre temi all'interno degli assetti organizzativi che le società di capitali sono tenute ad avere ai sensi dell'articolo 2086. Fino ad oggi, la verifica di adeguatezza di quegli assetti riguardava principalmente l'organizzazione contabile e finanziaria, la struttura decisionale, il sistema di controllo interno. Da fine aprile, quell'assetto deve includere anche la gestione del rischio digitale, dove per digitale si intende l'insieme di cybersecurity, intelligenza artificiale e protezione dei dati personali.</w:t>
      </w:r>
    </w:p>
    <w:p>
      <w:pPr>
        <w:spacing w:before="280" w:after="120"/>
      </w:pPr>
      <w:r>
        <w:rPr>
          <w:rFonts w:ascii="Calibri" w:hAnsi="Calibri"/>
          <w:b/>
          <w:color w:val="1F497D"/>
          <w:sz w:val="24"/>
        </w:rPr>
        <w:t>Il collegio sindacale come quarta linea di difesa</w:t>
      </w:r>
    </w:p>
    <w:p>
      <w:pPr>
        <w:spacing w:after="160" w:line="320" w:lineRule="exact"/>
        <w:jc w:val="both"/>
      </w:pPr>
      <w:r>
        <w:rPr>
          <w:rFonts w:ascii="Calibri" w:hAnsi="Calibri"/>
          <w:sz w:val="22"/>
        </w:rPr>
        <w:t>Una delle novità più rilevanti del D.Lgs. 47/2026 riguarda il collegio sindacale. Il decreto gli assegna esplicitamente un ruolo di presidio sulla conformità alle norme NIS2 e GDPR, affiancandolo ai meccanismi di controllo interno già esistenti come audit, risk management e compliance. In alcune letture che stanno circolando tra gli addetti ai lavori si parla di "quarta linea di difesa". La terminologia è discutibile, ma il messaggio sostanziale è chiaro: il collegio non può più limitarsi ai conti. Se l'impresa usa sistemi di intelligenza artificiale in processi rilevanti, il collegio è tenuto a verificare che esista una governance di quel rischio.</w:t>
      </w:r>
    </w:p>
    <w:p>
      <w:pPr>
        <w:spacing w:after="160" w:line="320" w:lineRule="exact"/>
        <w:jc w:val="both"/>
      </w:pPr>
      <w:r>
        <w:rPr>
          <w:rFonts w:ascii="Calibri" w:hAnsi="Calibri"/>
          <w:sz w:val="22"/>
        </w:rPr>
        <w:t>Per un sindaco di una società di medie dimensioni, questo significa che la verifica periodica deve ora includere domande che non erano nell'agenda tradizionale. L'azienda ha mappato quali strumenti AI utilizza nei propri processi? C'è una policy interna? Qualcuno ha verificato se quegli strumenti rientrano nelle categorie regolamentate dall'AI Act? Il risparmio di tempo ottenuto con l'automazione vale il rischio di non aver fatto questa valutazione? Queste non sono domande da lasciare al reparto IT.</w:t>
      </w:r>
    </w:p>
    <w:p>
      <w:pPr>
        <w:spacing w:before="280" w:after="120"/>
      </w:pPr>
      <w:r>
        <w:rPr>
          <w:rFonts w:ascii="Calibri" w:hAnsi="Calibri"/>
          <w:b/>
          <w:color w:val="1F497D"/>
          <w:sz w:val="24"/>
        </w:rPr>
        <w:t>Cosa cambia per chi assiste le imprese</w:t>
      </w:r>
    </w:p>
    <w:p>
      <w:pPr>
        <w:spacing w:after="160" w:line="320" w:lineRule="exact"/>
        <w:jc w:val="both"/>
      </w:pPr>
      <w:r>
        <w:rPr>
          <w:rFonts w:ascii="Calibri" w:hAnsi="Calibri"/>
          <w:sz w:val="22"/>
        </w:rPr>
        <w:t>Per il commercialista o il consulente che segue una PMI o una società di capitali, il D.Lgs. 47/2026 apre un tema concreto. La verifica dell'adeguatezza degli assetti organizzativi, quella che si fa tipicamente in occasione della revisione del sistema di controllo interno o della due diligence su operazioni straordinarie, ha ora un capitolo in più. Non necessariamente lungo, ma necessariamente presente.</w:t>
      </w:r>
    </w:p>
    <w:p>
      <w:pPr>
        <w:spacing w:after="160" w:line="320" w:lineRule="exact"/>
        <w:jc w:val="both"/>
      </w:pPr>
      <w:r>
        <w:rPr>
          <w:rFonts w:ascii="Calibri" w:hAnsi="Calibri"/>
          <w:sz w:val="22"/>
        </w:rPr>
        <w:t>Il primo passo pratico è capire in quali aree dell'impresa vengono già utilizzati strumenti di intelligenza artificiale. Spesso la risposta sorprende: software gestionali aggiornati negli ultimi due anni incorporano funzioni AI per la categorizzazione delle fatture, per la previsione di flussi di cassa, per la generazione automatica di report. Il fatto che non siano stati introdotti con una scelta esplicita non li esclude dall'ambito del decreto. Anzi, il caso più rischioso è proprio quello in cui gli strumenti AI sono entrati dall'aggiornamento software senza che nessuno in azienda se ne sia accorto.</w:t>
      </w:r>
    </w:p>
    <w:p>
      <w:pPr>
        <w:spacing w:after="160" w:line="320" w:lineRule="exact"/>
        <w:jc w:val="both"/>
      </w:pPr>
      <w:r>
        <w:rPr>
          <w:rFonts w:ascii="Calibri" w:hAnsi="Calibri"/>
          <w:sz w:val="22"/>
        </w:rPr>
        <w:t>Il secondo passo è verificare se l'impresa ha adottato una policy anche minima sull'uso dell'intelligenza artificiale. La Legge 132/2025 e il D.Lgs. 47/2026 non richiedono documenti di centinaia di pagine. Richiedono che l'organizzazione abbia consapevolezza degli strumenti che usa e che abbia identificato chi è responsabile delle decisioni che derivano da quell'uso. Una pagina ben scritta vale più di un manuale che nessuno ha letto.</w:t>
      </w:r>
    </w:p>
    <w:p>
      <w:pPr>
        <w:spacing w:before="280" w:after="120"/>
      </w:pPr>
      <w:r>
        <w:rPr>
          <w:rFonts w:ascii="Calibri" w:hAnsi="Calibri"/>
          <w:b/>
          <w:color w:val="1F497D"/>
          <w:sz w:val="24"/>
        </w:rPr>
        <w:t>Il passaggio dalla compliance alla governance</w:t>
      </w:r>
    </w:p>
    <w:p>
      <w:pPr>
        <w:spacing w:after="160" w:line="320" w:lineRule="exact"/>
        <w:jc w:val="both"/>
      </w:pPr>
      <w:r>
        <w:rPr>
          <w:rFonts w:ascii="Calibri" w:hAnsi="Calibri"/>
          <w:sz w:val="22"/>
        </w:rPr>
        <w:t>Il cambiamento più profondo che questo decreto introduce non è nella lista degli adempimenti formali. È nel cambio di prospettiva che richiede. Fino ad oggi, cybersecurity e protezione dei dati erano argomenti da delegare a un consulente specializzato, da trattare come compliance separata dalla gestione ordinaria dell'impresa. Il D.Lgs. 47/2026 dice che questa separazione non regge più. Se la società usa strumenti AI per prendere decisioni che impattano sul cliente, sul dipendente o sull'organizzazione, quella scelta è materia degli amministratori, non di un fornitore esterno.</w:t>
      </w:r>
    </w:p>
    <w:p>
      <w:pPr>
        <w:spacing w:after="160" w:line="320" w:lineRule="exact"/>
        <w:jc w:val="both"/>
      </w:pPr>
      <w:r>
        <w:rPr>
          <w:rFonts w:ascii="Calibri" w:hAnsi="Calibri"/>
          <w:sz w:val="22"/>
        </w:rPr>
        <w:t>Per chi affianca le imprese come consulente, il momento più utile per sollevare questo tema non è la scadenza normativa, ma il prossimo incontro operativo con il cliente. La domanda da fare non è se l'impresa usa l'AI, perché quasi certamente la risposta è già sì anche senza saperlo. La domanda è chi, in azienda, ha la responsabilità di sapere cosa sta usando e perché.</w:t>
      </w:r>
    </w:p>
    <w:p>
      <w:pPr>
        <w:spacing w:after="40" w:before="40"/>
        <w:pBdr>
          <w:bottom w:val="single" w:sz="6" w:space="1" w:color="1F497D"/>
        </w:pBdr>
      </w:pPr>
    </w:p>
    <w:p>
      <w:pPr>
        <w:spacing w:before="200"/>
      </w:pPr>
      <w:r>
        <w:rPr>
          <w:rFonts w:ascii="Calibri" w:hAnsi="Calibri"/>
          <w:b/>
          <w:color w:val="606060"/>
          <w:sz w:val="18"/>
        </w:rPr>
        <w:t>Riferimenti</w:t>
      </w:r>
    </w:p>
    <w:p>
      <w:pPr>
        <w:spacing w:after="40"/>
      </w:pPr>
      <w:r>
        <w:rPr>
          <w:rFonts w:ascii="Calibri" w:hAnsi="Calibri"/>
          <w:color w:val="606060"/>
          <w:sz w:val="17"/>
        </w:rPr>
        <w:t>• D.Lgs. 27 marzo 2026, n. 47 — in vigore dal 29 aprile 2026</w:t>
      </w:r>
    </w:p>
    <w:p>
      <w:pPr>
        <w:spacing w:after="40"/>
      </w:pPr>
      <w:r>
        <w:rPr>
          <w:rFonts w:ascii="Calibri" w:hAnsi="Calibri"/>
          <w:color w:val="606060"/>
          <w:sz w:val="17"/>
        </w:rPr>
        <w:t>• Federprivacy — "Dalla compliance alla governance: il Dlgs 47/2026 e la trasformazione di cybersecurity, AI e protezione dei dati negli assetti societari"</w:t>
      </w:r>
    </w:p>
    <w:p>
      <w:pPr>
        <w:spacing w:after="40"/>
      </w:pPr>
      <w:r>
        <w:rPr>
          <w:rFonts w:ascii="Calibri" w:hAnsi="Calibri"/>
          <w:color w:val="606060"/>
          <w:sz w:val="17"/>
        </w:rPr>
        <w:t>• Agenda Digitale — "D.Lgs. 47/2026, perché privacy e cybersecurity entrano nella governance delle imprese"</w:t>
      </w:r>
    </w:p>
    <w:p>
      <w:pPr>
        <w:spacing w:after="40"/>
      </w:pPr>
      <w:r>
        <w:rPr>
          <w:rFonts w:ascii="Calibri" w:hAnsi="Calibri"/>
          <w:color w:val="606060"/>
          <w:sz w:val="17"/>
        </w:rPr>
        <w:t>• Actainfo — "Il Dlgs 47/2026: un cambio di paradigma per la governance digitale delle imprese"</w:t>
      </w:r>
    </w:p>
    <w:p>
      <w:pPr>
        <w:spacing w:after="40"/>
      </w:pPr>
      <w:r>
        <w:rPr>
          <w:rFonts w:ascii="Calibri" w:hAnsi="Calibri"/>
          <w:color w:val="606060"/>
          <w:sz w:val="17"/>
        </w:rPr>
        <w:t>• Art. 2086 c.c. — Gestione dell'impresa e adeguatezza degli assetti organizzativi</w:t>
      </w:r>
    </w:p>
    <w:p>
      <w:pPr>
        <w:spacing w:before="320"/>
        <w:jc w:val="center"/>
      </w:pPr>
      <w:r>
        <w:rPr>
          <w:rFonts w:ascii="Calibri" w:hAnsi="Calibri"/>
          <w:i/>
          <w:color w:val="A0A0A0"/>
          <w:sz w:val="16"/>
        </w:rPr>
        <w:t>© 2026 Mattavelli Amodeo — Commercialisti Associati  •  Riproduzione consentita con citazione della fonte</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