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Governance e Rischio AI</w:t>
      </w:r>
    </w:p>
    <w:p/>
    <w:p>
      <w:pPr>
        <w:spacing w:after="120"/>
        <w:jc w:val="left"/>
      </w:pPr>
      <w:r>
        <w:rPr>
          <w:rFonts w:ascii="Calibri" w:hAnsi="Calibri"/>
          <w:b/>
          <w:color w:val="1F497D"/>
          <w:sz w:val="48"/>
        </w:rPr>
        <w:t>18,4 milioni investiti. La governance AI può attendere.</w:t>
      </w:r>
    </w:p>
    <w:p>
      <w:pPr>
        <w:spacing w:after="200"/>
        <w:jc w:val="left"/>
      </w:pPr>
      <w:r>
        <w:rPr>
          <w:rFonts w:ascii="Calibri" w:hAnsi="Calibri"/>
          <w:i/>
          <w:color w:val="2E74B5"/>
          <w:sz w:val="26"/>
        </w:rPr>
        <w:t>Le aziende italiane con oltre 500 addetti spenderanno 18,4 milioni in AI nel 2026. Il 40% non ha supervisione umana sui workflow agentici, il 25% non controlla gli accessi agli agenti, il 48% tiene un registro. La governance aspetta.</w:t>
      </w:r>
    </w:p>
    <w:p>
      <w:pPr>
        <w:spacing w:after="40" w:before="40"/>
        <w:pBdr>
          <w:bottom w:val="single" w:sz="6" w:space="1" w:color="1F497D"/>
        </w:pBdr>
      </w:pPr>
    </w:p>
    <w:p>
      <w:pPr>
        <w:spacing w:after="320"/>
        <w:jc w:val="left"/>
      </w:pPr>
      <w:r>
        <w:rPr>
          <w:rFonts w:ascii="Calibri" w:hAnsi="Calibri"/>
          <w:color w:val="808080"/>
          <w:sz w:val="18"/>
        </w:rPr>
        <w:t>A cura della Redazione Ratio  •  31 luglio 2026</w:t>
      </w:r>
    </w:p>
    <w:p>
      <w:pPr>
        <w:spacing w:after="160" w:line="320" w:lineRule="exact"/>
        <w:jc w:val="both"/>
      </w:pPr>
      <w:r>
        <w:rPr>
          <w:rFonts w:ascii="Calibri" w:hAnsi="Calibri"/>
          <w:sz w:val="22"/>
        </w:rPr>
        <w:t>L’apprendista stregone della ballata di Goethe non aveva sbagliato l’incantesimo: aveva solo dimenticato di imparare quello per fermarlo. Il maestro era andato via, le scope portavano acqua a ritmo crescente, e il pavimento si allagava perché nessuno aveva previsto il momento in cui il sistema avrebbe smesso di essere una soluzione e sarebbe diventato un problema. Le aziende italiane che investono cifre crescenti in AI senza costruire i controlli corrispondenti stanno nella posizione di quell’apprendista: l’incantesimo funziona, il problema è che non si ferma quando vorrebbero.</w:t>
      </w:r>
    </w:p>
    <w:p>
      <w:pPr>
        <w:spacing w:after="160" w:line="320" w:lineRule="exact"/>
        <w:jc w:val="both"/>
      </w:pPr>
      <w:r>
        <w:rPr>
          <w:rFonts w:ascii="Calibri" w:hAnsi="Calibri"/>
          <w:sz w:val="22"/>
        </w:rPr>
        <w:t>Il dato è preciso e recente. Le aziende italiane con più di 500 addetti indicano per il 2026 una spesa media in AI di 18,4 milioni di dollari, con un incremento atteso del 45% nei due anni seguenti. Il ritorno economico previsto arriva al 38%, equivalente a 12,2 milioni di dollari. Il 73% dei dirigenti si dichiara soddisfatto del ROI corrente. Fin qui, il quadro è quello di un’adozione che accelera e produce risultati. Il problema emerge appena si guardano i numeri sul lato della governance.</w:t>
      </w:r>
    </w:p>
    <w:p>
      <w:pPr>
        <w:spacing w:before="280" w:after="120"/>
      </w:pPr>
      <w:r>
        <w:rPr>
          <w:rFonts w:ascii="Calibri" w:hAnsi="Calibri"/>
          <w:b/>
          <w:color w:val="1F497D"/>
          <w:sz w:val="24"/>
        </w:rPr>
        <w:t>I numeri che i dirigenti non citano nelle presentazioni</w:t>
      </w:r>
    </w:p>
    <w:p>
      <w:pPr>
        <w:spacing w:after="160" w:line="320" w:lineRule="exact"/>
        <w:jc w:val="both"/>
      </w:pPr>
      <w:r>
        <w:rPr>
          <w:rFonts w:ascii="Calibri" w:hAnsi="Calibri"/>
          <w:sz w:val="22"/>
        </w:rPr>
        <w:t>Lo stesso studio che ha prodotto quei numeri sull’investimento rivela che il 40% delle aziende italiane non ha processi con intervento umano per supervisionare i workflow agentici: agenti AI che prendono decisioni, inviano comunicazioni, modificano dati, senza che nessuna persona sia formalmente incaricata di verificarne l’output prima che diventi definitivo. Il 25% non ha sistemi di controllo degli accessi per gli agenti, il che significa che un agente può operare su sistemi aziendali senza che esista un perimetro preciso di ciò che può o non può fare. Solo il 48% mantiene un registro degli agenti in uso all’interno dell’organizzazione. La metà delle aziende italiane non sa con certezza quanti e quali agenti AI operano per suo conto.</w:t>
      </w:r>
    </w:p>
    <w:p>
      <w:pPr>
        <w:spacing w:after="160" w:line="320" w:lineRule="exact"/>
        <w:jc w:val="both"/>
      </w:pPr>
      <w:r>
        <w:rPr>
          <w:rFonts w:ascii="Calibri" w:hAnsi="Calibri"/>
          <w:sz w:val="22"/>
        </w:rPr>
        <w:t>Le fragilità non si fermano al livello tecnico. Meno della metà delle aziende ha un responsabile dedicato all’AI (45%), solo il 35% ha definito KPI per l’AI a livello manageriale, il 37% ha attivato percorsi di formazione sulle funzionalità e sui rischi degli strumenti adottati. In molte organizzazioni italiane l’AI è gestita come una spesa operativa anziché come un asset che richiede una funzione di presidio: si compra, si usa, si rinnova l’abbonamento. La governance arriva solo quando arriva il problema.</w:t>
      </w:r>
    </w:p>
    <w:p>
      <w:pPr>
        <w:spacing w:before="280" w:after="120"/>
      </w:pPr>
      <w:r>
        <w:rPr>
          <w:rFonts w:ascii="Calibri" w:hAnsi="Calibri"/>
          <w:b/>
          <w:color w:val="1F497D"/>
          <w:sz w:val="24"/>
        </w:rPr>
        <w:t>Il rischio che scala con il budget</w:t>
      </w:r>
    </w:p>
    <w:p>
      <w:pPr>
        <w:spacing w:after="160" w:line="320" w:lineRule="exact"/>
        <w:jc w:val="both"/>
      </w:pPr>
      <w:r>
        <w:rPr>
          <w:rFonts w:ascii="Calibri" w:hAnsi="Calibri"/>
          <w:sz w:val="22"/>
        </w:rPr>
        <w:t>La peculiarità del rischio AI è che cresce proporzionalmente all’investimento. Un’azienda che usa ChatGPT per redigere comunicazioni ha un’esposizione contenuta anche in assenza di governance formale. Un’azienda che ha agenti AI integrati nei processi di approvazione delle spese, nella comunicazione con i clienti e nella produzione di documenti contabili ha un profilo di rischio operativo e normativo molto più elevato, proporzionale all’autonomia che ha delegato ai sistemi. Il Digital Omnibus ha posticipato alcune scadenze per i sistemi ad alto rischio, ma non ha modificato la sostanza: chi usa agenti AI in processi decisionali rilevanti sta operando in un perimetro che l’AI Act regola già, e che le autorità di vigilanza inizieranno a ispezionare dal 2 agosto in poi.</w:t>
      </w:r>
    </w:p>
    <w:p>
      <w:pPr>
        <w:spacing w:after="160" w:line="320" w:lineRule="exact"/>
        <w:jc w:val="both"/>
      </w:pPr>
      <w:r>
        <w:rPr>
          <w:rFonts w:ascii="Calibri" w:hAnsi="Calibri"/>
          <w:sz w:val="22"/>
        </w:rPr>
        <w:t>Il maestro stregone di Goethe torna alla fine e sistema tutto con un incantesimo. Nel mondo reale, quello che torna non è il maestro: è l’ispettore.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SbirciaNotizia.it -- 'AI, 18,4 milioni per azienda nel 2026: budget in crescita e controlli in ritardo' (19 luglio 2026)</w:t>
      </w:r>
    </w:p>
    <w:p>
      <w:pPr>
        <w:spacing w:after="40"/>
      </w:pPr>
      <w:r>
        <w:rPr>
          <w:rFonts w:ascii="Calibri" w:hAnsi="Calibri"/>
          <w:color w:val="606060"/>
          <w:sz w:val="17"/>
        </w:rPr>
        <w:t>• AdnKronos -- 'Le imprese italiane investiranno in AI 18,4 milioni di dollari nel 2026, +45% nei prossimi 2 anni' (16 luglio 2026)</w:t>
      </w:r>
    </w:p>
    <w:p>
      <w:pPr>
        <w:spacing w:after="40"/>
      </w:pPr>
      <w:r>
        <w:rPr>
          <w:rFonts w:ascii="Calibri" w:hAnsi="Calibri"/>
          <w:color w:val="606060"/>
          <w:sz w:val="17"/>
        </w:rPr>
        <w:t>• SpotAndWeb.it -- 'Le imprese italiane investiranno in AI 18,4 milioni di dollari nel 2026, +45% nei prossimi 2 anni'</w:t>
      </w:r>
    </w:p>
    <w:p>
      <w:pPr>
        <w:spacing w:after="40"/>
      </w:pPr>
      <w:r>
        <w:rPr>
          <w:rFonts w:ascii="Calibri" w:hAnsi="Calibri"/>
          <w:color w:val="606060"/>
          <w:sz w:val="17"/>
        </w:rPr>
        <w:t>• PuntoImpresaDigitale.camcom.it -- 'IA e cybersecurity nelle PMI: cresce l’adozione, ma la sfida è culturale'</w:t>
      </w:r>
    </w:p>
    <w:p>
      <w:pPr>
        <w:spacing w:after="40"/>
      </w:pPr>
      <w:r>
        <w:rPr>
          <w:rFonts w:ascii="Calibri" w:hAnsi="Calibri"/>
          <w:color w:val="606060"/>
          <w:sz w:val="17"/>
        </w:rPr>
        <w:t>• Regolamento UE 2024/1689 (AI Act), articoli 26-27 sugli obblighi dei deployer</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