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PMI e Adozione AI</w:t>
      </w:r>
    </w:p>
    <w:p/>
    <w:p>
      <w:pPr>
        <w:spacing w:after="120"/>
        <w:jc w:val="left"/>
      </w:pPr>
      <w:r>
        <w:rPr>
          <w:rFonts w:ascii="Calibri" w:hAnsi="Calibri"/>
          <w:b/>
          <w:color w:val="1F497D"/>
          <w:sz w:val="48"/>
        </w:rPr>
        <w:t>Grandi imprese al 53%, PMI al 15%: il divario si allarga.</w:t>
      </w:r>
    </w:p>
    <w:p>
      <w:pPr>
        <w:spacing w:after="200"/>
        <w:jc w:val="left"/>
      </w:pPr>
      <w:r>
        <w:rPr>
          <w:rFonts w:ascii="Calibri" w:hAnsi="Calibri"/>
          <w:i/>
          <w:color w:val="2E74B5"/>
          <w:sz w:val="26"/>
        </w:rPr>
        <w:t>Tra il 2023 e il 2026 l’adozione dell’AI nelle PMI italiane è triplicata. Le grandi imprese sono andate ancora più veloci. Il gap è passato da 25 a 37 punti. Nessuna norma, nemmeno l’AI Act, è pensata per chiuderlo.</w:t>
      </w:r>
    </w:p>
    <w:p>
      <w:pPr>
        <w:spacing w:after="40" w:before="40"/>
        <w:pBdr>
          <w:bottom w:val="single" w:sz="6" w:space="1" w:color="1F497D"/>
        </w:pBdr>
      </w:pPr>
    </w:p>
    <w:p>
      <w:pPr>
        <w:spacing w:after="320"/>
        <w:jc w:val="left"/>
      </w:pPr>
      <w:r>
        <w:rPr>
          <w:rFonts w:ascii="Calibri" w:hAnsi="Calibri"/>
          <w:color w:val="808080"/>
          <w:sz w:val="18"/>
        </w:rPr>
        <w:t>A cura della Redazione Ratio  •  31 luglio 2026</w:t>
      </w:r>
    </w:p>
    <w:p>
      <w:pPr>
        <w:spacing w:after="160" w:line="320" w:lineRule="exact"/>
        <w:jc w:val="both"/>
      </w:pPr>
      <w:r>
        <w:rPr>
          <w:rFonts w:ascii="Calibri" w:hAnsi="Calibri"/>
          <w:sz w:val="22"/>
        </w:rPr>
        <w:t>Il Vangelo di Matteo, al capitolo 25, contiene un’osservazione sull’economia che molti studiosi hanno citato con più o meno pudore: a chi ha sarà dato, a chi non ha sarà tolto anche quello che ha. Robert Merton, negli anni Sessanta, aveva formalizzato il principio nel concetto di effetto Matteo: nei sistemi competitivi, il vantaggio iniziale tende ad autoamplificarsi, e le distanze tra i partecipanti crescono anche quando tutti migliorano in assoluto. I dati sull’adozione dell’AI nelle imprese italiane nel 2026 descrivono esattamente quello schema.</w:t>
      </w:r>
    </w:p>
    <w:p>
      <w:pPr>
        <w:spacing w:after="160" w:line="320" w:lineRule="exact"/>
        <w:jc w:val="both"/>
      </w:pPr>
      <w:r>
        <w:rPr>
          <w:rFonts w:ascii="Calibri" w:hAnsi="Calibri"/>
          <w:sz w:val="22"/>
        </w:rPr>
        <w:t>Tra il 2023 e il 2026, la quota di PMI italiane che dichiara di utilizzare almeno una tecnologia AI è triplicata: dal 5% circa al 15,7%. Una crescita reale e significativa, che molte analisi presentano come la svolta del mercato italiano. Il problema è che nello stesso periodo le grandi imprese sono passate dal 28% al 53,1% di adozione. Il gap tra le due fasce, che nel 2023 era di circa 25 punti percentuali, si è allargato a 37 punti nel 2026. Le PMI sono cresciute in assoluto; in termini relativi, si sono allontanate dalle grandi imprese più velocemente di quanto si stiano avvicinando.</w:t>
      </w:r>
    </w:p>
    <w:p>
      <w:pPr>
        <w:spacing w:before="280" w:after="120"/>
      </w:pPr>
      <w:r>
        <w:rPr>
          <w:rFonts w:ascii="Calibri" w:hAnsi="Calibri"/>
          <w:b/>
          <w:color w:val="1F497D"/>
          <w:sz w:val="24"/>
        </w:rPr>
        <w:t>Perché il divario si allarga mentre tutti crescono</w:t>
      </w:r>
    </w:p>
    <w:p>
      <w:pPr>
        <w:spacing w:after="160" w:line="320" w:lineRule="exact"/>
        <w:jc w:val="both"/>
      </w:pPr>
      <w:r>
        <w:rPr>
          <w:rFonts w:ascii="Calibri" w:hAnsi="Calibri"/>
          <w:sz w:val="22"/>
        </w:rPr>
        <w:t>Le grandi imprese dispongono di risorse da investire in infrastrutture dati, team dedicati, contratti enterprise con i fornitori di AI, e la capacità di attrarre profili specializzati. Le PMI, anche quando vogliono adottare l’AI in modo strutturato, spesso mancano della qualità dei dati necessaria per alimentarla, della figura professionale in grado di supervisionarne l’implementazione, e del tempo operativo per affrontare un cambiamento di processo mentre si gestisce il quotidiano. Il risultato è che le PMI adottano gli strumenti più semplici, quelli che richiedono il minore investimento iniziale e producono risultati visibili nel breve, lasciando alle grandi imprese le applicazioni più profonde e strutturali.</w:t>
      </w:r>
    </w:p>
    <w:p>
      <w:pPr>
        <w:spacing w:before="280" w:after="120"/>
      </w:pPr>
      <w:r>
        <w:rPr>
          <w:rFonts w:ascii="Calibri" w:hAnsi="Calibri"/>
          <w:b/>
          <w:color w:val="1F497D"/>
          <w:sz w:val="24"/>
        </w:rPr>
        <w:t>Il paradosso normativo</w:t>
      </w:r>
    </w:p>
    <w:p>
      <w:pPr>
        <w:spacing w:after="160" w:line="320" w:lineRule="exact"/>
        <w:jc w:val="both"/>
      </w:pPr>
      <w:r>
        <w:rPr>
          <w:rFonts w:ascii="Calibri" w:hAnsi="Calibri"/>
          <w:sz w:val="22"/>
        </w:rPr>
        <w:t>L’AI Act si applica con criteri sostanzialmente analoghi alle grandi imprese e alle PMI (con le semplificazioni introdotte dal Digital Omnibus per le seconde), senza però intervenire sulla causa del divario. La capacità di adottare l’AI in modo strutturato dipende da competenze, qualità dei dati e organizzazione interna, fattori su cui una norma europea di compliance non ha leva diretta. Il 76% delle PMI italiane non ha investito in AI e non prevede di farlo: per questa fascia, la questione della conformità all’AI Act è ancora lontana, e il problema a monte è più elementare. Riguarda la capacità di valutare se e come uno strumento digitale può cambiare un processo specifico.</w:t>
      </w:r>
    </w:p>
    <w:p>
      <w:pPr>
        <w:spacing w:before="280" w:after="120"/>
      </w:pPr>
      <w:r>
        <w:rPr>
          <w:rFonts w:ascii="Calibri" w:hAnsi="Calibri"/>
          <w:b/>
          <w:color w:val="1F497D"/>
          <w:sz w:val="24"/>
        </w:rPr>
        <w:t>Il fattore che distingue chi recupera da chi resta indietro</w:t>
      </w:r>
    </w:p>
    <w:p>
      <w:pPr>
        <w:spacing w:after="160" w:line="320" w:lineRule="exact"/>
        <w:jc w:val="both"/>
      </w:pPr>
      <w:r>
        <w:rPr>
          <w:rFonts w:ascii="Calibri" w:hAnsi="Calibri"/>
          <w:sz w:val="22"/>
        </w:rPr>
        <w:t>Le PMI che stanno effettivamente accorciando il divario condividono quasi sempre la stessa caratteristica: c’è qualcuno, interno o esterno, che ha le competenze per valutare dove l’AI può fare la differenza e come implementarla sul processo specifico. Commercialisti con formazione digitale, consulenti di gestione che conoscono gli strumenti, system integrator specializzati per settore: è questa figura, più che il budget o la tecnologia disponibile, a determinare se una PMI riesce a colmare il gap. Le politiche di supporto, gli incentivi fiscali, le piattaforme nazionali per le PMI riducono il costo dell’accesso. Ma il fattore che separa chi recupera da chi resta indietro è la presenza di qualcuno capace di usare quell’accesso.</w:t>
      </w:r>
    </w:p>
    <w:p>
      <w:pPr>
        <w:spacing w:after="160" w:line="320" w:lineRule="exact"/>
        <w:jc w:val="both"/>
      </w:pPr>
      <w:r>
        <w:rPr>
          <w:rFonts w:ascii="Calibri" w:hAnsi="Calibri"/>
          <w:sz w:val="22"/>
        </w:rPr>
        <w:t>Il Vangelo di Matteo non diceva come fermare l’effetto. Neanche i decreti attuativi italiani sull’AI.</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GazzettaDiRoma.it -- 'PMI italiane a due velocità: cresce l’intelligenza artificiale, ma resta forte il divario tra grandi e piccole imprese'</w:t>
      </w:r>
    </w:p>
    <w:p>
      <w:pPr>
        <w:spacing w:after="40"/>
      </w:pPr>
      <w:r>
        <w:rPr>
          <w:rFonts w:ascii="Calibri" w:hAnsi="Calibri"/>
          <w:color w:val="606060"/>
          <w:sz w:val="17"/>
        </w:rPr>
        <w:t>• ArenaDigitale.it -- 'Italia: cresce adozione AI ma non l’automazione' (21 luglio 2026)</w:t>
      </w:r>
    </w:p>
    <w:p>
      <w:pPr>
        <w:spacing w:after="40"/>
      </w:pPr>
      <w:r>
        <w:rPr>
          <w:rFonts w:ascii="Calibri" w:hAnsi="Calibri"/>
          <w:color w:val="606060"/>
          <w:sz w:val="17"/>
        </w:rPr>
        <w:t>• AgendaDigitale.eu -- 'AI nelle PMI italiane: competenze e dati frenano la svolta digitale'</w:t>
      </w:r>
    </w:p>
    <w:p>
      <w:pPr>
        <w:spacing w:after="40"/>
      </w:pPr>
      <w:r>
        <w:rPr>
          <w:rFonts w:ascii="Calibri" w:hAnsi="Calibri"/>
          <w:color w:val="606060"/>
          <w:sz w:val="17"/>
        </w:rPr>
        <w:t>• GazzettaDiMilano.it -- 'PMI italiane 2026: i dati tra AI, welfare e incertezza economica'</w:t>
      </w:r>
    </w:p>
    <w:p>
      <w:pPr>
        <w:spacing w:after="40"/>
      </w:pPr>
      <w:r>
        <w:rPr>
          <w:rFonts w:ascii="Calibri" w:hAnsi="Calibri"/>
          <w:color w:val="606060"/>
          <w:sz w:val="17"/>
        </w:rPr>
        <w:t>• Istat -- Rapporto sull’uso delle tecnologie ICT e AI nelle imprese italiane, 2026</w:t>
      </w:r>
    </w:p>
    <w:p>
      <w:pPr>
        <w:spacing w:after="40"/>
      </w:pPr>
      <w:r>
        <w:rPr>
          <w:rFonts w:ascii="Calibri" w:hAnsi="Calibri"/>
          <w:color w:val="606060"/>
          <w:sz w:val="17"/>
        </w:rPr>
        <w:t>• ESTE.it -- 'AI Act, le PMI italiane arrivano impreparate alla svolta'</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